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Building and Environment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From One Channel to Four: A Jointly-Trained Time-Use</w:t>
      </w:r>
      <w:r>
        <w:rPr>
          <w:i/>
          <w:iCs/>
        </w:rPr>
        <w:t xml:space="preserve"> </w:t>
      </w:r>
      <w:r>
        <w:rPr>
          <w:i/>
          <w:iCs/>
        </w:rPr>
        <w:t xml:space="preserve">Occupancy Model for Mixed-Use Building Energy Simulation (Canada, 2005-2030)</w:t>
      </w:r>
      <w:r>
        <w:t xml:space="preserve">, for consideration as a</w:t>
      </w:r>
      <w:r>
        <w:t xml:space="preserve"> </w:t>
      </w:r>
      <w:r>
        <w:t xml:space="preserve">research article in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.</w:t>
      </w:r>
    </w:p>
    <w:p>
      <w:pPr>
        <w:pStyle w:val="BodyText"/>
      </w:pPr>
      <w:r>
        <w:t xml:space="preserve">Tall mixed-use buildings stack apartments, offices, shops and hotel rooms on one central plant, yet</w:t>
      </w:r>
      <w:r>
        <w:t xml:space="preserve"> </w:t>
      </w:r>
      <w:r>
        <w:t xml:space="preserve">their energy models usually run most uses on code schedules. This study gives each use its own</w:t>
      </w:r>
      <w:r>
        <w:t xml:space="preserve"> </w:t>
      </w:r>
      <w:r>
        <w:t xml:space="preserve">schedule. One jointly trained Transformer generates residential, office and retail presence from four</w:t>
      </w:r>
      <w:r>
        <w:t xml:space="preserve"> </w:t>
      </w:r>
      <w:r>
        <w:t xml:space="preserve">cycles of the Canadian General Social Survey time-use diaries (2005 to 2022). Monthly provincial</w:t>
      </w:r>
      <w:r>
        <w:t xml:space="preserve"> </w:t>
      </w:r>
      <w:r>
        <w:t xml:space="preserve">hotel-occupancy statistics set hotel presence, because hotel guests fall outside the survey frame. The</w:t>
      </w:r>
      <w:r>
        <w:t xml:space="preserve"> </w:t>
      </w:r>
      <w:r>
        <w:t xml:space="preserve">four schedules drive EnergyPlus models of two prototype towers in Montreal and Calgary, 56 simulations</w:t>
      </w:r>
      <w:r>
        <w:t xml:space="preserve"> </w:t>
      </w:r>
      <w:r>
        <w:t xml:space="preserve">in all, run once on code schedules and once on survey-based schedules, across four survey years and</w:t>
      </w:r>
      <w:r>
        <w:t xml:space="preserve"> </w:t>
      </w:r>
      <w:r>
        <w:t xml:space="preserve">nine scenarios to 2030.</w:t>
      </w:r>
    </w:p>
    <w:p>
      <w:pPr>
        <w:pStyle w:val="BodyText"/>
      </w:pPr>
      <w:r>
        <w:rPr>
          <w:b/>
          <w:bCs/>
        </w:rPr>
        <w:t xml:space="preserve">Major contributions.</w:t>
      </w:r>
      <w:r>
        <w:t xml:space="preserve"> </w:t>
      </w:r>
      <w:r>
        <w:t xml:space="preserve">The paper makes three contributions to the state of the art.</w:t>
      </w:r>
    </w:p>
    <w:p>
      <w:pPr>
        <w:pStyle w:val="Compact"/>
        <w:numPr>
          <w:ilvl w:val="0"/>
          <w:numId w:val="1001"/>
        </w:numPr>
      </w:pPr>
      <w:r>
        <w:t xml:space="preserve">A multi-channel occupancy model for one building. One jointly trained model generates residential,</w:t>
      </w:r>
      <w:r>
        <w:t xml:space="preserve"> </w:t>
      </w:r>
      <w:r>
        <w:t xml:space="preserve">office and retail presence from a national time-use survey, and a seasonal time-series model</w:t>
      </w:r>
      <w:r>
        <w:t xml:space="preserve"> </w:t>
      </w:r>
      <w:r>
        <w:t xml:space="preserve">generates hotel presence from tourism statistics. All four are routed by space tag into the spaces</w:t>
      </w:r>
      <w:r>
        <w:t xml:space="preserve"> </w:t>
      </w:r>
      <w:r>
        <w:t xml:space="preserve">of one mixed-use tower model.</w:t>
      </w:r>
    </w:p>
    <w:p>
      <w:pPr>
        <w:pStyle w:val="Compact"/>
        <w:numPr>
          <w:ilvl w:val="0"/>
          <w:numId w:val="1001"/>
        </w:numPr>
      </w:pPr>
      <w:r>
        <w:t xml:space="preserve">A like-for-like test of what occupancy detail changes. The same towers, run on code schedules and</w:t>
      </w:r>
      <w:r>
        <w:t xml:space="preserve"> </w:t>
      </w:r>
      <w:r>
        <w:t xml:space="preserve">on survey-based schedules, show that survey-based occupancy moves office and retail intensity by</w:t>
      </w:r>
      <w:r>
        <w:t xml:space="preserve"> </w:t>
      </w:r>
      <w:r>
        <w:t xml:space="preserve">-7 to -10 % and about -9 %, while whole-building timing hardly moves: the load centroid shifts by</w:t>
      </w:r>
      <w:r>
        <w:t xml:space="preserve"> </w:t>
      </w:r>
      <w:r>
        <w:t xml:space="preserve">less than 0.5 h, and the annual peak remains a winter-morning plant start-up under both schedule</w:t>
      </w:r>
      <w:r>
        <w:t xml:space="preserve"> </w:t>
      </w:r>
      <w:r>
        <w:t xml:space="preserve">sets.</w:t>
      </w:r>
    </w:p>
    <w:p>
      <w:pPr>
        <w:pStyle w:val="Compact"/>
        <w:numPr>
          <w:ilvl w:val="0"/>
          <w:numId w:val="1001"/>
        </w:numPr>
      </w:pPr>
      <w:r>
        <w:t xml:space="preserve">Evidence on how mixed-use towers should be judged. Reference intensity ranges built for single-use</w:t>
      </w:r>
      <w:r>
        <w:t xml:space="preserve"> </w:t>
      </w:r>
      <w:r>
        <w:t xml:space="preserve">buildings cannot judge the uses of a stacked tower: the office range is missed even by the</w:t>
      </w:r>
      <w:r>
        <w:t xml:space="preserve"> </w:t>
      </w:r>
      <w:r>
        <w:t xml:space="preserve">code-schedule tower, and the hotel verdict splits by tower prototype.</w:t>
      </w:r>
    </w:p>
    <w:p>
      <w:pPr>
        <w:pStyle w:val="FirstParagraph"/>
      </w:pPr>
      <w:r>
        <w:t xml:space="preserve">We state the limits of these results plainly. A second code control, with apartments and guest rooms</w:t>
      </w:r>
      <w:r>
        <w:t xml:space="preserve"> </w:t>
      </w:r>
      <w:r>
        <w:t xml:space="preserve">on a dwelling-unit schedule, shows that the night-time presence of residents and hotel guests is not</w:t>
      </w:r>
      <w:r>
        <w:t xml:space="preserve"> </w:t>
      </w:r>
      <w:r>
        <w:t xml:space="preserve">unique to the survey data, so the paper does not claim it as a finding. In both controls, office and</w:t>
      </w:r>
      <w:r>
        <w:t xml:space="preserve"> </w:t>
      </w:r>
      <w:r>
        <w:t xml:space="preserve">retail lighting and plug loads stay on the prototype schedules, so the office and retail differences</w:t>
      </w:r>
      <w:r>
        <w:t xml:space="preserve"> </w:t>
      </w:r>
      <w:r>
        <w:t xml:space="preserve">combine occupancy with that change of load schedule. Run-to-run spread was measured with repeated</w:t>
      </w:r>
      <w:r>
        <w:t xml:space="preserve"> </w:t>
      </w:r>
      <w:r>
        <w:t xml:space="preserve">household draws, and the reported office, retail and hotel changes are well above it.</w:t>
      </w:r>
    </w:p>
    <w:p>
      <w:pPr>
        <w:pStyle w:val="BodyText"/>
      </w:pPr>
      <w:r>
        <w:t xml:space="preserve">We submit to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 </w:t>
      </w:r>
      <w:r>
        <w:t xml:space="preserve">because its scope names building performance and advanced</w:t>
      </w:r>
      <w:r>
        <w:t xml:space="preserve"> </w:t>
      </w:r>
      <w:r>
        <w:t xml:space="preserve">simulation tools, artificial intelligence applied to buildings, and human interaction with the built</w:t>
      </w:r>
      <w:r>
        <w:t xml:space="preserve"> </w:t>
      </w:r>
      <w:r>
        <w:t xml:space="preserve">environment. The paper links a learned model of occupant presence to building energy simulation and</w:t>
      </w:r>
      <w:r>
        <w:t xml:space="preserve"> </w:t>
      </w:r>
      <w:r>
        <w:t xml:space="preserve">tells designers where occupancy detail matters: for tenant energy, sub-metering and benchmarking, but</w:t>
      </w:r>
      <w:r>
        <w:t xml:space="preserve"> </w:t>
      </w:r>
      <w:r>
        <w:t xml:space="preserve">not for plant sizing and the building peak.</w:t>
      </w:r>
    </w:p>
    <w:p>
      <w:pPr>
        <w:pStyle w:val="BodyText"/>
      </w:pPr>
      <w:r>
        <w:rPr>
          <w:b/>
          <w:bCs/>
        </w:rPr>
        <w:t xml:space="preserve">Relationship to our earlier work.</w:t>
      </w:r>
      <w:r>
        <w:t xml:space="preserve"> </w:t>
      </w:r>
      <w:r>
        <w:t xml:space="preserve">This is the third study in one research line. Two companion</w:t>
      </w:r>
      <w:r>
        <w:t xml:space="preserve"> </w:t>
      </w:r>
      <w:r>
        <w:t xml:space="preserve">journal manuscripts, both in revision, and a companion conference study (Iseri and Hachem-Vermette,</w:t>
      </w:r>
      <w:r>
        <w:t xml:space="preserve"> </w:t>
      </w:r>
      <w:r>
        <w:t xml:space="preserve">2026) model residential occupancy only. The present paper adds office, retail and hotel channels inside</w:t>
      </w:r>
      <w:r>
        <w:t xml:space="preserve"> </w:t>
      </w:r>
      <w:r>
        <w:t xml:space="preserve">one building. The earlier work is cited and compared in the manuscript (Section 1 and Appendix A).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We confirm that the submission declaration of the journal has been complied with.</w:t>
      </w:r>
      <w:r>
        <w:t xml:space="preserve"> </w:t>
      </w:r>
      <w:r>
        <w:t xml:space="preserve">The work has not been published previously, and it is not under consideration for publication</w:t>
      </w:r>
      <w:r>
        <w:t xml:space="preserve"> </w:t>
      </w:r>
      <w:r>
        <w:t xml:space="preserve">elsewhere. Its publication is approved by both authors and by the responsible authorities at Concordia</w:t>
      </w:r>
      <w:r>
        <w:t xml:space="preserve"> </w:t>
      </w:r>
      <w:r>
        <w:t xml:space="preserve">University, where the work was carried out. If accepted, it will not be published elsewhere in the</w:t>
      </w:r>
      <w:r>
        <w:t xml:space="preserve"> </w:t>
      </w:r>
      <w:r>
        <w:t xml:space="preserve">same form, in English or in any other language, without the written consent of the copyright holder.</w:t>
      </w:r>
      <w:r>
        <w:t xml:space="preserve"> </w:t>
      </w:r>
      <w:r>
        <w:t xml:space="preserve">All figures and tables are original to this work and reproduce no previously published material, so</w:t>
      </w:r>
      <w:r>
        <w:t xml:space="preserve"> </w:t>
      </w:r>
      <w:r>
        <w:t xml:space="preserve">no copyright permissions were required. The survey and tourism data are public releases and are cited</w:t>
      </w:r>
      <w:r>
        <w:t xml:space="preserve"> </w:t>
      </w:r>
      <w:r>
        <w:t xml:space="preserve">in the manuscript. We have no competing interests to declare. The use of generative AI tools,</w:t>
      </w:r>
      <w:r>
        <w:t xml:space="preserve"> </w:t>
      </w:r>
      <w:r>
        <w:t xml:space="preserve">including for the schematic figures, is declared at the end of the manuscript and in the figure</w:t>
      </w:r>
      <w:r>
        <w:t xml:space="preserve"> </w:t>
      </w:r>
      <w:r>
        <w:t xml:space="preserve">captions.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40"/>
    <w:bookmarkStart w:id="43" w:name="title-page"/>
    <w:p>
      <w:pPr>
        <w:pStyle w:val="Heading1"/>
      </w:pPr>
      <w:r>
        <w:t xml:space="preserve">Title page</w:t>
      </w:r>
    </w:p>
    <w:bookmarkStart w:id="4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From One Channel to Four: A Jointly-Trained Time-Use Occupancy Model for Mixed-Use Building Energy</w:t>
      </w:r>
      <w:r>
        <w:t xml:space="preserve"> </w:t>
      </w:r>
      <w:r>
        <w:t xml:space="preserve">Simulation (Canada, 2005-2030)</w:t>
      </w:r>
    </w:p>
    <w:bookmarkEnd w:id="41"/>
    <w:bookmarkStart w:id="4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a,*</w:t>
      </w:r>
      <w:r>
        <w:t xml:space="preserve">, Caroline Hachem-Vermette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BodyText"/>
      </w:pPr>
      <w:r>
        <w:t xml:space="preserve">* Corresponding author. E-mail address: orcunkoral.oseri@concordia.ca</w:t>
      </w:r>
    </w:p>
    <w:p>
      <w:pPr>
        <w:pStyle w:val="BodyText"/>
      </w:pPr>
      <w:r>
        <w:t xml:space="preserve">ORCID: Orcun Koral Iseri, https://orcid.org/0000-0001-7735-3363</w:t>
      </w:r>
    </w:p>
    <w:bookmarkEnd w:id="42"/>
    <w:bookmarkEnd w:id="43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2026-09-25T19:12:36Z</dcterms:created>
  <dcterms:modified xsi:type="dcterms:W3CDTF">2026-09-25T19:12:36Z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