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8636" w14:textId="2B720F98" w:rsidR="000C67B8" w:rsidRPr="00CE07C4" w:rsidRDefault="00AA5DF2" w:rsidP="00782783">
      <w:pPr>
        <w:pStyle w:val="Title"/>
      </w:pPr>
      <w:r w:rsidRPr="00CE07C4">
        <w:t>Longitudinal Analysis of Occupancy-Driven Energy Demand in Canadian Residential Buildings (2005–2025)</w:t>
      </w:r>
    </w:p>
    <w:p w14:paraId="57D7A4FB" w14:textId="77777777" w:rsidR="00073946" w:rsidRDefault="00073946">
      <w:pPr>
        <w:pBdr>
          <w:top w:val="nil"/>
          <w:left w:val="nil"/>
          <w:bottom w:val="nil"/>
          <w:right w:val="nil"/>
          <w:between w:val="nil"/>
        </w:pBdr>
        <w:spacing w:after="0" w:line="280" w:lineRule="auto"/>
        <w:jc w:val="center"/>
        <w:rPr>
          <w:color w:val="000000"/>
          <w:sz w:val="24"/>
          <w:szCs w:val="24"/>
        </w:rPr>
      </w:pPr>
    </w:p>
    <w:p w14:paraId="3976B263" w14:textId="0260D4FD" w:rsidR="000C67B8" w:rsidRPr="00CE07C4" w:rsidRDefault="00AA5DF2">
      <w:pPr>
        <w:pBdr>
          <w:top w:val="nil"/>
          <w:left w:val="nil"/>
          <w:bottom w:val="nil"/>
          <w:right w:val="nil"/>
          <w:between w:val="nil"/>
        </w:pBdr>
        <w:spacing w:after="0" w:line="280" w:lineRule="auto"/>
        <w:jc w:val="center"/>
        <w:rPr>
          <w:color w:val="000000"/>
          <w:sz w:val="24"/>
          <w:szCs w:val="24"/>
        </w:rPr>
      </w:pPr>
      <w:r w:rsidRPr="00CE07C4">
        <w:rPr>
          <w:color w:val="000000"/>
          <w:sz w:val="24"/>
          <w:szCs w:val="24"/>
        </w:rPr>
        <w:t>XX</w:t>
      </w:r>
      <w:r w:rsidR="00DB7A1F" w:rsidRPr="00CE07C4">
        <w:rPr>
          <w:color w:val="000000"/>
          <w:sz w:val="24"/>
          <w:szCs w:val="24"/>
          <w:vertAlign w:val="superscript"/>
        </w:rPr>
        <w:t>1</w:t>
      </w:r>
      <w:r w:rsidR="00DB7A1F" w:rsidRPr="00CE07C4">
        <w:rPr>
          <w:color w:val="000000"/>
          <w:sz w:val="24"/>
          <w:szCs w:val="24"/>
        </w:rPr>
        <w:t xml:space="preserve">, </w:t>
      </w:r>
      <w:r w:rsidRPr="00CE07C4">
        <w:rPr>
          <w:color w:val="000000"/>
          <w:sz w:val="24"/>
          <w:szCs w:val="24"/>
        </w:rPr>
        <w:t>XX</w:t>
      </w:r>
      <w:r w:rsidR="00DB7A1F" w:rsidRPr="00CE07C4">
        <w:rPr>
          <w:color w:val="000000"/>
          <w:sz w:val="24"/>
          <w:szCs w:val="24"/>
          <w:vertAlign w:val="superscript"/>
        </w:rPr>
        <w:t>2</w:t>
      </w:r>
    </w:p>
    <w:p w14:paraId="19A64AD2" w14:textId="77777777" w:rsidR="000C67B8" w:rsidRPr="00CE07C4" w:rsidRDefault="00DB7A1F">
      <w:pPr>
        <w:pBdr>
          <w:top w:val="nil"/>
          <w:left w:val="nil"/>
          <w:bottom w:val="nil"/>
          <w:right w:val="nil"/>
          <w:between w:val="nil"/>
        </w:pBdr>
        <w:spacing w:after="0" w:line="280" w:lineRule="auto"/>
        <w:jc w:val="center"/>
        <w:rPr>
          <w:color w:val="000000"/>
          <w:sz w:val="24"/>
          <w:szCs w:val="24"/>
        </w:rPr>
      </w:pPr>
      <w:r w:rsidRPr="00CE07C4">
        <w:rPr>
          <w:color w:val="000000"/>
          <w:sz w:val="24"/>
          <w:szCs w:val="24"/>
          <w:vertAlign w:val="superscript"/>
        </w:rPr>
        <w:t>1</w:t>
      </w:r>
      <w:r w:rsidRPr="00CE07C4">
        <w:rPr>
          <w:color w:val="000000"/>
          <w:sz w:val="24"/>
          <w:szCs w:val="24"/>
        </w:rPr>
        <w:t>Institution 1, City 1, Country 1</w:t>
      </w:r>
    </w:p>
    <w:p w14:paraId="1B911F60" w14:textId="77777777" w:rsidR="000C67B8" w:rsidRPr="00CE07C4" w:rsidRDefault="00DB7A1F">
      <w:pPr>
        <w:pBdr>
          <w:top w:val="nil"/>
          <w:left w:val="nil"/>
          <w:bottom w:val="nil"/>
          <w:right w:val="nil"/>
          <w:between w:val="nil"/>
        </w:pBdr>
        <w:spacing w:after="0" w:line="280" w:lineRule="auto"/>
        <w:jc w:val="center"/>
        <w:rPr>
          <w:color w:val="000000"/>
          <w:sz w:val="24"/>
          <w:szCs w:val="24"/>
        </w:rPr>
      </w:pPr>
      <w:r w:rsidRPr="00CE07C4">
        <w:rPr>
          <w:color w:val="000000"/>
          <w:sz w:val="24"/>
          <w:szCs w:val="24"/>
          <w:vertAlign w:val="superscript"/>
        </w:rPr>
        <w:t>2</w:t>
      </w:r>
      <w:r w:rsidRPr="00CE07C4">
        <w:rPr>
          <w:color w:val="000000"/>
          <w:sz w:val="24"/>
          <w:szCs w:val="24"/>
        </w:rPr>
        <w:t>Institution 2, City 2, Country 2</w:t>
      </w:r>
    </w:p>
    <w:p w14:paraId="425D4014" w14:textId="77777777" w:rsidR="000C67B8" w:rsidRDefault="000C67B8">
      <w:pPr>
        <w:pBdr>
          <w:top w:val="nil"/>
          <w:left w:val="nil"/>
          <w:bottom w:val="nil"/>
          <w:right w:val="nil"/>
          <w:between w:val="nil"/>
        </w:pBdr>
        <w:spacing w:after="0" w:line="280" w:lineRule="auto"/>
        <w:jc w:val="center"/>
        <w:rPr>
          <w:i/>
          <w:color w:val="000000"/>
          <w:sz w:val="24"/>
          <w:szCs w:val="24"/>
        </w:rPr>
      </w:pPr>
    </w:p>
    <w:p w14:paraId="582E519D" w14:textId="77777777" w:rsidR="00073946" w:rsidRPr="00CE07C4" w:rsidRDefault="00073946">
      <w:pPr>
        <w:pBdr>
          <w:top w:val="nil"/>
          <w:left w:val="nil"/>
          <w:bottom w:val="nil"/>
          <w:right w:val="nil"/>
          <w:between w:val="nil"/>
        </w:pBdr>
        <w:spacing w:after="0" w:line="280" w:lineRule="auto"/>
        <w:jc w:val="center"/>
        <w:rPr>
          <w:i/>
          <w:color w:val="000000"/>
          <w:sz w:val="24"/>
          <w:szCs w:val="24"/>
        </w:rPr>
      </w:pPr>
    </w:p>
    <w:p w14:paraId="0E701B6E" w14:textId="77777777" w:rsidR="000C67B8" w:rsidRPr="00CE07C4" w:rsidRDefault="000C67B8">
      <w:pPr>
        <w:pBdr>
          <w:top w:val="nil"/>
          <w:left w:val="nil"/>
          <w:bottom w:val="nil"/>
          <w:right w:val="nil"/>
          <w:between w:val="nil"/>
        </w:pBdr>
        <w:spacing w:after="0" w:line="280" w:lineRule="auto"/>
        <w:jc w:val="center"/>
        <w:rPr>
          <w:i/>
          <w:color w:val="000000"/>
          <w:sz w:val="24"/>
          <w:szCs w:val="24"/>
        </w:rPr>
      </w:pPr>
    </w:p>
    <w:p w14:paraId="7DD90E78" w14:textId="77777777" w:rsidR="000C67B8" w:rsidRPr="00CE07C4" w:rsidRDefault="000C67B8">
      <w:pPr>
        <w:pBdr>
          <w:top w:val="nil"/>
          <w:left w:val="nil"/>
          <w:bottom w:val="nil"/>
          <w:right w:val="nil"/>
          <w:between w:val="nil"/>
        </w:pBdr>
        <w:spacing w:after="0" w:line="280" w:lineRule="auto"/>
        <w:jc w:val="center"/>
        <w:rPr>
          <w:i/>
          <w:color w:val="000000"/>
          <w:sz w:val="24"/>
          <w:szCs w:val="24"/>
        </w:rPr>
        <w:sectPr w:rsidR="000C67B8" w:rsidRPr="00CE07C4">
          <w:headerReference w:type="even" r:id="rId12"/>
          <w:headerReference w:type="default" r:id="rId13"/>
          <w:footerReference w:type="even" r:id="rId14"/>
          <w:footerReference w:type="default" r:id="rId15"/>
          <w:headerReference w:type="first" r:id="rId16"/>
          <w:footerReference w:type="first" r:id="rId17"/>
          <w:pgSz w:w="12240" w:h="15840"/>
          <w:pgMar w:top="1418" w:right="1134" w:bottom="1418" w:left="1134" w:header="720" w:footer="720" w:gutter="0"/>
          <w:pgNumType w:start="1"/>
          <w:cols w:space="720"/>
        </w:sectPr>
      </w:pPr>
    </w:p>
    <w:p w14:paraId="0B0D04B0" w14:textId="77777777" w:rsidR="000C67B8" w:rsidRPr="00CE07C4" w:rsidRDefault="00DB7A1F">
      <w:pPr>
        <w:pStyle w:val="Heading1"/>
      </w:pPr>
      <w:r w:rsidRPr="00CE07C4">
        <w:t>Abstract</w:t>
      </w:r>
    </w:p>
    <w:p w14:paraId="3F612AB4" w14:textId="00EF797F" w:rsidR="003B6F01" w:rsidRPr="00CE07C4" w:rsidRDefault="003B6F01" w:rsidP="00782783">
      <w:r w:rsidRPr="00CE07C4">
        <w:t xml:space="preserve">Building Performance Modeling often relies on static schedules that ignore how long term societal transformations alter residential energy demand. This paper presents a longitudinal analysis from 2005 to 2025, tracking shifts in Canadian residential energy demand due to evolving occupancy patterns. Using General Social Survey </w:t>
      </w:r>
      <w:r w:rsidRPr="00CE07C4">
        <w:t xml:space="preserve">(GSS) </w:t>
      </w:r>
      <w:r w:rsidRPr="00CE07C4">
        <w:t>data and machine learning, we developed a data driven framework to generate historically grounded dynamic occupancy profiles. Integrating these profiles into energy simulations reveals significant shifts in energy use directly attributable to behavioral dynamics. This methodology provides critical insights for engineers and policymakers to develop adaptive building codes and effective energy retrofit strategies.</w:t>
      </w:r>
    </w:p>
    <w:p w14:paraId="0A4CBF2F" w14:textId="77777777" w:rsidR="000C67B8" w:rsidRPr="00CE07C4" w:rsidRDefault="00DB7A1F">
      <w:pPr>
        <w:pStyle w:val="Heading1"/>
      </w:pPr>
      <w:r w:rsidRPr="00CE07C4">
        <w:t>Introduction</w:t>
      </w:r>
    </w:p>
    <w:p w14:paraId="3D8442E2" w14:textId="39F6C05C" w:rsidR="00AA5DF2" w:rsidRPr="00CE07C4" w:rsidRDefault="00AA5DF2" w:rsidP="00AA5DF2">
      <w:pPr>
        <w:spacing w:after="240"/>
      </w:pPr>
      <w:r w:rsidRPr="00CE07C4">
        <w:t xml:space="preserve">Building performance simulation (BPS) serves as a vital tool for examining energy metrics throughout the building life cycle, yet a significant performance gap remains between predicted and actual outcomes  </w:t>
      </w:r>
      <w:sdt>
        <w:sdtPr>
          <w:rPr>
            <w:color w:val="000000"/>
          </w:rPr>
          <w:tag w:val="MENDELEY_CITATION_v3_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"/>
          <w:id w:val="-786122197"/>
          <w:placeholder>
            <w:docPart w:val="B157A9F88DAB214EB3CC4AB992F6BE63"/>
          </w:placeholder>
        </w:sdtPr>
        <w:sdtContent>
          <w:r w:rsidR="002D18FD" w:rsidRPr="00CE07C4">
            <w:rPr>
              <w:color w:val="000000"/>
            </w:rPr>
            <w:t xml:space="preserve">(Turley </w:t>
          </w:r>
          <w:r w:rsidR="002D18FD" w:rsidRPr="00CE07C4">
            <w:rPr>
              <w:i/>
              <w:iCs/>
              <w:color w:val="000000"/>
            </w:rPr>
            <w:t>et al.</w:t>
          </w:r>
          <w:r w:rsidR="002D18FD" w:rsidRPr="00CE07C4">
            <w:rPr>
              <w:color w:val="000000"/>
            </w:rPr>
            <w:t>, 2020)</w:t>
          </w:r>
        </w:sdtContent>
      </w:sdt>
      <w:r w:rsidRPr="00CE07C4">
        <w:t xml:space="preserve">. This discrepancy is largely attributed to the inadequate representation of occupant behavior, as traditional modeling often relies on deterministic schedules that fail to capture the stochastic nature of real world usage </w:t>
      </w:r>
      <w:sdt>
        <w:sdtPr>
          <w:rPr>
            <w:color w:val="000000"/>
          </w:rPr>
          <w:tag w:val="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"/>
          <w:id w:val="-1338530949"/>
          <w:placeholder>
            <w:docPart w:val="B157A9F88DAB214EB3CC4AB992F6BE63"/>
          </w:placeholder>
        </w:sdtPr>
        <w:sdtContent>
          <w:r w:rsidR="002D18FD" w:rsidRPr="00CE07C4">
            <w:rPr>
              <w:color w:val="000000"/>
            </w:rPr>
            <w:t xml:space="preserve">(Hong </w:t>
          </w:r>
          <w:r w:rsidR="002D18FD" w:rsidRPr="00CE07C4">
            <w:rPr>
              <w:i/>
              <w:iCs/>
              <w:color w:val="000000"/>
            </w:rPr>
            <w:t>et al.</w:t>
          </w:r>
          <w:r w:rsidR="002D18FD" w:rsidRPr="00CE07C4">
            <w:rPr>
              <w:color w:val="000000"/>
            </w:rPr>
            <w:t xml:space="preserve">, 2017; Mahdavi </w:t>
          </w:r>
          <w:r w:rsidR="002D18FD" w:rsidRPr="00CE07C4">
            <w:rPr>
              <w:i/>
              <w:iCs/>
              <w:color w:val="000000"/>
            </w:rPr>
            <w:t>et al.</w:t>
          </w:r>
          <w:r w:rsidR="002D18FD" w:rsidRPr="00CE07C4">
            <w:rPr>
              <w:color w:val="000000"/>
            </w:rPr>
            <w:t>, 2021)</w:t>
          </w:r>
        </w:sdtContent>
      </w:sdt>
      <w:r w:rsidRPr="00CE07C4">
        <w:t xml:space="preserve">. Residential buildings are particularly sensitive to these errors, accounting for nearly 30 percent of global energy consumption while exhibiting highly diverse behavioral patterns driven by individual lifestyles and household dynamics </w:t>
      </w:r>
      <w:sdt>
        <w:sdtPr>
          <w:rPr>
            <w:color w:val="000000"/>
          </w:rPr>
          <w:tag w:val="MENDELEY_CITATION_v3_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"/>
          <w:id w:val="-1489706643"/>
          <w:placeholder>
            <w:docPart w:val="B157A9F88DAB214EB3CC4AB992F6BE63"/>
          </w:placeholder>
        </w:sdtPr>
        <w:sdtContent>
          <w:r w:rsidR="002D18FD" w:rsidRPr="00CE07C4">
            <w:rPr>
              <w:color w:val="000000"/>
            </w:rPr>
            <w:t>(Pérez-Lombard, Ortiz and Pout, 2008)</w:t>
          </w:r>
        </w:sdtContent>
      </w:sdt>
      <w:r w:rsidRPr="00CE07C4">
        <w:t xml:space="preserve">. Capturing these dynamics requires models that go beyond static assumptions to account for both temporal routines and specific demographic characteristics, such as age and employment status, which fundamentally alter internal heat gain profiles </w:t>
      </w:r>
      <w:sdt>
        <w:sdtPr>
          <w:rPr>
            <w:color w:val="000000"/>
          </w:rPr>
          <w:tag w:val="MENDELEY_CITATION_v3_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"/>
          <w:id w:val="-1409140332"/>
          <w:placeholder>
            <w:docPart w:val="B157A9F88DAB214EB3CC4AB992F6BE63"/>
          </w:placeholder>
        </w:sdtPr>
        <w:sdtContent>
          <w:r w:rsidR="002D18FD" w:rsidRPr="00CE07C4">
            <w:rPr>
              <w:color w:val="000000"/>
            </w:rPr>
            <w:t xml:space="preserve">(Wilke, Haldi and Robinson, 2011; Lu </w:t>
          </w:r>
          <w:r w:rsidR="002D18FD" w:rsidRPr="00CE07C4">
            <w:rPr>
              <w:i/>
              <w:iCs/>
              <w:color w:val="000000"/>
            </w:rPr>
            <w:t>et al.</w:t>
          </w:r>
          <w:r w:rsidR="002D18FD" w:rsidRPr="00CE07C4">
            <w:rPr>
              <w:color w:val="000000"/>
            </w:rPr>
            <w:t>, 2021)</w:t>
          </w:r>
        </w:sdtContent>
      </w:sdt>
      <w:r w:rsidRPr="00CE07C4">
        <w:t xml:space="preserve">. </w:t>
      </w:r>
    </w:p>
    <w:p w14:paraId="2EE5762A" w14:textId="10A20563" w:rsidR="003B6F01" w:rsidRPr="00CE07C4" w:rsidRDefault="00AA5DF2" w:rsidP="003B6F01">
      <w:pPr>
        <w:spacing w:before="240" w:after="240"/>
      </w:pPr>
      <w:r w:rsidRPr="00CE07C4">
        <w:t xml:space="preserve">Time Use Surveys (TUS) provide the foundational empirical data required for activity based modeling, allowing researchers to link specific behaviors to demographic attributes  </w:t>
      </w:r>
      <w:sdt>
        <w:sdtPr>
          <w:rPr>
            <w:color w:val="000000"/>
          </w:rPr>
          <w:tag w:val="MENDELEY_CITATION_v3_eyJjaXRhdGlvbklEIjoiTUVOREVMRVlfQ0lUQVRJT05fNGM4MDA0YjgtOTkyMS00OTNlLWEyY2EtMWIwNGQ5NWNlYjBmIiwicHJvcGVydGllcyI6eyJub3RlSW5kZXgiOjB9LCJpc0VkaXRlZCI6ZmFsc2UsIm1hbnVhbE92ZXJyaWRlIjp7ImlzTWFudWFsbHlPdmVycmlkZGVuIjpmYWxzZSwiY2l0ZXByb2NUZXh0IjoiKFJpY2hhcmRzb24sIFRob21zb24gYW5kIEluZmllbGQsIDIwMDg7IE1pdHJhLCBDaHUgYW5kIENldGluLCAyMDIwKSIsIm1hbnVhbE92ZXJyaWRlVGV4dCI6IiJ9LCJjaXRhdGlvbkl0ZW1zIjpb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"/>
          <w:id w:val="-682365202"/>
          <w:placeholder>
            <w:docPart w:val="5E485630A64EFC4EB90CD4FE29C9DBD9"/>
          </w:placeholder>
        </w:sdtPr>
        <w:sdtContent>
          <w:r w:rsidR="002D18FD" w:rsidRPr="00CE07C4">
            <w:rPr>
              <w:color w:val="000000"/>
            </w:rPr>
            <w:t>(Richardson, Thomson and Infield, 2008; Mitra, Chu and Cetin, 2020)</w:t>
          </w:r>
        </w:sdtContent>
      </w:sdt>
      <w:r w:rsidRPr="00CE07C4">
        <w:t xml:space="preserve">. However, existing </w:t>
      </w:r>
      <w:r w:rsidRPr="00CE07C4">
        <w:t xml:space="preserve">methodologies ranging from stochastic Markov chains to complex agent based models often struggle with longitudinal consistency or overlook the intra household social interactions that drive energy use  </w:t>
      </w:r>
      <w:sdt>
        <w:sdtPr>
          <w:rPr>
            <w:color w:val="000000"/>
          </w:rPr>
          <w:tag w:val="MENDELEY_CITATION_v3_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"/>
          <w:id w:val="1236583577"/>
          <w:placeholder>
            <w:docPart w:val="5E485630A64EFC4EB90CD4FE29C9DBD9"/>
          </w:placeholder>
        </w:sdtPr>
        <w:sdtContent>
          <w:r w:rsidR="002D18FD" w:rsidRPr="00CE07C4">
            <w:rPr>
              <w:color w:val="000000"/>
            </w:rPr>
            <w:t>(Duan, He and Yu, 2015)</w:t>
          </w:r>
        </w:sdtContent>
      </w:sdt>
      <w:r w:rsidRPr="00CE07C4">
        <w:t xml:space="preserve">. While TUS data is instrumental for bottom up modeling, many current frameworks rely on single day snapshots that fail to account for decadal societal transformations, such as the rise of remote work or demographic aging </w:t>
      </w:r>
      <w:sdt>
        <w:sdtPr>
          <w:rPr>
            <w:color w:val="000000"/>
          </w:rPr>
          <w:tag w:val="MENDELEY_CITATION_v3_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"/>
          <w:id w:val="811216098"/>
          <w:placeholder>
            <w:docPart w:val="5E485630A64EFC4EB90CD4FE29C9DBD9"/>
          </w:placeholder>
        </w:sdtPr>
        <w:sdtContent>
          <w:r w:rsidR="002D18FD" w:rsidRPr="00CE07C4">
            <w:rPr>
              <w:color w:val="000000"/>
            </w:rPr>
            <w:t>(Fischer, Härtl and Wille-Haussmann, 2015; Iseri, Dino and Kalkan, 2026)</w:t>
          </w:r>
        </w:sdtContent>
      </w:sdt>
      <w:r w:rsidRPr="00CE07C4">
        <w:t>.</w:t>
      </w:r>
    </w:p>
    <w:p w14:paraId="400B1244" w14:textId="40FD29E9" w:rsidR="003B6F01" w:rsidRPr="00CE07C4" w:rsidRDefault="003B6F01" w:rsidP="003B6F01">
      <w:pPr>
        <w:spacing w:before="240" w:after="240"/>
      </w:pPr>
      <w:r w:rsidRPr="00CE07C4">
        <w:rPr>
          <w:noProof/>
        </w:rPr>
        <w:drawing>
          <wp:inline distT="0" distB="0" distL="0" distR="0" wp14:anchorId="4B3DA0CB" wp14:editId="2ACD672C">
            <wp:extent cx="2937510" cy="856615"/>
            <wp:effectExtent l="0" t="0" r="0" b="0"/>
            <wp:docPr id="434381018" name="Picture 2" descr="A close-up of a fol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81018" name="Picture 2" descr="A close-up of a fold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37510" cy="856615"/>
                    </a:xfrm>
                    <a:prstGeom prst="rect">
                      <a:avLst/>
                    </a:prstGeom>
                  </pic:spPr>
                </pic:pic>
              </a:graphicData>
            </a:graphic>
          </wp:inline>
        </w:drawing>
      </w:r>
    </w:p>
    <w:p w14:paraId="3695234F" w14:textId="0026D332" w:rsidR="003B6F01" w:rsidRPr="00CE07C4" w:rsidRDefault="003B6F01" w:rsidP="003B6F01">
      <w:pPr>
        <w:jc w:val="center"/>
        <w:rPr>
          <w:i/>
          <w:iCs/>
        </w:rPr>
      </w:pPr>
      <w:bookmarkStart w:id="0" w:name="_Ref222158422"/>
      <w:r w:rsidRPr="00CE07C4">
        <w:rPr>
          <w:i/>
          <w:iCs/>
        </w:rPr>
        <w:t xml:space="preserve">Figure </w:t>
      </w:r>
      <w:r w:rsidRPr="00CE07C4">
        <w:rPr>
          <w:i/>
          <w:iCs/>
        </w:rPr>
        <w:fldChar w:fldCharType="begin"/>
      </w:r>
      <w:r w:rsidRPr="00CE07C4">
        <w:rPr>
          <w:i/>
          <w:iCs/>
        </w:rPr>
        <w:instrText xml:space="preserve"> SEQ Figure \* ARABIC </w:instrText>
      </w:r>
      <w:r w:rsidRPr="00CE07C4">
        <w:rPr>
          <w:i/>
          <w:iCs/>
        </w:rPr>
        <w:fldChar w:fldCharType="separate"/>
      </w:r>
      <w:r w:rsidRPr="00CE07C4">
        <w:rPr>
          <w:i/>
          <w:iCs/>
          <w:noProof/>
        </w:rPr>
        <w:t>1</w:t>
      </w:r>
      <w:r w:rsidRPr="00CE07C4">
        <w:rPr>
          <w:i/>
          <w:iCs/>
          <w:noProof/>
        </w:rPr>
        <w:fldChar w:fldCharType="end"/>
      </w:r>
      <w:bookmarkEnd w:id="0"/>
      <w:r w:rsidRPr="00CE07C4">
        <w:rPr>
          <w:i/>
          <w:iCs/>
        </w:rPr>
        <w:t>.  GSS Classification and Occupancy Impact</w:t>
      </w:r>
    </w:p>
    <w:p w14:paraId="6EC05D3C" w14:textId="77777777" w:rsidR="003B6F01" w:rsidRPr="00CE07C4" w:rsidRDefault="003B6F01" w:rsidP="003B6F01">
      <w:pPr>
        <w:spacing w:before="240" w:after="240"/>
      </w:pPr>
      <w:r w:rsidRPr="00CE07C4">
        <w:t xml:space="preserve">This study develops and validates a data-driven framework that synthesizes Canadian Census and General Social Survey (GSS) time-use data to generate statistically grounded occupancy profiles. These profiles capture both the non-temporal and temporal characteristics of residential building occupants across successive historical periods. The framework then quantifies how occupancy-driven variability influences heating, cooling, lighting, and equipment demand in Building Energy Models (BEM), addressing the critical gap between default schedules and actual behavior. </w:t>
      </w:r>
    </w:p>
    <w:p w14:paraId="5ADF2466" w14:textId="7D8A023C" w:rsidR="00AA5DF2" w:rsidRPr="00CE07C4" w:rsidRDefault="003B6F01" w:rsidP="003B6F01">
      <w:pPr>
        <w:spacing w:before="240" w:after="240"/>
      </w:pPr>
      <w:r w:rsidRPr="00CE07C4">
        <w:t>To achieve these objectives (</w:t>
      </w:r>
      <w:r w:rsidRPr="00CE07C4">
        <w:fldChar w:fldCharType="begin"/>
      </w:r>
      <w:r w:rsidRPr="00CE07C4">
        <w:instrText xml:space="preserve"> REF _Ref222158422 \h </w:instrText>
      </w:r>
      <w:r w:rsidRPr="00CE07C4">
        <w:fldChar w:fldCharType="separate"/>
      </w:r>
      <w:r w:rsidRPr="00CE07C4">
        <w:t xml:space="preserve">Figure </w:t>
      </w:r>
      <w:r w:rsidRPr="00CE07C4">
        <w:rPr>
          <w:noProof/>
        </w:rPr>
        <w:t>1</w:t>
      </w:r>
      <w:r w:rsidRPr="00CE07C4">
        <w:fldChar w:fldCharType="end"/>
      </w:r>
      <w:r w:rsidRPr="00CE07C4">
        <w:t xml:space="preserve">), the study first constructs a generative machine learning framework that integrates Canadian Census and GSS datasets to produce longitudinal occupancy schedules spanning historical and projected periods from 2005 to 2025. The resulting profiles are then used to quantify the magnitude of change in residential occupancy patterns and evaluate how these behavioral shifts propagate into simulated heating and cooling demand. Finally, the projected 2025 occupancy patterns are assessed against historical trends to examine their utility for near-term residential building performance forecasting. </w:t>
      </w:r>
    </w:p>
    <w:p w14:paraId="1C973D6B" w14:textId="48A87F35" w:rsidR="00AA5DF2" w:rsidRPr="00CE07C4" w:rsidRDefault="003B6F01" w:rsidP="003B6F01">
      <w:pPr>
        <w:pStyle w:val="Heading1"/>
      </w:pPr>
      <w:r w:rsidRPr="00CE07C4">
        <w:lastRenderedPageBreak/>
        <w:t>Datasets</w:t>
      </w:r>
    </w:p>
    <w:p w14:paraId="42E3F2E8" w14:textId="6E867883" w:rsidR="003B6F01" w:rsidRPr="00CE07C4" w:rsidRDefault="003B6F01" w:rsidP="003B6F01">
      <w:pPr>
        <w:spacing w:before="240" w:after="240"/>
      </w:pPr>
      <w:r w:rsidRPr="00CE07C4">
        <w:t xml:space="preserve">This study utilizes two complementary national datasets managed by Statistics Canada to construct comprehensive occupancy profiles for residential building energy modeling: the Census of Population and the General Social Statistics Program (GSS) Time Use cycle </w:t>
      </w:r>
      <w:sdt>
        <w:sdtPr>
          <w:rPr>
            <w:color w:val="000000"/>
          </w:rPr>
          <w:tag w:val="MENDELEY_CITATION_v3_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"/>
          <w:id w:val="967640528"/>
          <w:placeholder>
            <w:docPart w:val="549B1244EE9D374F8866ADD921804C63"/>
          </w:placeholder>
        </w:sdtPr>
        <w:sdtContent>
          <w:r w:rsidR="002D18FD" w:rsidRPr="00CE07C4">
            <w:rPr>
              <w:color w:val="000000"/>
            </w:rPr>
            <w:t>(Statistics Canada, 2012, 2022)</w:t>
          </w:r>
        </w:sdtContent>
      </w:sdt>
      <w:r w:rsidRPr="00CE07C4">
        <w:t xml:space="preserve">. The Census provides the demographic structure while the GSS supplies behavioral dynamics and the GSS animates this structure with behavioral and temporal dynamics. Census data from four cycles (2006, 2011, 2016, and 2021) provide the non temporal occupancy characteristics, including household size, dwelling type, occupant age distribution, and family structure </w:t>
      </w:r>
      <w:sdt>
        <w:sdtPr>
          <w:rPr>
            <w:color w:val="000000"/>
          </w:rPr>
          <w:tag w:val="MENDELEY_CITATION_v3_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"/>
          <w:id w:val="374197663"/>
          <w:placeholder>
            <w:docPart w:val="549B1244EE9D374F8866ADD921804C63"/>
          </w:placeholder>
        </w:sdtPr>
        <w:sdtContent>
          <w:r w:rsidR="002D18FD" w:rsidRPr="00CE07C4">
            <w:rPr>
              <w:color w:val="000000"/>
            </w:rPr>
            <w:t>(Statistics Canada, 2021)</w:t>
          </w:r>
        </w:sdtContent>
      </w:sdt>
      <w:r w:rsidRPr="00CE07C4">
        <w:t xml:space="preserve">. These variables establish the demographic foundation upon which temporal patterns are mapped. Complementing this, the GSS Time Use cycles from 2005, 2010, 2015, and 2022 capture the temporal patterns of occupant presence through 24 hour retrospective diaries </w:t>
      </w:r>
      <w:sdt>
        <w:sdtPr>
          <w:rPr>
            <w:color w:val="000000"/>
          </w:rPr>
          <w:tag w:val="MENDELEY_CITATION_v3_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"/>
          <w:id w:val="-270782729"/>
          <w:placeholder>
            <w:docPart w:val="549B1244EE9D374F8866ADD921804C63"/>
          </w:placeholder>
        </w:sdtPr>
        <w:sdtContent>
          <w:r w:rsidR="002D18FD" w:rsidRPr="00CE07C4">
            <w:rPr>
              <w:color w:val="000000"/>
            </w:rPr>
            <w:t>(Statistics Canada, 2022)</w:t>
          </w:r>
        </w:sdtContent>
      </w:sdt>
      <w:r w:rsidRPr="00CE07C4">
        <w:t>. In these diaries, respondents report their primary activities, locations, and social context for every 10-minute interval of a reference day, offering a detailed behavioral record that evolves across successive survey cycles. Together, these datasets enable the generation of statistically grounded occupancy profiles that reflect the diversity and temporal evolution of actual Canadian households, addressing the limitations of generic, static assumptions common in conventional energy modeling.</w:t>
      </w:r>
    </w:p>
    <w:p w14:paraId="7D6E1F6C" w14:textId="48D8789B" w:rsidR="003B6F01" w:rsidRPr="00CE07C4" w:rsidRDefault="003B6F01" w:rsidP="003B6F01">
      <w:pPr>
        <w:pStyle w:val="Heading2"/>
      </w:pPr>
      <w:r w:rsidRPr="00CE07C4">
        <w:t>Data Preprocessing</w:t>
      </w:r>
    </w:p>
    <w:p w14:paraId="5C5AE37C" w14:textId="77777777" w:rsidR="003B6F01" w:rsidRPr="00CE07C4" w:rsidRDefault="003B6F01" w:rsidP="003B6F01">
      <w:pPr>
        <w:spacing w:before="240" w:after="240"/>
      </w:pPr>
      <w:r w:rsidRPr="00CE07C4">
        <w:t xml:space="preserve">The integration of disparate national datasets into a longitudinal occupancy framework requires a multi stage preprocessing pipeline, as illustrated in </w:t>
      </w:r>
      <w:r w:rsidRPr="00CE07C4">
        <w:fldChar w:fldCharType="begin"/>
      </w:r>
      <w:r w:rsidRPr="00CE07C4">
        <w:instrText xml:space="preserve"> REF _Ref222158458 \h </w:instrText>
      </w:r>
      <w:r w:rsidRPr="00CE07C4">
        <w:fldChar w:fldCharType="separate"/>
      </w:r>
      <w:r w:rsidRPr="00CE07C4">
        <w:t xml:space="preserve">Figure </w:t>
      </w:r>
      <w:r w:rsidRPr="00CE07C4">
        <w:rPr>
          <w:noProof/>
        </w:rPr>
        <w:t>2</w:t>
      </w:r>
      <w:r w:rsidRPr="00CE07C4">
        <w:fldChar w:fldCharType="end"/>
      </w:r>
      <w:r w:rsidRPr="00CE07C4">
        <w:t>. This unified workflow standardizes the demographic microdata from the Census alongside the temporal event based diaries from the GSS, ensuring structural compatibility across the twenty year study period. For Census datasets, the workflow involved cleaning raw files to preserve demographic completeness, harmonizing dwelling typology classifications to enable cross cycle comparability, and engineering features to aggregate individual level records into household level observations. This process culminated in standardized datasets with consistent variable structures across all four census periods, facilitating a robust analysis of dwelling type distribution trends, such as the documented shift toward urban densification and apartment living in Canadian cities.</w:t>
      </w:r>
    </w:p>
    <w:p w14:paraId="7A1050FB" w14:textId="33B419E4" w:rsidR="003B6F01" w:rsidRPr="00CE07C4" w:rsidRDefault="003B6F01" w:rsidP="003B6F01">
      <w:pPr>
        <w:spacing w:before="240" w:after="240"/>
      </w:pPr>
      <w:r w:rsidRPr="00CE07C4">
        <w:rPr>
          <w:noProof/>
        </w:rPr>
        <w:drawing>
          <wp:inline distT="0" distB="0" distL="0" distR="0" wp14:anchorId="1F521001" wp14:editId="54CF2BBA">
            <wp:extent cx="2937510" cy="477520"/>
            <wp:effectExtent l="0" t="0" r="0" b="5080"/>
            <wp:docPr id="1498963633" name="Picture 4" descr="A diagram of steps and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63633" name="Picture 4" descr="A diagram of steps and step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37510" cy="477520"/>
                    </a:xfrm>
                    <a:prstGeom prst="rect">
                      <a:avLst/>
                    </a:prstGeom>
                  </pic:spPr>
                </pic:pic>
              </a:graphicData>
            </a:graphic>
          </wp:inline>
        </w:drawing>
      </w:r>
    </w:p>
    <w:p w14:paraId="5CAF9EC0" w14:textId="77777777" w:rsidR="003B6F01" w:rsidRPr="00CE07C4" w:rsidRDefault="003B6F01" w:rsidP="003B6F01">
      <w:pPr>
        <w:jc w:val="center"/>
        <w:rPr>
          <w:i/>
          <w:iCs/>
        </w:rPr>
      </w:pPr>
      <w:bookmarkStart w:id="1" w:name="_Ref222158458"/>
      <w:r w:rsidRPr="00CE07C4">
        <w:rPr>
          <w:i/>
          <w:iCs/>
        </w:rPr>
        <w:t xml:space="preserve">Figure </w:t>
      </w:r>
      <w:r w:rsidRPr="00CE07C4">
        <w:rPr>
          <w:i/>
          <w:iCs/>
        </w:rPr>
        <w:fldChar w:fldCharType="begin"/>
      </w:r>
      <w:r w:rsidRPr="00CE07C4">
        <w:rPr>
          <w:i/>
          <w:iCs/>
        </w:rPr>
        <w:instrText xml:space="preserve"> SEQ Figure \* ARABIC </w:instrText>
      </w:r>
      <w:r w:rsidRPr="00CE07C4">
        <w:rPr>
          <w:i/>
          <w:iCs/>
        </w:rPr>
        <w:fldChar w:fldCharType="separate"/>
      </w:r>
      <w:r w:rsidRPr="00CE07C4">
        <w:rPr>
          <w:i/>
          <w:iCs/>
          <w:noProof/>
        </w:rPr>
        <w:t>2</w:t>
      </w:r>
      <w:r w:rsidRPr="00CE07C4">
        <w:rPr>
          <w:i/>
          <w:iCs/>
        </w:rPr>
        <w:fldChar w:fldCharType="end"/>
      </w:r>
      <w:bookmarkEnd w:id="1"/>
      <w:r w:rsidRPr="00CE07C4">
        <w:rPr>
          <w:i/>
          <w:iCs/>
        </w:rPr>
        <w:t>. Dataset Preprocessing Census &amp; GSS</w:t>
      </w:r>
    </w:p>
    <w:p w14:paraId="5FC41AAF" w14:textId="6ADBB357" w:rsidR="003B6F01" w:rsidRPr="00CE07C4" w:rsidRDefault="003B6F01" w:rsidP="003B6F01">
      <w:pPr>
        <w:spacing w:before="240" w:after="240"/>
      </w:pPr>
      <w:r w:rsidRPr="00CE07C4">
        <w:t>The preprocessing of GSS Time Use data involved higher methodological complexity due to evolving survey instruments and activity classification systems. A master taxonomy was developed to map varied activity codes across cycles into 14 standardized categories, such as sleep, personal care, and leisure, while location and co-presence categories were standardized to binary flags indicating the presence of spouse, children, or other household members. Because building energy simulations require fixed interval states, the event based diaries were resampled into discrete 5 minute intervals, and a conditional generation methodology was implemented to synthesize internally consistent multi occupant household diaries from individual records. Finally, a statistical matching approach was used to probabilistically assign Census derived dwelling types to GSS records using shared demographic variables, ensuring that occupancy schedules are paired with physically consistent building thermal characteristics across the longitudinal analysis period.</w:t>
      </w:r>
    </w:p>
    <w:p w14:paraId="28D7C6DC" w14:textId="2D19350A" w:rsidR="003B6F01" w:rsidRPr="00CE07C4" w:rsidRDefault="003B6F01" w:rsidP="003B6F01">
      <w:pPr>
        <w:pStyle w:val="Heading1"/>
      </w:pPr>
      <w:r w:rsidRPr="00CE07C4">
        <w:t>Classification Framework</w:t>
      </w:r>
    </w:p>
    <w:p w14:paraId="065787E9" w14:textId="3EC53E1C" w:rsidR="003B6F01" w:rsidRPr="00CE07C4" w:rsidRDefault="003B6F01" w:rsidP="003B6F01">
      <w:pPr>
        <w:spacing w:before="240" w:after="240"/>
      </w:pPr>
      <w:r w:rsidRPr="00CE07C4">
        <w:t>Structural</w:t>
      </w:r>
      <w:r w:rsidRPr="00CE07C4">
        <w:t xml:space="preserve"> integration of Census and GSS datasets required addressing fundamental incompatibilities between household-level Census records and the two-part structure of the GSS, which is composed of a main person file and a separate activity episode file. Joining process using unique respondent identifiers consolidated these structures, broadcasting static demographic attributes onto associated activity episodes. This phase concluded with systematic variable harmonization, mapping cycle specific nomenclature to unified Census conventions to ensure a consistent and compatible feature set for subsequent machine learning tasks.</w:t>
      </w:r>
    </w:p>
    <w:p w14:paraId="3DF68541" w14:textId="798A2145" w:rsidR="003B6F01" w:rsidRPr="00CE07C4" w:rsidRDefault="003B6F01" w:rsidP="003B6F01">
      <w:pPr>
        <w:spacing w:before="240" w:after="0"/>
      </w:pPr>
      <w:r w:rsidRPr="00CE07C4">
        <w:rPr>
          <w:noProof/>
        </w:rPr>
        <w:drawing>
          <wp:inline distT="0" distB="0" distL="0" distR="0" wp14:anchorId="432B5C70" wp14:editId="214E52E7">
            <wp:extent cx="2937510" cy="895350"/>
            <wp:effectExtent l="0" t="0" r="0" b="6350"/>
            <wp:docPr id="609607138"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07138" name="Picture 5" descr="A diagram of a proces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37510" cy="895350"/>
                    </a:xfrm>
                    <a:prstGeom prst="rect">
                      <a:avLst/>
                    </a:prstGeom>
                  </pic:spPr>
                </pic:pic>
              </a:graphicData>
            </a:graphic>
          </wp:inline>
        </w:drawing>
      </w:r>
    </w:p>
    <w:p w14:paraId="6992C512" w14:textId="48A70E24" w:rsidR="003B6F01" w:rsidRPr="00CE07C4" w:rsidRDefault="003B6F01" w:rsidP="006C6311">
      <w:pPr>
        <w:spacing w:before="240"/>
        <w:jc w:val="center"/>
        <w:rPr>
          <w:i/>
          <w:iCs/>
        </w:rPr>
      </w:pPr>
      <w:bookmarkStart w:id="2" w:name="_Ref222158481"/>
      <w:r w:rsidRPr="00CE07C4">
        <w:rPr>
          <w:i/>
          <w:iCs/>
        </w:rPr>
        <w:t xml:space="preserve">Figure </w:t>
      </w:r>
      <w:r w:rsidRPr="00CE07C4">
        <w:rPr>
          <w:i/>
          <w:iCs/>
        </w:rPr>
        <w:fldChar w:fldCharType="begin"/>
      </w:r>
      <w:r w:rsidRPr="00CE07C4">
        <w:rPr>
          <w:i/>
          <w:iCs/>
        </w:rPr>
        <w:instrText xml:space="preserve"> SEQ Figure \* ARABIC </w:instrText>
      </w:r>
      <w:r w:rsidRPr="00CE07C4">
        <w:rPr>
          <w:i/>
          <w:iCs/>
        </w:rPr>
        <w:fldChar w:fldCharType="separate"/>
      </w:r>
      <w:r w:rsidRPr="00CE07C4">
        <w:rPr>
          <w:i/>
          <w:iCs/>
          <w:noProof/>
        </w:rPr>
        <w:t>3</w:t>
      </w:r>
      <w:r w:rsidRPr="00CE07C4">
        <w:rPr>
          <w:i/>
          <w:iCs/>
        </w:rPr>
        <w:fldChar w:fldCharType="end"/>
      </w:r>
      <w:bookmarkEnd w:id="2"/>
      <w:r w:rsidRPr="00CE07C4">
        <w:rPr>
          <w:i/>
          <w:iCs/>
        </w:rPr>
        <w:t xml:space="preserve">. Multi-head Conditional Variational Autoencoder </w:t>
      </w:r>
    </w:p>
    <w:p w14:paraId="3E9F45FD" w14:textId="77777777" w:rsidR="003B6F01" w:rsidRPr="00CE07C4" w:rsidRDefault="003B6F01" w:rsidP="003B6F01">
      <w:pPr>
        <w:spacing w:before="240" w:after="240"/>
      </w:pPr>
      <w:r w:rsidRPr="00CE07C4">
        <w:t>To overcome the absence of empirical data for future years, a generative temporal framework was developed using a Multi head C-VAE (</w:t>
      </w:r>
      <w:r w:rsidRPr="00CE07C4">
        <w:fldChar w:fldCharType="begin"/>
      </w:r>
      <w:r w:rsidRPr="00CE07C4">
        <w:instrText xml:space="preserve"> REF _Ref222158481 \h </w:instrText>
      </w:r>
      <w:r w:rsidRPr="00CE07C4">
        <w:fldChar w:fldCharType="separate"/>
      </w:r>
      <w:r w:rsidRPr="00CE07C4">
        <w:t xml:space="preserve">Figure </w:t>
      </w:r>
      <w:r w:rsidRPr="00CE07C4">
        <w:rPr>
          <w:noProof/>
        </w:rPr>
        <w:t>3</w:t>
      </w:r>
      <w:r w:rsidRPr="00CE07C4">
        <w:fldChar w:fldCharType="end"/>
      </w:r>
      <w:r w:rsidRPr="00CE07C4">
        <w:t xml:space="preserve">). Traditional supervised classification assumes static demographic relationships that fail to account for decadal societal shifts and the cross sectional nature of census sampling. C-VAE instead learns low dimensional archetype representations of household demographics in a latent space conditioned on stable building features, eg, dwelling type and construction period. By applying autoregressive models to the mean latent vectors across historical cycles, the framework tracks </w:t>
      </w:r>
      <w:r w:rsidRPr="00CE07C4">
        <w:lastRenderedPageBreak/>
        <w:t>temporal drift and extrapolates the population level evolution to 2025. This allows the trained decoder to synthesize statistically consistent 2025 household profiles, transforming static classification into dynamic population synthesis for near term residential energy demand forecasting.</w:t>
      </w:r>
    </w:p>
    <w:p w14:paraId="1DCDA448" w14:textId="6BAB94E9" w:rsidR="003B6F01" w:rsidRPr="00CE07C4" w:rsidRDefault="00B2016E" w:rsidP="00B2016E">
      <w:pPr>
        <w:pStyle w:val="Heading2"/>
      </w:pPr>
      <w:r w:rsidRPr="00CE07C4">
        <w:t>Multi-Phase Generative Occupancy Pipeline</w:t>
      </w:r>
    </w:p>
    <w:p w14:paraId="721FB502" w14:textId="77777777" w:rsidR="00B2016E" w:rsidRPr="00CE07C4" w:rsidRDefault="00B2016E" w:rsidP="00B2016E">
      <w:pPr>
        <w:spacing w:before="240" w:after="240"/>
      </w:pPr>
      <w:r w:rsidRPr="00CE07C4">
        <w:t xml:space="preserve">The generation of 2025 occupancy datasets follows a multi-phase pipeline that integrates representation learning, temporal forecasting, and behavioral synthesis, as illustrated in </w:t>
      </w:r>
      <w:r w:rsidRPr="00CE07C4">
        <w:fldChar w:fldCharType="begin"/>
      </w:r>
      <w:r w:rsidRPr="00CE07C4">
        <w:instrText xml:space="preserve"> REF _Ref222158536 \h </w:instrText>
      </w:r>
      <w:r w:rsidRPr="00CE07C4">
        <w:fldChar w:fldCharType="separate"/>
      </w:r>
      <w:r w:rsidRPr="00CE07C4">
        <w:t xml:space="preserve">Figure </w:t>
      </w:r>
      <w:r w:rsidRPr="00CE07C4">
        <w:rPr>
          <w:noProof/>
        </w:rPr>
        <w:t>4</w:t>
      </w:r>
      <w:r w:rsidRPr="00CE07C4">
        <w:fldChar w:fldCharType="end"/>
      </w:r>
      <w:r w:rsidRPr="00CE07C4">
        <w:t xml:space="preserve">. The process begins with the multi head C-VAE, which was trained on harmonized historical census data. This model compresses high dimensional demographic features—including income, age, and household size—into a 128 dimensional latent vector </w:t>
      </w:r>
      <w:r w:rsidRPr="00CE07C4">
        <w:rPr>
          <w:b/>
          <w:bCs/>
          <w:i/>
          <w:iCs/>
        </w:rPr>
        <w:t>z</w:t>
      </w:r>
      <w:r w:rsidRPr="00CE07C4">
        <w:t xml:space="preserve">  that captures the statistical essence of Canadian households. Training convergence was successfully achieved over 100 epochs with a total loss stabilizing at 3.89, ensuring a smooth and interpolatable latent space. To project these demographic archetypes to 2025, a Cluster Based Vector Momentum was employed, using K-means clust</w:t>
      </w:r>
      <w:r w:rsidRPr="00073946">
        <w:t>ering (</w:t>
      </w:r>
      <w:r w:rsidRPr="00073946">
        <w:rPr>
          <w:i/>
          <w:iCs/>
        </w:rPr>
        <w:t>K=8</w:t>
      </w:r>
      <w:r w:rsidRPr="00073946">
        <w:t xml:space="preserve">) to track lifecycle trajectories. A decay factor of </w:t>
      </w:r>
      <w:r w:rsidRPr="00073946">
        <w:rPr>
          <w:i/>
          <w:iCs/>
        </w:rPr>
        <w:t>λ = 0.95</w:t>
      </w:r>
      <w:r w:rsidRPr="00073946">
        <w:t xml:space="preserve"> was applied to the velocity vectors to prevent unrealistic linear </w:t>
      </w:r>
      <w:r w:rsidRPr="00CE07C4">
        <w:t>growth, ensuring the forecasted population remains statistically grounded (</w:t>
      </w:r>
      <w:r w:rsidRPr="00073946">
        <w:t>Figure B1).</w:t>
      </w:r>
    </w:p>
    <w:p w14:paraId="44EB038E" w14:textId="59F5A2C1" w:rsidR="003B6F01" w:rsidRPr="00CE07C4" w:rsidRDefault="00B2016E" w:rsidP="003B6F01">
      <w:r w:rsidRPr="00CE07C4">
        <w:rPr>
          <w:noProof/>
        </w:rPr>
        <w:drawing>
          <wp:inline distT="0" distB="0" distL="0" distR="0" wp14:anchorId="3F71B99E" wp14:editId="5F3E4F10">
            <wp:extent cx="2937510" cy="658817"/>
            <wp:effectExtent l="0" t="0" r="0" b="1905"/>
            <wp:docPr id="1463700888" name="Picture 7" descr="A diagram of a step-by-step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00888" name="Picture 7" descr="A diagram of a step-by-step forecasting&#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37510" cy="658817"/>
                    </a:xfrm>
                    <a:prstGeom prst="rect">
                      <a:avLst/>
                    </a:prstGeom>
                  </pic:spPr>
                </pic:pic>
              </a:graphicData>
            </a:graphic>
          </wp:inline>
        </w:drawing>
      </w:r>
    </w:p>
    <w:p w14:paraId="552B2948" w14:textId="3A67882C" w:rsidR="00B2016E" w:rsidRPr="00CE07C4" w:rsidRDefault="00B2016E" w:rsidP="00B2016E">
      <w:pPr>
        <w:jc w:val="center"/>
        <w:rPr>
          <w:i/>
          <w:iCs/>
        </w:rPr>
      </w:pPr>
      <w:bookmarkStart w:id="3" w:name="_Ref222158536"/>
      <w:r w:rsidRPr="00CE07C4">
        <w:rPr>
          <w:i/>
          <w:iCs/>
        </w:rPr>
        <w:t xml:space="preserve">Figure </w:t>
      </w:r>
      <w:r w:rsidRPr="00CE07C4">
        <w:rPr>
          <w:i/>
          <w:iCs/>
        </w:rPr>
        <w:fldChar w:fldCharType="begin"/>
      </w:r>
      <w:r w:rsidRPr="00CE07C4">
        <w:rPr>
          <w:i/>
          <w:iCs/>
        </w:rPr>
        <w:instrText xml:space="preserve"> SEQ Figure \* ARABIC </w:instrText>
      </w:r>
      <w:r w:rsidRPr="00CE07C4">
        <w:rPr>
          <w:i/>
          <w:iCs/>
        </w:rPr>
        <w:fldChar w:fldCharType="separate"/>
      </w:r>
      <w:r w:rsidRPr="00CE07C4">
        <w:rPr>
          <w:i/>
          <w:iCs/>
          <w:noProof/>
        </w:rPr>
        <w:t>4</w:t>
      </w:r>
      <w:r w:rsidRPr="00CE07C4">
        <w:rPr>
          <w:i/>
          <w:iCs/>
        </w:rPr>
        <w:fldChar w:fldCharType="end"/>
      </w:r>
      <w:bookmarkEnd w:id="3"/>
      <w:r w:rsidRPr="00CE07C4">
        <w:rPr>
          <w:i/>
          <w:iCs/>
        </w:rPr>
        <w:t xml:space="preserve">. </w:t>
      </w:r>
      <w:r w:rsidRPr="00CE07C4">
        <w:rPr>
          <w:i/>
          <w:iCs/>
        </w:rPr>
        <w:t>M</w:t>
      </w:r>
      <w:r w:rsidRPr="00CE07C4">
        <w:rPr>
          <w:i/>
          <w:iCs/>
        </w:rPr>
        <w:t>achine learning multi-phase pipeline</w:t>
      </w:r>
    </w:p>
    <w:p w14:paraId="3A274CFF" w14:textId="38F1CA68" w:rsidR="00B2016E" w:rsidRPr="00CE07C4" w:rsidRDefault="00B2016E" w:rsidP="00B2016E">
      <w:pPr>
        <w:spacing w:before="240" w:after="240"/>
      </w:pPr>
      <w:r w:rsidRPr="00CE07C4">
        <w:t>Following the demographic projection, a multi stage assembly algorithm reconstructs coherent household units from individual synthetic agents by identifying household heads and filling units based on familial relationship indicators. These synthetic 2025 agents are then linked to empirical behavioral sequences from the GSS library through a cascading four tier search strategy (Step 4, Figure 4). This hierarchical protocol achieved high quality matches, with 84.6% of weekday profiles assigned at Tier 2 based on primary energy drivers. To ensure architectural precision, a stochastic super resolution methodology utilized Random Forest classifiers to refine coarse dwelling categories into specific building forms, such as high rise versus low rise apartments. Finally, these individual activity sequences were aggregated into household profiles and mapped to metabolic rates ranging from sleep (70W) to active leisure (245W). The resulting BEM ready schedules correctly couple occupancy fractions with metabolic heat gains (</w:t>
      </w:r>
      <w:r w:rsidRPr="00073946">
        <w:t>Figure B</w:t>
      </w:r>
      <w:r w:rsidR="00073946" w:rsidRPr="00073946">
        <w:t>2</w:t>
      </w:r>
      <w:r w:rsidRPr="00073946">
        <w:t>-</w:t>
      </w:r>
      <w:r w:rsidR="00073946" w:rsidRPr="00073946">
        <w:t>3</w:t>
      </w:r>
      <w:r w:rsidRPr="00CE07C4">
        <w:t>).</w:t>
      </w:r>
    </w:p>
    <w:p w14:paraId="32A2783E" w14:textId="52A3F8EF" w:rsidR="00B2016E" w:rsidRPr="00CE07C4" w:rsidRDefault="00B2016E" w:rsidP="00B2016E">
      <w:pPr>
        <w:pStyle w:val="Heading2"/>
      </w:pPr>
      <w:r w:rsidRPr="00CE07C4">
        <w:t>Simulation Setup</w:t>
      </w:r>
    </w:p>
    <w:p w14:paraId="101B19BC" w14:textId="3A386EA0" w:rsidR="00B2016E" w:rsidRPr="00CE07C4" w:rsidRDefault="00B2016E" w:rsidP="00B2016E">
      <w:pPr>
        <w:spacing w:before="240" w:after="240"/>
      </w:pPr>
      <w:r w:rsidRPr="00CE07C4">
        <w:t xml:space="preserve">While the 2025 dataset utilizes synthetic generation, the 2005 and 2015 comparison datasets were derived directly from empirical microdata pairing the 2006 Census with 2005 GSS and the 2016 Census with 2015 GSS. These historical pipelines (Table C1), reconcile disparate coding schemes to create feature spaces identical to the synthetic 2025 data. For the 2016 dataset, an additional machine learning based dwelling type refinement was required to expand coarse categories into the detailed eight category classification used in Building Energy Modeling (BEM). Behavioral profiles were assigned through tiered matching, achieving high quality alignment across ten demographic variables. This ensures all three temporal datasets (2005, 2015, 2025) yield structurally identical outputs for occupancy presence and metabolic heat gains, enabling valid longitudinal comparisons. The energy simulations were conducted using the DOE ASHRAE 90.1 Prototype Building for single family detached residential construction across three Canadian climate zones </w:t>
      </w:r>
      <w:sdt>
        <w:sdtPr>
          <w:rPr>
            <w:color w:val="000000"/>
          </w:rPr>
          <w:tag w:val="MENDELEY_CITATION_v3_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"/>
          <w:id w:val="1207306036"/>
          <w:placeholder>
            <w:docPart w:val="792AED426F9FC241A6DF64D79D3463E7"/>
          </w:placeholder>
        </w:sdtPr>
        <w:sdtContent>
          <w:r w:rsidR="002D18FD" w:rsidRPr="00CE07C4">
            <w:rPr>
              <w:color w:val="000000"/>
            </w:rPr>
            <w:t>(U.S. Department of Energy, 2022; Building Energy Codes Program, 2025)</w:t>
          </w:r>
        </w:sdtContent>
      </w:sdt>
      <w:r w:rsidRPr="00CE07C4">
        <w:t>: Toronto (Zone 5A), Montreal (Zone 6A), and Winnipeg (Zone 7). The reference building represents a 223 m</w:t>
      </w:r>
      <w:r w:rsidRPr="00CE07C4">
        <w:rPr>
          <w:vertAlign w:val="superscript"/>
        </w:rPr>
        <w:t>2</w:t>
      </w:r>
      <w:r w:rsidRPr="00CE07C4">
        <w:t xml:space="preserve"> two story dwelling typical of post 1980 North American housing stock. To isolate the impact of occupancy behavior, building envelope and HVAC characteristics remained constant across all scenarios, while TMYx weather files (2009 to 2023) were used to capture contemporary meteorological trends. Default schedules were standardized using the DOE MidRise Apartment archetype as a residential proxy, ensuring that all comparative energy demand shifts reflect empirically derived occupancy patterns rather than artifacts of inconsistent default schedules </w:t>
      </w:r>
      <w:sdt>
        <w:sdtPr>
          <w:rPr>
            <w:color w:val="000000"/>
          </w:rPr>
          <w:tag w:val="MENDELEY_CITATION_v3_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"/>
          <w:id w:val="-1837453140"/>
          <w:placeholder>
            <w:docPart w:val="792AED426F9FC241A6DF64D79D3463E7"/>
          </w:placeholder>
        </w:sdtPr>
        <w:sdtContent>
          <w:r w:rsidR="002D18FD" w:rsidRPr="00CE07C4">
            <w:rPr>
              <w:color w:val="000000"/>
            </w:rPr>
            <w:t>(Mostapha Sadeghipour Roudsari, 2025; National Renewable Energy Laboratory, 2025)</w:t>
          </w:r>
        </w:sdtContent>
      </w:sdt>
      <w:r w:rsidRPr="00CE07C4">
        <w:t xml:space="preserve">. </w:t>
      </w:r>
    </w:p>
    <w:p w14:paraId="7AB6F166" w14:textId="77777777" w:rsidR="00B2016E" w:rsidRPr="00CE07C4" w:rsidRDefault="00B2016E" w:rsidP="00B2016E">
      <w:pPr>
        <w:spacing w:before="240" w:after="240"/>
      </w:pPr>
      <w:r w:rsidRPr="00CE07C4">
        <w:t>Occupancy profiles were integrated into EnergyPlus through a presence aware filtering methodology that prevents unrealistic binary switching. The Presence Filter algorithm (Figure C1), modulates default end use loads based on the following integration logic:</w:t>
      </w:r>
    </w:p>
    <w:p w14:paraId="11EA226D" w14:textId="6ED7813C" w:rsidR="00B2016E" w:rsidRPr="00CE07C4" w:rsidRDefault="00B2016E" w:rsidP="00B2016E">
      <w:pPr>
        <w:spacing w:after="0"/>
        <w:jc w:val="center"/>
      </w:pPr>
      <m:oMath>
        <m:sSub>
          <m:sSubPr>
            <m:ctrlPr>
              <w:rPr>
                <w:rFonts w:ascii="Cambria Math" w:hAnsi="Cambria Math"/>
                <w:i/>
                <w:iCs/>
              </w:rPr>
            </m:ctrlPr>
          </m:sSubPr>
          <m:e>
            <m:r>
              <w:rPr>
                <w:rFonts w:ascii="Cambria Math" w:hAnsi="Cambria Math"/>
              </w:rPr>
              <m:t>Load</m:t>
            </m:r>
          </m:e>
          <m:sub>
            <m:r>
              <w:rPr>
                <w:rFonts w:ascii="Cambria Math" w:hAnsi="Cambria Math"/>
              </w:rPr>
              <m:t>t</m:t>
            </m:r>
          </m:sub>
        </m:sSub>
      </m:oMath>
      <w:r w:rsidRPr="00CE07C4">
        <w:rPr>
          <w:i/>
          <w:iCs/>
        </w:rPr>
        <w:t xml:space="preserve">= </w:t>
      </w:r>
      <m:oMath>
        <m:sSub>
          <m:sSubPr>
            <m:ctrlPr>
              <w:rPr>
                <w:rFonts w:ascii="Cambria Math" w:hAnsi="Cambria Math"/>
                <w:i/>
                <w:iCs/>
              </w:rPr>
            </m:ctrlPr>
          </m:sSubPr>
          <m:e>
            <m:r>
              <w:rPr>
                <w:rFonts w:ascii="Cambria Math" w:hAnsi="Cambria Math"/>
              </w:rPr>
              <m:t>occupancy</m:t>
            </m:r>
          </m:e>
          <m:sub>
            <m:r>
              <w:rPr>
                <w:rFonts w:ascii="Cambria Math" w:hAnsi="Cambria Math"/>
              </w:rPr>
              <m:t>t</m:t>
            </m:r>
          </m:sub>
        </m:sSub>
      </m:oMath>
      <w:r w:rsidRPr="00CE07C4">
        <w:rPr>
          <w:i/>
          <w:iCs/>
        </w:rPr>
        <w:t xml:space="preserve"> * max (</w:t>
      </w:r>
      <m:oMath>
        <m:sSub>
          <m:sSubPr>
            <m:ctrlPr>
              <w:rPr>
                <w:rFonts w:ascii="Cambria Math" w:hAnsi="Cambria Math"/>
                <w:i/>
                <w:iCs/>
              </w:rPr>
            </m:ctrlPr>
          </m:sSubPr>
          <m:e>
            <m:r>
              <w:rPr>
                <w:rFonts w:ascii="Cambria Math" w:hAnsi="Cambria Math"/>
              </w:rPr>
              <m:t>default</m:t>
            </m:r>
          </m:e>
          <m:sub>
            <m:r>
              <w:rPr>
                <w:rFonts w:ascii="Cambria Math" w:hAnsi="Cambria Math"/>
              </w:rPr>
              <m:t>t</m:t>
            </m:r>
          </m:sub>
        </m:sSub>
        <m:r>
          <w:rPr>
            <w:rFonts w:ascii="Cambria Math" w:hAnsi="Cambria Math"/>
          </w:rPr>
          <m:t>, floor</m:t>
        </m:r>
      </m:oMath>
      <w:r w:rsidRPr="00CE07C4">
        <w:rPr>
          <w:i/>
          <w:iCs/>
        </w:rPr>
        <w:t xml:space="preserve">) + (1 - </w:t>
      </w:r>
      <m:oMath>
        <m:sSub>
          <m:sSubPr>
            <m:ctrlPr>
              <w:rPr>
                <w:rFonts w:ascii="Cambria Math" w:hAnsi="Cambria Math"/>
                <w:i/>
                <w:iCs/>
              </w:rPr>
            </m:ctrlPr>
          </m:sSubPr>
          <m:e>
            <m:r>
              <w:rPr>
                <w:rFonts w:ascii="Cambria Math" w:hAnsi="Cambria Math"/>
              </w:rPr>
              <m:t>occupancy</m:t>
            </m:r>
          </m:e>
          <m:sub>
            <m:r>
              <w:rPr>
                <w:rFonts w:ascii="Cambria Math" w:hAnsi="Cambria Math"/>
              </w:rPr>
              <m:t>t</m:t>
            </m:r>
          </m:sub>
        </m:sSub>
        <m:r>
          <w:rPr>
            <w:rFonts w:ascii="Cambria Math" w:hAnsi="Cambria Math"/>
          </w:rPr>
          <m:t xml:space="preserve"> </m:t>
        </m:r>
      </m:oMath>
      <w:r w:rsidRPr="00CE07C4">
        <w:rPr>
          <w:i/>
          <w:iCs/>
        </w:rPr>
        <w:t>) * baseload</w:t>
      </w:r>
      <w:r w:rsidRPr="00CE07C4">
        <w:rPr>
          <w:i/>
          <w:iCs/>
        </w:rPr>
        <w:t xml:space="preserve"> </w:t>
      </w:r>
      <w:r w:rsidRPr="00CE07C4">
        <w:t xml:space="preserve"> (1)</w:t>
      </w:r>
    </w:p>
    <w:p w14:paraId="6E799AC4" w14:textId="3322B450" w:rsidR="00B2016E" w:rsidRPr="00CE07C4" w:rsidRDefault="00B2016E" w:rsidP="00B2016E">
      <w:pPr>
        <w:spacing w:before="240" w:after="240"/>
      </w:pPr>
      <w:r w:rsidRPr="00CE07C4">
        <w:t xml:space="preserve">Occupancy profiles were integrated into EnergyPlus through a presence aware filtering methodology that prevents unrealistic binary switching. The Presence Filter algorithm, </w:t>
      </w:r>
      <w:r w:rsidRPr="00073946">
        <w:t>shown in Figure C1,</w:t>
      </w:r>
      <w:r w:rsidRPr="00CE07C4">
        <w:t xml:space="preserve"> modulates default end use loads based on household state: during occupied hours, loads follow the default schedule profile, whereas during vacancy, they decay to baseload levels representing standby power or recirculation losses. This methodology applies to lighting, electrical equipment, and domestic hot water, while metabolic heat gains are computed via time weighted </w:t>
      </w:r>
      <w:r w:rsidRPr="00CE07C4">
        <w:lastRenderedPageBreak/>
        <w:t xml:space="preserve">averaging of activity intensities. </w:t>
      </w:r>
      <w:r w:rsidRPr="00CE07C4">
        <w:t>A</w:t>
      </w:r>
      <w:r w:rsidRPr="00CE07C4">
        <w:t xml:space="preserve"> comparative ensemble was created by selecting the 100 households per scenario (n=100) that best matched a target working day profile through Sum of Squared Error (SSE) minimization. This controlled design ensures observed energy differences reflect behavioral evolution within a consistent household archetype rather than stochastic noise from fundamentally different occupancy </w:t>
      </w:r>
      <w:r w:rsidRPr="00073946">
        <w:t>types (Figure C2).</w:t>
      </w:r>
    </w:p>
    <w:p w14:paraId="734BE242" w14:textId="779DD816" w:rsidR="00B2016E" w:rsidRPr="00CE07C4" w:rsidRDefault="00B2016E" w:rsidP="00B2016E">
      <w:pPr>
        <w:pStyle w:val="Heading1"/>
      </w:pPr>
      <w:r w:rsidRPr="00CE07C4">
        <w:t>Results</w:t>
      </w:r>
    </w:p>
    <w:p w14:paraId="7B29D052" w14:textId="77777777" w:rsidR="00B2016E" w:rsidRDefault="00B2016E" w:rsidP="00B2016E">
      <w:pPr>
        <w:spacing w:before="240" w:after="240"/>
      </w:pPr>
      <w:r w:rsidRPr="00CE07C4">
        <w:t xml:space="preserve">Canadian residential occupancy patterns have undergone substantial transformation over the past two decades, fundamentally altering the boundary conditions for building energy performance. Population average presence schedules reveal distinct behavioral trajectories across the study periods, as illustrated in </w:t>
      </w:r>
      <w:r w:rsidRPr="00CE07C4">
        <w:fldChar w:fldCharType="begin"/>
      </w:r>
      <w:r w:rsidRPr="00CE07C4">
        <w:instrText xml:space="preserve"> REF _Ref222158605 \h </w:instrText>
      </w:r>
      <w:r w:rsidRPr="00CE07C4">
        <w:fldChar w:fldCharType="separate"/>
      </w:r>
      <w:r w:rsidRPr="00CE07C4">
        <w:t xml:space="preserve">Figure </w:t>
      </w:r>
      <w:r w:rsidRPr="00CE07C4">
        <w:rPr>
          <w:noProof/>
        </w:rPr>
        <w:t>5</w:t>
      </w:r>
      <w:r w:rsidRPr="00CE07C4">
        <w:fldChar w:fldCharType="end"/>
      </w:r>
      <w:r w:rsidRPr="00CE07C4">
        <w:t>. Weekday profiles in 2005 reflected traditional employment patterns with a midday vacancy trough of 40 percent occupancy and 15.8 total daily occupied hours. By 2015, total occupancy rose to 17.6 hours while maintaining a similar daytime presence fraction. In contrast, the 2025 synthetic population projection demonstrates a significant reduction to 11.2 weekday occupied hours with daytime presence dropping to 28 percent. These shifts contradict conventional default schedules, which assume a constant 16.4 hours for all day types and miss the observed 1.8 to 2.4 hour weekday to weekend variation. Most critically, default schedules assume 74% daytime vacancy, whereas empirical 2005/2015 data show only 40% — nearly double the actual absence rate.</w:t>
      </w:r>
    </w:p>
    <w:p w14:paraId="334F62B4" w14:textId="63794E85" w:rsidR="00073946" w:rsidRPr="00CE07C4" w:rsidRDefault="00073946" w:rsidP="00B2016E">
      <w:pPr>
        <w:spacing w:before="240" w:after="240"/>
      </w:pPr>
      <w:r w:rsidRPr="00CE07C4">
        <w:t>Residential occupancy encompasses diverse activities that drive varying internal heat gains, distinguishing these findings from default schedule models that rely on a constant 120W rate. Daily time use patterns show that sleep declined from 9.7 to 8.7 hours per day between 2005 and 2025, while digital activities and remote work transitions surged to 6.0 hours. The resulting hourly metabolic profiles exhibit pronounced diurnal variation, consistently remaining at or below the conventional 120W assumption. This disparity reveals that constant rate assumptions overestimate nighttime internal gains by 40 to 50W during sleeping hours, which artificially masks envelope heat losses, while underestimating peak daytime generation during high intensity activities. Utilizing an activity based mapping methodology captures the thermal reality that heat generation scales significantly with specific behaviors, improving simulation fidelity.</w:t>
      </w:r>
    </w:p>
    <w:p w14:paraId="26BEA093" w14:textId="68506B3E" w:rsidR="00B2016E" w:rsidRPr="00CE07C4" w:rsidRDefault="006C6311" w:rsidP="00B2016E">
      <w:pPr>
        <w:spacing w:before="240" w:after="240"/>
      </w:pPr>
      <w:r w:rsidRPr="00CE07C4">
        <w:rPr>
          <w:noProof/>
        </w:rPr>
        <w:drawing>
          <wp:inline distT="0" distB="0" distL="0" distR="0" wp14:anchorId="702F08E8" wp14:editId="768A0AE9">
            <wp:extent cx="2937510" cy="3590290"/>
            <wp:effectExtent l="0" t="0" r="0" b="3810"/>
            <wp:docPr id="1130496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96076" name="Picture 11304960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7510" cy="3590290"/>
                    </a:xfrm>
                    <a:prstGeom prst="rect">
                      <a:avLst/>
                    </a:prstGeom>
                  </pic:spPr>
                </pic:pic>
              </a:graphicData>
            </a:graphic>
          </wp:inline>
        </w:drawing>
      </w:r>
    </w:p>
    <w:p w14:paraId="52D1D38E" w14:textId="77777777" w:rsidR="00B2016E" w:rsidRPr="00CE07C4" w:rsidRDefault="00B2016E" w:rsidP="00B2016E">
      <w:pPr>
        <w:jc w:val="center"/>
        <w:rPr>
          <w:i/>
          <w:iCs/>
        </w:rPr>
      </w:pPr>
      <w:bookmarkStart w:id="4" w:name="_Ref222158605"/>
      <w:r w:rsidRPr="00CE07C4">
        <w:rPr>
          <w:i/>
          <w:iCs/>
        </w:rPr>
        <w:t xml:space="preserve">Figure </w:t>
      </w:r>
      <w:r w:rsidRPr="00CE07C4">
        <w:rPr>
          <w:i/>
          <w:iCs/>
        </w:rPr>
        <w:fldChar w:fldCharType="begin"/>
      </w:r>
      <w:r w:rsidRPr="00CE07C4">
        <w:rPr>
          <w:i/>
          <w:iCs/>
        </w:rPr>
        <w:instrText xml:space="preserve"> SEQ Figure \* ARABIC </w:instrText>
      </w:r>
      <w:r w:rsidRPr="00CE07C4">
        <w:rPr>
          <w:i/>
          <w:iCs/>
        </w:rPr>
        <w:fldChar w:fldCharType="separate"/>
      </w:r>
      <w:r w:rsidRPr="00CE07C4">
        <w:rPr>
          <w:i/>
          <w:iCs/>
          <w:noProof/>
        </w:rPr>
        <w:t>5</w:t>
      </w:r>
      <w:r w:rsidRPr="00CE07C4">
        <w:rPr>
          <w:i/>
          <w:iCs/>
        </w:rPr>
        <w:fldChar w:fldCharType="end"/>
      </w:r>
      <w:bookmarkEnd w:id="4"/>
      <w:r w:rsidRPr="00CE07C4">
        <w:rPr>
          <w:i/>
          <w:iCs/>
        </w:rPr>
        <w:t>. Residential presence schedules (top) and occupancy metrics (bottom) for 2005, 2015, and 2025.</w:t>
      </w:r>
    </w:p>
    <w:p w14:paraId="091338CF" w14:textId="3FC629B2" w:rsidR="00073946" w:rsidRPr="00CE07C4" w:rsidRDefault="00073946" w:rsidP="00B2016E">
      <w:pPr>
        <w:spacing w:before="240" w:after="240"/>
      </w:pPr>
      <w:r w:rsidRPr="00CE07C4">
        <w:t xml:space="preserve">Analysis reveals that conventional schedules systematically overestimate mean weekday occupancy (0.684 vs 0.465) and weekend occupancy (0.684 vs 0.502), leading to an inflation of internal heat gains. The mean metabolic rate exhibits a plus 23.5 percent overestimation (95W vs 72.7W), further compounding the bias. While daytime occupancy percentages (09:00 to 17:00) appear to approximate midday presence at roughly 26 to 28 percent, the underlying temporal profile shapes are fundamentally different, resulting in a 4 hour shift in peak occupancy timing. </w:t>
      </w:r>
    </w:p>
    <w:p w14:paraId="2C05C1F6" w14:textId="77777777" w:rsidR="006C6311" w:rsidRPr="00CE07C4" w:rsidRDefault="006C6311" w:rsidP="006C6311">
      <w:pPr>
        <w:jc w:val="center"/>
        <w:rPr>
          <w:i/>
          <w:iCs/>
        </w:rPr>
      </w:pPr>
      <w:bookmarkStart w:id="5" w:name="_Ref222158649"/>
      <w:r w:rsidRPr="00CE07C4">
        <w:rPr>
          <w:i/>
          <w:iCs/>
        </w:rPr>
        <w:t xml:space="preserve">Table </w:t>
      </w:r>
      <w:r w:rsidRPr="00CE07C4">
        <w:rPr>
          <w:i/>
          <w:iCs/>
        </w:rPr>
        <w:fldChar w:fldCharType="begin"/>
      </w:r>
      <w:r w:rsidRPr="00CE07C4">
        <w:rPr>
          <w:i/>
          <w:iCs/>
        </w:rPr>
        <w:instrText xml:space="preserve"> SEQ Table \* ARABIC </w:instrText>
      </w:r>
      <w:r w:rsidRPr="00CE07C4">
        <w:rPr>
          <w:i/>
          <w:iCs/>
        </w:rPr>
        <w:fldChar w:fldCharType="separate"/>
      </w:r>
      <w:r w:rsidRPr="00CE07C4">
        <w:rPr>
          <w:i/>
          <w:iCs/>
          <w:noProof/>
        </w:rPr>
        <w:t>1</w:t>
      </w:r>
      <w:r w:rsidRPr="00CE07C4">
        <w:rPr>
          <w:i/>
          <w:iCs/>
        </w:rPr>
        <w:fldChar w:fldCharType="end"/>
      </w:r>
      <w:bookmarkEnd w:id="5"/>
      <w:r w:rsidRPr="00CE07C4">
        <w:rPr>
          <w:i/>
          <w:iCs/>
        </w:rPr>
        <w:t>. Schedule Discrepancies: Default vs 2025 GSS derived Patterns</w:t>
      </w:r>
    </w:p>
    <w:tbl>
      <w:tblPr>
        <w:tblStyle w:val="TableGrid"/>
        <w:tblW w:w="4613" w:type="dxa"/>
        <w:tblLayout w:type="fixed"/>
        <w:tblCellMar>
          <w:left w:w="57" w:type="dxa"/>
          <w:right w:w="57" w:type="dxa"/>
        </w:tblCellMar>
        <w:tblLook w:val="04A0" w:firstRow="1" w:lastRow="0" w:firstColumn="1" w:lastColumn="0" w:noHBand="0" w:noVBand="1"/>
      </w:tblPr>
      <w:tblGrid>
        <w:gridCol w:w="1555"/>
        <w:gridCol w:w="708"/>
        <w:gridCol w:w="851"/>
        <w:gridCol w:w="705"/>
        <w:gridCol w:w="794"/>
      </w:tblGrid>
      <w:tr w:rsidR="006C6311" w:rsidRPr="00CE07C4" w14:paraId="783E8AA8" w14:textId="77777777" w:rsidTr="006C6311">
        <w:trPr>
          <w:trHeight w:val="20"/>
        </w:trPr>
        <w:tc>
          <w:tcPr>
            <w:tcW w:w="1555" w:type="dxa"/>
            <w:vAlign w:val="center"/>
          </w:tcPr>
          <w:p w14:paraId="77867467" w14:textId="470BE91C" w:rsidR="006C6311" w:rsidRPr="00CE07C4" w:rsidRDefault="006C6311" w:rsidP="006C6311">
            <w:pPr>
              <w:spacing w:line="276" w:lineRule="auto"/>
              <w:rPr>
                <w:sz w:val="16"/>
                <w:szCs w:val="16"/>
              </w:rPr>
            </w:pPr>
            <w:r w:rsidRPr="00CE07C4">
              <w:rPr>
                <w:b/>
                <w:bCs/>
                <w:sz w:val="16"/>
                <w:szCs w:val="16"/>
              </w:rPr>
              <w:t>Parameter</w:t>
            </w:r>
          </w:p>
        </w:tc>
        <w:tc>
          <w:tcPr>
            <w:tcW w:w="708" w:type="dxa"/>
            <w:vAlign w:val="center"/>
          </w:tcPr>
          <w:p w14:paraId="7C2C7F29" w14:textId="2EFAC192" w:rsidR="006C6311" w:rsidRPr="00CE07C4" w:rsidRDefault="006C6311" w:rsidP="006C6311">
            <w:pPr>
              <w:spacing w:line="276" w:lineRule="auto"/>
              <w:jc w:val="center"/>
              <w:rPr>
                <w:sz w:val="16"/>
                <w:szCs w:val="16"/>
              </w:rPr>
            </w:pPr>
            <w:r w:rsidRPr="00CE07C4">
              <w:rPr>
                <w:b/>
                <w:bCs/>
                <w:sz w:val="16"/>
                <w:szCs w:val="16"/>
              </w:rPr>
              <w:t>Default</w:t>
            </w:r>
          </w:p>
        </w:tc>
        <w:tc>
          <w:tcPr>
            <w:tcW w:w="851" w:type="dxa"/>
            <w:vAlign w:val="center"/>
          </w:tcPr>
          <w:p w14:paraId="52174FBD" w14:textId="63325981" w:rsidR="006C6311" w:rsidRPr="00CE07C4" w:rsidRDefault="006C6311" w:rsidP="006C6311">
            <w:pPr>
              <w:spacing w:line="276" w:lineRule="auto"/>
              <w:jc w:val="center"/>
              <w:rPr>
                <w:sz w:val="16"/>
                <w:szCs w:val="16"/>
              </w:rPr>
            </w:pPr>
            <w:r w:rsidRPr="00CE07C4">
              <w:rPr>
                <w:b/>
                <w:bCs/>
                <w:sz w:val="16"/>
                <w:szCs w:val="16"/>
              </w:rPr>
              <w:t>2025GSS</w:t>
            </w:r>
          </w:p>
        </w:tc>
        <w:tc>
          <w:tcPr>
            <w:tcW w:w="705" w:type="dxa"/>
            <w:vAlign w:val="center"/>
          </w:tcPr>
          <w:p w14:paraId="635AEBA3" w14:textId="18C75FD8" w:rsidR="006C6311" w:rsidRPr="00CE07C4" w:rsidRDefault="006C6311" w:rsidP="006C6311">
            <w:pPr>
              <w:spacing w:line="276" w:lineRule="auto"/>
              <w:jc w:val="center"/>
              <w:rPr>
                <w:sz w:val="16"/>
                <w:szCs w:val="16"/>
              </w:rPr>
            </w:pPr>
            <w:r w:rsidRPr="00CE07C4">
              <w:rPr>
                <w:b/>
                <w:bCs/>
                <w:sz w:val="16"/>
                <w:szCs w:val="16"/>
              </w:rPr>
              <w:t>Diff</w:t>
            </w:r>
            <w:r w:rsidRPr="00CE07C4">
              <w:rPr>
                <w:b/>
                <w:bCs/>
                <w:sz w:val="16"/>
                <w:szCs w:val="16"/>
              </w:rPr>
              <w:t>.</w:t>
            </w:r>
          </w:p>
        </w:tc>
        <w:tc>
          <w:tcPr>
            <w:tcW w:w="794" w:type="dxa"/>
            <w:vAlign w:val="center"/>
          </w:tcPr>
          <w:p w14:paraId="320EAE39" w14:textId="7DB74577" w:rsidR="006C6311" w:rsidRPr="00CE07C4" w:rsidRDefault="006C6311" w:rsidP="006C6311">
            <w:pPr>
              <w:spacing w:line="276" w:lineRule="auto"/>
              <w:jc w:val="center"/>
              <w:rPr>
                <w:sz w:val="16"/>
                <w:szCs w:val="16"/>
              </w:rPr>
            </w:pPr>
            <w:r w:rsidRPr="00CE07C4">
              <w:rPr>
                <w:b/>
                <w:bCs/>
                <w:sz w:val="16"/>
                <w:szCs w:val="16"/>
              </w:rPr>
              <w:t>% Error</w:t>
            </w:r>
          </w:p>
        </w:tc>
      </w:tr>
      <w:tr w:rsidR="006C6311" w:rsidRPr="00CE07C4" w14:paraId="350EBF2C" w14:textId="77777777" w:rsidTr="006C6311">
        <w:tc>
          <w:tcPr>
            <w:tcW w:w="1555" w:type="dxa"/>
            <w:vAlign w:val="center"/>
          </w:tcPr>
          <w:p w14:paraId="125A59F4" w14:textId="7AF0F3B1" w:rsidR="006C6311" w:rsidRPr="00CE07C4" w:rsidRDefault="006C6311" w:rsidP="006C6311">
            <w:pPr>
              <w:spacing w:after="0" w:line="276" w:lineRule="auto"/>
              <w:jc w:val="left"/>
              <w:rPr>
                <w:sz w:val="16"/>
                <w:szCs w:val="16"/>
              </w:rPr>
            </w:pPr>
            <w:r w:rsidRPr="00CE07C4">
              <w:rPr>
                <w:sz w:val="16"/>
                <w:szCs w:val="16"/>
              </w:rPr>
              <w:t>Mean weekday occupancy (0–1)</w:t>
            </w:r>
          </w:p>
        </w:tc>
        <w:tc>
          <w:tcPr>
            <w:tcW w:w="708" w:type="dxa"/>
            <w:vAlign w:val="center"/>
          </w:tcPr>
          <w:p w14:paraId="2F398FFA" w14:textId="08C1CB1C" w:rsidR="006C6311" w:rsidRPr="00CE07C4" w:rsidRDefault="006C6311" w:rsidP="006C6311">
            <w:pPr>
              <w:spacing w:after="0" w:line="276" w:lineRule="auto"/>
              <w:jc w:val="center"/>
              <w:rPr>
                <w:sz w:val="16"/>
                <w:szCs w:val="16"/>
              </w:rPr>
            </w:pPr>
            <w:r w:rsidRPr="00CE07C4">
              <w:rPr>
                <w:sz w:val="16"/>
                <w:szCs w:val="16"/>
              </w:rPr>
              <w:t>0.684</w:t>
            </w:r>
          </w:p>
        </w:tc>
        <w:tc>
          <w:tcPr>
            <w:tcW w:w="851" w:type="dxa"/>
            <w:vAlign w:val="center"/>
          </w:tcPr>
          <w:p w14:paraId="4E553559" w14:textId="0D99A3C0" w:rsidR="006C6311" w:rsidRPr="00CE07C4" w:rsidRDefault="006C6311" w:rsidP="006C6311">
            <w:pPr>
              <w:spacing w:after="0" w:line="276" w:lineRule="auto"/>
              <w:jc w:val="center"/>
              <w:rPr>
                <w:sz w:val="16"/>
                <w:szCs w:val="16"/>
              </w:rPr>
            </w:pPr>
            <w:r w:rsidRPr="00CE07C4">
              <w:rPr>
                <w:sz w:val="16"/>
                <w:szCs w:val="16"/>
              </w:rPr>
              <w:t>0.465</w:t>
            </w:r>
          </w:p>
        </w:tc>
        <w:tc>
          <w:tcPr>
            <w:tcW w:w="705" w:type="dxa"/>
            <w:vAlign w:val="center"/>
          </w:tcPr>
          <w:p w14:paraId="35EC74C5" w14:textId="5A2BC787" w:rsidR="006C6311" w:rsidRPr="00CE07C4" w:rsidRDefault="006C6311" w:rsidP="006C6311">
            <w:pPr>
              <w:spacing w:after="0" w:line="276" w:lineRule="auto"/>
              <w:jc w:val="center"/>
              <w:rPr>
                <w:sz w:val="16"/>
                <w:szCs w:val="16"/>
              </w:rPr>
            </w:pPr>
            <w:r w:rsidRPr="00CE07C4">
              <w:rPr>
                <w:sz w:val="16"/>
                <w:szCs w:val="16"/>
              </w:rPr>
              <w:t>+0.219</w:t>
            </w:r>
          </w:p>
        </w:tc>
        <w:tc>
          <w:tcPr>
            <w:tcW w:w="794" w:type="dxa"/>
            <w:vAlign w:val="center"/>
          </w:tcPr>
          <w:p w14:paraId="4B487073" w14:textId="5C926A85" w:rsidR="006C6311" w:rsidRPr="00CE07C4" w:rsidRDefault="006C6311" w:rsidP="006C6311">
            <w:pPr>
              <w:spacing w:after="0" w:line="276" w:lineRule="auto"/>
              <w:jc w:val="center"/>
              <w:rPr>
                <w:sz w:val="16"/>
                <w:szCs w:val="16"/>
              </w:rPr>
            </w:pPr>
            <w:r w:rsidRPr="00CE07C4">
              <w:rPr>
                <w:sz w:val="16"/>
                <w:szCs w:val="16"/>
              </w:rPr>
              <w:t>+32.1%</w:t>
            </w:r>
          </w:p>
        </w:tc>
      </w:tr>
      <w:tr w:rsidR="006C6311" w:rsidRPr="00CE07C4" w14:paraId="14F22765" w14:textId="77777777" w:rsidTr="006C6311">
        <w:tc>
          <w:tcPr>
            <w:tcW w:w="1555" w:type="dxa"/>
            <w:vAlign w:val="center"/>
          </w:tcPr>
          <w:p w14:paraId="11C8DB32" w14:textId="4D2657CC" w:rsidR="006C6311" w:rsidRPr="00CE07C4" w:rsidRDefault="006C6311" w:rsidP="006C6311">
            <w:pPr>
              <w:spacing w:after="0" w:line="276" w:lineRule="auto"/>
              <w:jc w:val="left"/>
              <w:rPr>
                <w:sz w:val="16"/>
                <w:szCs w:val="16"/>
              </w:rPr>
            </w:pPr>
            <w:r w:rsidRPr="00CE07C4">
              <w:rPr>
                <w:sz w:val="16"/>
                <w:szCs w:val="16"/>
              </w:rPr>
              <w:t>Mean weekend occ</w:t>
            </w:r>
            <w:r w:rsidRPr="00CE07C4">
              <w:rPr>
                <w:sz w:val="16"/>
                <w:szCs w:val="16"/>
              </w:rPr>
              <w:t>upancy</w:t>
            </w:r>
            <w:r w:rsidRPr="00CE07C4">
              <w:rPr>
                <w:sz w:val="16"/>
                <w:szCs w:val="16"/>
              </w:rPr>
              <w:t xml:space="preserve"> (0–1)</w:t>
            </w:r>
          </w:p>
        </w:tc>
        <w:tc>
          <w:tcPr>
            <w:tcW w:w="708" w:type="dxa"/>
            <w:vAlign w:val="center"/>
          </w:tcPr>
          <w:p w14:paraId="618DC954" w14:textId="34386BCB" w:rsidR="006C6311" w:rsidRPr="00CE07C4" w:rsidRDefault="006C6311" w:rsidP="006C6311">
            <w:pPr>
              <w:spacing w:after="0" w:line="276" w:lineRule="auto"/>
              <w:jc w:val="center"/>
              <w:rPr>
                <w:sz w:val="16"/>
                <w:szCs w:val="16"/>
              </w:rPr>
            </w:pPr>
            <w:r w:rsidRPr="00CE07C4">
              <w:rPr>
                <w:sz w:val="16"/>
                <w:szCs w:val="16"/>
              </w:rPr>
              <w:t>0.684</w:t>
            </w:r>
          </w:p>
        </w:tc>
        <w:tc>
          <w:tcPr>
            <w:tcW w:w="851" w:type="dxa"/>
            <w:vAlign w:val="center"/>
          </w:tcPr>
          <w:p w14:paraId="17719640" w14:textId="738C27E1" w:rsidR="006C6311" w:rsidRPr="00CE07C4" w:rsidRDefault="006C6311" w:rsidP="006C6311">
            <w:pPr>
              <w:spacing w:after="0" w:line="276" w:lineRule="auto"/>
              <w:jc w:val="center"/>
              <w:rPr>
                <w:sz w:val="16"/>
                <w:szCs w:val="16"/>
              </w:rPr>
            </w:pPr>
            <w:r w:rsidRPr="00CE07C4">
              <w:rPr>
                <w:sz w:val="16"/>
                <w:szCs w:val="16"/>
              </w:rPr>
              <w:t>0.502</w:t>
            </w:r>
          </w:p>
        </w:tc>
        <w:tc>
          <w:tcPr>
            <w:tcW w:w="705" w:type="dxa"/>
            <w:vAlign w:val="center"/>
          </w:tcPr>
          <w:p w14:paraId="7B9DDCF4" w14:textId="62E2DA79" w:rsidR="006C6311" w:rsidRPr="00CE07C4" w:rsidRDefault="006C6311" w:rsidP="006C6311">
            <w:pPr>
              <w:spacing w:after="0" w:line="276" w:lineRule="auto"/>
              <w:jc w:val="center"/>
              <w:rPr>
                <w:sz w:val="16"/>
                <w:szCs w:val="16"/>
              </w:rPr>
            </w:pPr>
            <w:r w:rsidRPr="00CE07C4">
              <w:rPr>
                <w:sz w:val="16"/>
                <w:szCs w:val="16"/>
              </w:rPr>
              <w:t>+0.182</w:t>
            </w:r>
          </w:p>
        </w:tc>
        <w:tc>
          <w:tcPr>
            <w:tcW w:w="794" w:type="dxa"/>
            <w:vAlign w:val="center"/>
          </w:tcPr>
          <w:p w14:paraId="72327652" w14:textId="33E437D6" w:rsidR="006C6311" w:rsidRPr="00CE07C4" w:rsidRDefault="006C6311" w:rsidP="006C6311">
            <w:pPr>
              <w:spacing w:after="0" w:line="276" w:lineRule="auto"/>
              <w:jc w:val="center"/>
              <w:rPr>
                <w:sz w:val="16"/>
                <w:szCs w:val="16"/>
              </w:rPr>
            </w:pPr>
            <w:r w:rsidRPr="00CE07C4">
              <w:rPr>
                <w:sz w:val="16"/>
                <w:szCs w:val="16"/>
              </w:rPr>
              <w:t>+26.6%</w:t>
            </w:r>
          </w:p>
        </w:tc>
      </w:tr>
      <w:tr w:rsidR="006C6311" w:rsidRPr="00CE07C4" w14:paraId="16AD91B9" w14:textId="77777777" w:rsidTr="006C6311">
        <w:tc>
          <w:tcPr>
            <w:tcW w:w="1555" w:type="dxa"/>
            <w:vAlign w:val="center"/>
          </w:tcPr>
          <w:p w14:paraId="28DE0E0E" w14:textId="553EEB73" w:rsidR="006C6311" w:rsidRPr="00CE07C4" w:rsidRDefault="006C6311" w:rsidP="006C6311">
            <w:pPr>
              <w:spacing w:after="0" w:line="276" w:lineRule="auto"/>
              <w:jc w:val="left"/>
              <w:rPr>
                <w:sz w:val="16"/>
                <w:szCs w:val="16"/>
              </w:rPr>
            </w:pPr>
            <w:r w:rsidRPr="00CE07C4">
              <w:rPr>
                <w:sz w:val="16"/>
                <w:szCs w:val="16"/>
              </w:rPr>
              <w:t>Peak occupancy time (weekday)</w:t>
            </w:r>
          </w:p>
        </w:tc>
        <w:tc>
          <w:tcPr>
            <w:tcW w:w="708" w:type="dxa"/>
            <w:vAlign w:val="center"/>
          </w:tcPr>
          <w:p w14:paraId="69CE0A0C" w14:textId="69DB8B64" w:rsidR="006C6311" w:rsidRPr="00CE07C4" w:rsidRDefault="006C6311" w:rsidP="006C6311">
            <w:pPr>
              <w:spacing w:after="0" w:line="276" w:lineRule="auto"/>
              <w:jc w:val="center"/>
              <w:rPr>
                <w:sz w:val="16"/>
                <w:szCs w:val="16"/>
              </w:rPr>
            </w:pPr>
            <w:r w:rsidRPr="00CE07C4">
              <w:rPr>
                <w:sz w:val="16"/>
                <w:szCs w:val="16"/>
              </w:rPr>
              <w:t>00:00</w:t>
            </w:r>
          </w:p>
        </w:tc>
        <w:tc>
          <w:tcPr>
            <w:tcW w:w="851" w:type="dxa"/>
            <w:vAlign w:val="center"/>
          </w:tcPr>
          <w:p w14:paraId="20645BD5" w14:textId="267F7BC2" w:rsidR="006C6311" w:rsidRPr="00CE07C4" w:rsidRDefault="006C6311" w:rsidP="006C6311">
            <w:pPr>
              <w:spacing w:after="0" w:line="276" w:lineRule="auto"/>
              <w:jc w:val="center"/>
              <w:rPr>
                <w:sz w:val="16"/>
                <w:szCs w:val="16"/>
              </w:rPr>
            </w:pPr>
            <w:r w:rsidRPr="00CE07C4">
              <w:rPr>
                <w:sz w:val="16"/>
                <w:szCs w:val="16"/>
              </w:rPr>
              <w:t>04:00</w:t>
            </w:r>
          </w:p>
        </w:tc>
        <w:tc>
          <w:tcPr>
            <w:tcW w:w="705" w:type="dxa"/>
            <w:vAlign w:val="center"/>
          </w:tcPr>
          <w:p w14:paraId="4523BC51" w14:textId="03BB81B2" w:rsidR="006C6311" w:rsidRPr="00CE07C4" w:rsidRDefault="006C6311" w:rsidP="006C6311">
            <w:pPr>
              <w:spacing w:after="0" w:line="276" w:lineRule="auto"/>
              <w:jc w:val="center"/>
              <w:rPr>
                <w:sz w:val="16"/>
                <w:szCs w:val="16"/>
              </w:rPr>
            </w:pPr>
            <w:r w:rsidRPr="00CE07C4">
              <w:rPr>
                <w:sz w:val="16"/>
                <w:szCs w:val="16"/>
              </w:rPr>
              <w:t>Δ -4 h</w:t>
            </w:r>
          </w:p>
        </w:tc>
        <w:tc>
          <w:tcPr>
            <w:tcW w:w="794" w:type="dxa"/>
            <w:vAlign w:val="center"/>
          </w:tcPr>
          <w:p w14:paraId="06FC4346" w14:textId="4B6B3054" w:rsidR="006C6311" w:rsidRPr="00CE07C4" w:rsidRDefault="006C6311" w:rsidP="006C6311">
            <w:pPr>
              <w:spacing w:after="0" w:line="276" w:lineRule="auto"/>
              <w:jc w:val="center"/>
              <w:rPr>
                <w:sz w:val="16"/>
                <w:szCs w:val="16"/>
              </w:rPr>
            </w:pPr>
            <w:r w:rsidRPr="00CE07C4">
              <w:rPr>
                <w:sz w:val="16"/>
                <w:szCs w:val="16"/>
              </w:rPr>
              <w:t>—</w:t>
            </w:r>
          </w:p>
        </w:tc>
      </w:tr>
      <w:tr w:rsidR="006C6311" w:rsidRPr="00CE07C4" w14:paraId="58582222" w14:textId="77777777" w:rsidTr="006C6311">
        <w:tc>
          <w:tcPr>
            <w:tcW w:w="1555" w:type="dxa"/>
            <w:vAlign w:val="center"/>
          </w:tcPr>
          <w:p w14:paraId="1BBC3004" w14:textId="6A29D5DD" w:rsidR="006C6311" w:rsidRPr="00CE07C4" w:rsidRDefault="006C6311" w:rsidP="006C6311">
            <w:pPr>
              <w:spacing w:after="0" w:line="276" w:lineRule="auto"/>
              <w:jc w:val="left"/>
              <w:rPr>
                <w:sz w:val="16"/>
                <w:szCs w:val="16"/>
              </w:rPr>
            </w:pPr>
            <w:r w:rsidRPr="00CE07C4">
              <w:rPr>
                <w:sz w:val="16"/>
                <w:szCs w:val="16"/>
              </w:rPr>
              <w:t>Daytime occupancy (09–17)</w:t>
            </w:r>
          </w:p>
        </w:tc>
        <w:tc>
          <w:tcPr>
            <w:tcW w:w="708" w:type="dxa"/>
            <w:vAlign w:val="center"/>
          </w:tcPr>
          <w:p w14:paraId="1D8AB9B6" w14:textId="61FE66D6" w:rsidR="006C6311" w:rsidRPr="00CE07C4" w:rsidRDefault="006C6311" w:rsidP="006C6311">
            <w:pPr>
              <w:spacing w:after="0" w:line="276" w:lineRule="auto"/>
              <w:jc w:val="center"/>
              <w:rPr>
                <w:sz w:val="16"/>
                <w:szCs w:val="16"/>
              </w:rPr>
            </w:pPr>
            <w:r w:rsidRPr="00CE07C4">
              <w:rPr>
                <w:sz w:val="16"/>
                <w:szCs w:val="16"/>
              </w:rPr>
              <w:t>25.60%</w:t>
            </w:r>
          </w:p>
        </w:tc>
        <w:tc>
          <w:tcPr>
            <w:tcW w:w="851" w:type="dxa"/>
            <w:vAlign w:val="center"/>
          </w:tcPr>
          <w:p w14:paraId="6E032DB1" w14:textId="77BBFAA1" w:rsidR="006C6311" w:rsidRPr="00CE07C4" w:rsidRDefault="006C6311" w:rsidP="006C6311">
            <w:pPr>
              <w:spacing w:after="0" w:line="276" w:lineRule="auto"/>
              <w:jc w:val="center"/>
              <w:rPr>
                <w:sz w:val="16"/>
                <w:szCs w:val="16"/>
              </w:rPr>
            </w:pPr>
            <w:r w:rsidRPr="00CE07C4">
              <w:rPr>
                <w:sz w:val="16"/>
                <w:szCs w:val="16"/>
              </w:rPr>
              <w:t>27.60%</w:t>
            </w:r>
          </w:p>
        </w:tc>
        <w:tc>
          <w:tcPr>
            <w:tcW w:w="705" w:type="dxa"/>
            <w:vAlign w:val="center"/>
          </w:tcPr>
          <w:p w14:paraId="0AFCD072" w14:textId="018AD8FF" w:rsidR="006C6311" w:rsidRPr="00CE07C4" w:rsidRDefault="006C6311" w:rsidP="006C6311">
            <w:pPr>
              <w:spacing w:after="0" w:line="276" w:lineRule="auto"/>
              <w:jc w:val="center"/>
              <w:rPr>
                <w:sz w:val="16"/>
                <w:szCs w:val="16"/>
              </w:rPr>
            </w:pPr>
            <w:r w:rsidRPr="00CE07C4">
              <w:rPr>
                <w:sz w:val="16"/>
                <w:szCs w:val="16"/>
              </w:rPr>
              <w:t>-2.0 pp</w:t>
            </w:r>
          </w:p>
        </w:tc>
        <w:tc>
          <w:tcPr>
            <w:tcW w:w="794" w:type="dxa"/>
            <w:vAlign w:val="center"/>
          </w:tcPr>
          <w:p w14:paraId="1FD56388" w14:textId="46B34E55" w:rsidR="006C6311" w:rsidRPr="00CE07C4" w:rsidRDefault="006C6311" w:rsidP="006C6311">
            <w:pPr>
              <w:spacing w:after="0" w:line="276" w:lineRule="auto"/>
              <w:jc w:val="center"/>
              <w:rPr>
                <w:sz w:val="16"/>
                <w:szCs w:val="16"/>
              </w:rPr>
            </w:pPr>
            <w:r w:rsidRPr="00CE07C4">
              <w:rPr>
                <w:sz w:val="16"/>
                <w:szCs w:val="16"/>
              </w:rPr>
              <w:t>—</w:t>
            </w:r>
          </w:p>
        </w:tc>
      </w:tr>
      <w:tr w:rsidR="006C6311" w:rsidRPr="00CE07C4" w14:paraId="53D72914" w14:textId="77777777" w:rsidTr="006C6311">
        <w:tc>
          <w:tcPr>
            <w:tcW w:w="1555" w:type="dxa"/>
            <w:vAlign w:val="center"/>
          </w:tcPr>
          <w:p w14:paraId="4822685D" w14:textId="44FF4D08" w:rsidR="006C6311" w:rsidRPr="00CE07C4" w:rsidRDefault="006C6311" w:rsidP="006C6311">
            <w:pPr>
              <w:spacing w:after="0" w:line="276" w:lineRule="auto"/>
              <w:jc w:val="left"/>
              <w:rPr>
                <w:sz w:val="16"/>
                <w:szCs w:val="16"/>
              </w:rPr>
            </w:pPr>
            <w:r w:rsidRPr="00CE07C4">
              <w:rPr>
                <w:sz w:val="16"/>
                <w:szCs w:val="16"/>
              </w:rPr>
              <w:t>Mean metaboli</w:t>
            </w:r>
            <w:r w:rsidRPr="00CE07C4">
              <w:rPr>
                <w:sz w:val="16"/>
                <w:szCs w:val="16"/>
              </w:rPr>
              <w:t>c</w:t>
            </w:r>
            <w:r w:rsidRPr="00CE07C4">
              <w:rPr>
                <w:sz w:val="16"/>
                <w:szCs w:val="16"/>
              </w:rPr>
              <w:t xml:space="preserve"> (W)</w:t>
            </w:r>
          </w:p>
        </w:tc>
        <w:tc>
          <w:tcPr>
            <w:tcW w:w="708" w:type="dxa"/>
            <w:vAlign w:val="center"/>
          </w:tcPr>
          <w:p w14:paraId="6B0A94D8" w14:textId="5421D6F9" w:rsidR="006C6311" w:rsidRPr="00CE07C4" w:rsidRDefault="006C6311" w:rsidP="006C6311">
            <w:pPr>
              <w:spacing w:after="0" w:line="276" w:lineRule="auto"/>
              <w:jc w:val="center"/>
              <w:rPr>
                <w:sz w:val="16"/>
                <w:szCs w:val="16"/>
              </w:rPr>
            </w:pPr>
            <w:r w:rsidRPr="00CE07C4">
              <w:rPr>
                <w:sz w:val="16"/>
                <w:szCs w:val="16"/>
              </w:rPr>
              <w:t>95</w:t>
            </w:r>
          </w:p>
        </w:tc>
        <w:tc>
          <w:tcPr>
            <w:tcW w:w="851" w:type="dxa"/>
            <w:vAlign w:val="center"/>
          </w:tcPr>
          <w:p w14:paraId="0FFD133D" w14:textId="3140E4DA" w:rsidR="006C6311" w:rsidRPr="00CE07C4" w:rsidRDefault="006C6311" w:rsidP="006C6311">
            <w:pPr>
              <w:spacing w:after="0" w:line="276" w:lineRule="auto"/>
              <w:jc w:val="center"/>
              <w:rPr>
                <w:sz w:val="16"/>
                <w:szCs w:val="16"/>
              </w:rPr>
            </w:pPr>
            <w:r w:rsidRPr="00CE07C4">
              <w:rPr>
                <w:sz w:val="16"/>
                <w:szCs w:val="16"/>
              </w:rPr>
              <w:t>72.7</w:t>
            </w:r>
          </w:p>
        </w:tc>
        <w:tc>
          <w:tcPr>
            <w:tcW w:w="705" w:type="dxa"/>
            <w:vAlign w:val="center"/>
          </w:tcPr>
          <w:p w14:paraId="7AD7CCDE" w14:textId="2198433B" w:rsidR="006C6311" w:rsidRPr="00CE07C4" w:rsidRDefault="006C6311" w:rsidP="006C6311">
            <w:pPr>
              <w:spacing w:after="0" w:line="276" w:lineRule="auto"/>
              <w:jc w:val="center"/>
              <w:rPr>
                <w:sz w:val="16"/>
                <w:szCs w:val="16"/>
              </w:rPr>
            </w:pPr>
            <w:r w:rsidRPr="00CE07C4">
              <w:rPr>
                <w:sz w:val="16"/>
                <w:szCs w:val="16"/>
              </w:rPr>
              <w:t>+22.3 W</w:t>
            </w:r>
          </w:p>
        </w:tc>
        <w:tc>
          <w:tcPr>
            <w:tcW w:w="794" w:type="dxa"/>
            <w:vAlign w:val="center"/>
          </w:tcPr>
          <w:p w14:paraId="43DB6C51" w14:textId="69580593" w:rsidR="006C6311" w:rsidRPr="00CE07C4" w:rsidRDefault="006C6311" w:rsidP="006C6311">
            <w:pPr>
              <w:spacing w:after="0" w:line="276" w:lineRule="auto"/>
              <w:jc w:val="center"/>
              <w:rPr>
                <w:sz w:val="16"/>
                <w:szCs w:val="16"/>
              </w:rPr>
            </w:pPr>
            <w:r w:rsidRPr="00CE07C4">
              <w:rPr>
                <w:sz w:val="16"/>
                <w:szCs w:val="16"/>
              </w:rPr>
              <w:t>+23.5%</w:t>
            </w:r>
          </w:p>
        </w:tc>
      </w:tr>
      <w:tr w:rsidR="006C6311" w:rsidRPr="00CE07C4" w14:paraId="6A6F4706" w14:textId="77777777" w:rsidTr="006C6311">
        <w:tc>
          <w:tcPr>
            <w:tcW w:w="1555" w:type="dxa"/>
            <w:vAlign w:val="center"/>
          </w:tcPr>
          <w:p w14:paraId="004FD350" w14:textId="6152F14E" w:rsidR="006C6311" w:rsidRPr="00CE07C4" w:rsidRDefault="006C6311" w:rsidP="006C6311">
            <w:pPr>
              <w:spacing w:after="0" w:line="276" w:lineRule="auto"/>
              <w:jc w:val="left"/>
              <w:rPr>
                <w:sz w:val="16"/>
                <w:szCs w:val="16"/>
              </w:rPr>
            </w:pPr>
            <w:r w:rsidRPr="00CE07C4">
              <w:rPr>
                <w:sz w:val="16"/>
                <w:szCs w:val="16"/>
              </w:rPr>
              <w:t>Peak metabolic (W)</w:t>
            </w:r>
          </w:p>
        </w:tc>
        <w:tc>
          <w:tcPr>
            <w:tcW w:w="708" w:type="dxa"/>
            <w:vAlign w:val="center"/>
          </w:tcPr>
          <w:p w14:paraId="116A5EE2" w14:textId="1261D5C6" w:rsidR="006C6311" w:rsidRPr="00CE07C4" w:rsidRDefault="006C6311" w:rsidP="006C6311">
            <w:pPr>
              <w:spacing w:after="0" w:line="276" w:lineRule="auto"/>
              <w:jc w:val="center"/>
              <w:rPr>
                <w:sz w:val="16"/>
                <w:szCs w:val="16"/>
              </w:rPr>
            </w:pPr>
            <w:r w:rsidRPr="00CE07C4">
              <w:rPr>
                <w:sz w:val="16"/>
                <w:szCs w:val="16"/>
              </w:rPr>
              <w:t>95</w:t>
            </w:r>
          </w:p>
        </w:tc>
        <w:tc>
          <w:tcPr>
            <w:tcW w:w="851" w:type="dxa"/>
            <w:vAlign w:val="center"/>
          </w:tcPr>
          <w:p w14:paraId="38C6CE22" w14:textId="4E52CDBE" w:rsidR="006C6311" w:rsidRPr="00CE07C4" w:rsidRDefault="006C6311" w:rsidP="006C6311">
            <w:pPr>
              <w:spacing w:after="0" w:line="276" w:lineRule="auto"/>
              <w:jc w:val="center"/>
              <w:rPr>
                <w:sz w:val="16"/>
                <w:szCs w:val="16"/>
              </w:rPr>
            </w:pPr>
            <w:r w:rsidRPr="00CE07C4">
              <w:rPr>
                <w:sz w:val="16"/>
                <w:szCs w:val="16"/>
              </w:rPr>
              <w:t>95</w:t>
            </w:r>
          </w:p>
        </w:tc>
        <w:tc>
          <w:tcPr>
            <w:tcW w:w="705" w:type="dxa"/>
            <w:vAlign w:val="center"/>
          </w:tcPr>
          <w:p w14:paraId="3DDEC1E1" w14:textId="59ABD06F" w:rsidR="006C6311" w:rsidRPr="00CE07C4" w:rsidRDefault="006C6311" w:rsidP="006C6311">
            <w:pPr>
              <w:spacing w:after="0" w:line="276" w:lineRule="auto"/>
              <w:jc w:val="center"/>
              <w:rPr>
                <w:sz w:val="16"/>
                <w:szCs w:val="16"/>
              </w:rPr>
            </w:pPr>
            <w:r w:rsidRPr="00CE07C4">
              <w:rPr>
                <w:sz w:val="16"/>
                <w:szCs w:val="16"/>
              </w:rPr>
              <w:t>+0.0 W</w:t>
            </w:r>
          </w:p>
        </w:tc>
        <w:tc>
          <w:tcPr>
            <w:tcW w:w="794" w:type="dxa"/>
            <w:vAlign w:val="center"/>
          </w:tcPr>
          <w:p w14:paraId="25C0A464" w14:textId="2F680712" w:rsidR="006C6311" w:rsidRPr="00CE07C4" w:rsidRDefault="006C6311" w:rsidP="006C6311">
            <w:pPr>
              <w:spacing w:after="0" w:line="276" w:lineRule="auto"/>
              <w:jc w:val="center"/>
              <w:rPr>
                <w:sz w:val="16"/>
                <w:szCs w:val="16"/>
              </w:rPr>
            </w:pPr>
            <w:r w:rsidRPr="00CE07C4">
              <w:rPr>
                <w:sz w:val="16"/>
                <w:szCs w:val="16"/>
              </w:rPr>
              <w:t>0%</w:t>
            </w:r>
          </w:p>
        </w:tc>
      </w:tr>
    </w:tbl>
    <w:p w14:paraId="3E0CDE50" w14:textId="77777777" w:rsidR="006C6311" w:rsidRPr="00CE07C4" w:rsidRDefault="006C6311" w:rsidP="006C6311">
      <w:pPr>
        <w:spacing w:before="240" w:after="240"/>
      </w:pPr>
      <w:r w:rsidRPr="00CE07C4">
        <w:lastRenderedPageBreak/>
        <w:t xml:space="preserve">Direct comparisons between conventional baseline assumptions and empirically derived Canadian patterns expose systematic discrepancies in both timing and magnitude. While default schedules assume binary transitions and a constant 25 percent daytime presence, the GSS patterns exhibit gradual probabilistic shifts where morning departures and evening returns occur over several hours. Peak occupancy timing differs by 4 hours between default schedule models and empirical data, directly affecting overnight HVAC scheduling. Quantified metrics, detailed in </w:t>
      </w:r>
      <w:r w:rsidRPr="00CE07C4">
        <w:fldChar w:fldCharType="begin"/>
      </w:r>
      <w:r w:rsidRPr="00CE07C4">
        <w:instrText xml:space="preserve"> REF _Ref222158649 \h </w:instrText>
      </w:r>
      <w:r w:rsidRPr="00CE07C4">
        <w:fldChar w:fldCharType="separate"/>
      </w:r>
      <w:r w:rsidRPr="00CE07C4">
        <w:t xml:space="preserve">Table </w:t>
      </w:r>
      <w:r w:rsidRPr="00CE07C4">
        <w:rPr>
          <w:noProof/>
        </w:rPr>
        <w:t>1</w:t>
      </w:r>
      <w:r w:rsidRPr="00CE07C4">
        <w:fldChar w:fldCharType="end"/>
      </w:r>
      <w:r w:rsidRPr="00CE07C4">
        <w:t>, show that default schedules systematically overestimate mean weekday occupancy by 32.1 percent and metabolic heat generation by 23.5 percent. These discrepancies provide evidence based metrics for building code revisions, confirming that conventional assumptions significantly bias both heating and cooling load predictions by mischaracterizing internal heat gain profiles.</w:t>
      </w:r>
    </w:p>
    <w:p w14:paraId="111A7F7F" w14:textId="1034361E" w:rsidR="006C6311" w:rsidRPr="00CE07C4" w:rsidRDefault="006C6311" w:rsidP="006C6311">
      <w:pPr>
        <w:pStyle w:val="Heading2"/>
      </w:pPr>
      <w:r w:rsidRPr="00CE07C4">
        <w:t>Energy Impact Results</w:t>
      </w:r>
    </w:p>
    <w:p w14:paraId="73C9EA5C" w14:textId="77777777" w:rsidR="006C6311" w:rsidRDefault="006C6311" w:rsidP="006C6311">
      <w:pPr>
        <w:spacing w:before="240" w:after="240"/>
      </w:pPr>
      <w:r w:rsidRPr="00CE07C4">
        <w:t>The comparative simulation results across three Canadian climate zones demonstrate that occupancy schedule choice materially affects building energy predictions. Empirically derived GSS schedules consistently increased annual heating demand by plus 3.9% to plus 12.6% while reducing cooling demand by minus 10.3% to minus 27.1% relative to Default assumptions (</w:t>
      </w:r>
      <w:r w:rsidRPr="00CE07C4">
        <w:fldChar w:fldCharType="begin"/>
      </w:r>
      <w:r w:rsidRPr="00CE07C4">
        <w:instrText xml:space="preserve"> REF _Ref222158690 \h </w:instrText>
      </w:r>
      <w:r w:rsidRPr="00CE07C4">
        <w:fldChar w:fldCharType="separate"/>
      </w:r>
      <w:r w:rsidRPr="00CE07C4">
        <w:t xml:space="preserve">Figure </w:t>
      </w:r>
      <w:r w:rsidRPr="00CE07C4">
        <w:rPr>
          <w:noProof/>
        </w:rPr>
        <w:t>6</w:t>
      </w:r>
      <w:r w:rsidRPr="00CE07C4">
        <w:fldChar w:fldCharType="end"/>
      </w:r>
      <w:r w:rsidRPr="00CE07C4">
        <w:t>). GSS schedules show 28–60% daytime presence versus Default's 25.6%, resulting in lower internal gains and higher heating requirements. With fewer occupants generating metabolic heat and operating appliances, the building requires additional heating energy to maintain setpoint temperatures. This relationship remains consistent across Toronto (5A), Montreal (6A), and Winnipeg (7), confirming that these impacts reflect fundamental building physics rather than climate specific artifacts.</w:t>
      </w:r>
    </w:p>
    <w:p w14:paraId="738A71B8" w14:textId="21398320" w:rsidR="00073946" w:rsidRPr="00CE07C4" w:rsidRDefault="00073946" w:rsidP="006C6311">
      <w:pPr>
        <w:spacing w:before="240" w:after="240"/>
      </w:pPr>
      <w:r w:rsidRPr="00CE07C4">
        <w:rPr>
          <w:noProof/>
        </w:rPr>
        <w:drawing>
          <wp:inline distT="0" distB="0" distL="0" distR="0" wp14:anchorId="36683007" wp14:editId="6E860023">
            <wp:extent cx="2937510" cy="2144333"/>
            <wp:effectExtent l="0" t="0" r="0" b="2540"/>
            <wp:docPr id="1639394447" name="Picture 7" descr="A graph of different types of h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51681" name="Picture 7" descr="A graph of different types of heat&#10;&#10;AI-generated content may be incorrect."/>
                    <pic:cNvPicPr/>
                  </pic:nvPicPr>
                  <pic:blipFill rotWithShape="1">
                    <a:blip r:embed="rId23" cstate="print">
                      <a:extLst>
                        <a:ext uri="{28A0092B-C50C-407E-A947-70E740481C1C}">
                          <a14:useLocalDpi xmlns:a14="http://schemas.microsoft.com/office/drawing/2010/main" val="0"/>
                        </a:ext>
                      </a:extLst>
                    </a:blip>
                    <a:srcRect b="34071"/>
                    <a:stretch>
                      <a:fillRect/>
                    </a:stretch>
                  </pic:blipFill>
                  <pic:spPr bwMode="auto">
                    <a:xfrm>
                      <a:off x="0" y="0"/>
                      <a:ext cx="2937510" cy="2144333"/>
                    </a:xfrm>
                    <a:prstGeom prst="rect">
                      <a:avLst/>
                    </a:prstGeom>
                    <a:ln>
                      <a:noFill/>
                    </a:ln>
                    <a:extLst>
                      <a:ext uri="{53640926-AAD7-44D8-BBD7-CCE9431645EC}">
                        <a14:shadowObscured xmlns:a14="http://schemas.microsoft.com/office/drawing/2010/main"/>
                      </a:ext>
                    </a:extLst>
                  </pic:spPr>
                </pic:pic>
              </a:graphicData>
            </a:graphic>
          </wp:inline>
        </w:drawing>
      </w:r>
    </w:p>
    <w:p w14:paraId="4E016D39" w14:textId="6DB639DA" w:rsidR="006C6311" w:rsidRPr="00CE07C4" w:rsidRDefault="002D18FD" w:rsidP="006C6311">
      <w:r w:rsidRPr="00CE07C4">
        <w:rPr>
          <w:noProof/>
        </w:rPr>
        <w:drawing>
          <wp:inline distT="0" distB="0" distL="0" distR="0" wp14:anchorId="02D64760" wp14:editId="5857D047">
            <wp:extent cx="2937510" cy="1056622"/>
            <wp:effectExtent l="0" t="0" r="0" b="0"/>
            <wp:docPr id="1554251681" name="Picture 7" descr="A graph of different types of h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51681" name="Picture 7" descr="A graph of different types of heat&#10;&#10;AI-generated content may be incorrect."/>
                    <pic:cNvPicPr/>
                  </pic:nvPicPr>
                  <pic:blipFill rotWithShape="1">
                    <a:blip r:embed="rId23" cstate="print">
                      <a:extLst>
                        <a:ext uri="{28A0092B-C50C-407E-A947-70E740481C1C}">
                          <a14:useLocalDpi xmlns:a14="http://schemas.microsoft.com/office/drawing/2010/main" val="0"/>
                        </a:ext>
                      </a:extLst>
                    </a:blip>
                    <a:srcRect t="67513"/>
                    <a:stretch>
                      <a:fillRect/>
                    </a:stretch>
                  </pic:blipFill>
                  <pic:spPr bwMode="auto">
                    <a:xfrm>
                      <a:off x="0" y="0"/>
                      <a:ext cx="2937510" cy="1056622"/>
                    </a:xfrm>
                    <a:prstGeom prst="rect">
                      <a:avLst/>
                    </a:prstGeom>
                    <a:ln>
                      <a:noFill/>
                    </a:ln>
                    <a:extLst>
                      <a:ext uri="{53640926-AAD7-44D8-BBD7-CCE9431645EC}">
                        <a14:shadowObscured xmlns:a14="http://schemas.microsoft.com/office/drawing/2010/main"/>
                      </a:ext>
                    </a:extLst>
                  </pic:spPr>
                </pic:pic>
              </a:graphicData>
            </a:graphic>
          </wp:inline>
        </w:drawing>
      </w:r>
    </w:p>
    <w:p w14:paraId="24D0B961" w14:textId="4706D43F" w:rsidR="000C67B8" w:rsidRPr="00CE07C4" w:rsidRDefault="006C6311" w:rsidP="006C6311">
      <w:pPr>
        <w:spacing w:before="240"/>
        <w:jc w:val="center"/>
        <w:rPr>
          <w:i/>
          <w:iCs/>
        </w:rPr>
      </w:pPr>
      <w:bookmarkStart w:id="6" w:name="_Ref222158690"/>
      <w:r w:rsidRPr="00CE07C4">
        <w:rPr>
          <w:i/>
          <w:iCs/>
        </w:rPr>
        <w:t xml:space="preserve">Figure </w:t>
      </w:r>
      <w:r w:rsidRPr="00CE07C4">
        <w:rPr>
          <w:i/>
          <w:iCs/>
        </w:rPr>
        <w:fldChar w:fldCharType="begin"/>
      </w:r>
      <w:r w:rsidRPr="00CE07C4">
        <w:rPr>
          <w:i/>
          <w:iCs/>
        </w:rPr>
        <w:instrText xml:space="preserve"> SEQ Figure \* ARABIC </w:instrText>
      </w:r>
      <w:r w:rsidRPr="00CE07C4">
        <w:rPr>
          <w:i/>
          <w:iCs/>
        </w:rPr>
        <w:fldChar w:fldCharType="separate"/>
      </w:r>
      <w:r w:rsidRPr="00CE07C4">
        <w:rPr>
          <w:i/>
          <w:iCs/>
          <w:noProof/>
        </w:rPr>
        <w:t>6</w:t>
      </w:r>
      <w:r w:rsidRPr="00CE07C4">
        <w:rPr>
          <w:i/>
          <w:iCs/>
        </w:rPr>
        <w:fldChar w:fldCharType="end"/>
      </w:r>
      <w:bookmarkEnd w:id="6"/>
      <w:r w:rsidRPr="00CE07C4">
        <w:rPr>
          <w:i/>
          <w:iCs/>
        </w:rPr>
        <w:t>. Annual heating and cooling demand by scenario and climate zone</w:t>
      </w:r>
    </w:p>
    <w:p w14:paraId="63639E9E" w14:textId="77777777" w:rsidR="006C6311" w:rsidRPr="00CE07C4" w:rsidRDefault="006C6311" w:rsidP="006C6311">
      <w:pPr>
        <w:spacing w:after="240"/>
      </w:pPr>
      <w:r w:rsidRPr="00CE07C4">
        <w:t>Longitudinal trends, referring to the directional patterns observed across the 2005, 2015, and 2025 simulation periods, show that while heating demand exhibited divergent, climate specific patterns, cooling demand demonstrated consistent monotonic convergence toward Default assumptions by 2025. This convergence is driven by the synthetic 2025 population projection, where daytime occupancy closely mirrors default schedule assumptions more than the 2005 or 2015 empirical data. However, annual energy totals can obscure the temporal details necessary for infrastructure planning. Diurnal load profiles (Figure D1), reveal that Default models overestimate weekend cooling loads by up to 27% and mischaracterize peak windows, which directly impacts the accuracy of demand response dispatch algorithms and grid forecasting.</w:t>
      </w:r>
    </w:p>
    <w:p w14:paraId="6C4F02C5" w14:textId="21F20760" w:rsidR="00CE07C4" w:rsidRPr="00CE07C4" w:rsidRDefault="00CE07C4" w:rsidP="006C6311">
      <w:pPr>
        <w:spacing w:after="240"/>
      </w:pPr>
      <w:r w:rsidRPr="00CE07C4">
        <w:rPr>
          <w:noProof/>
        </w:rPr>
        <w:drawing>
          <wp:inline distT="0" distB="0" distL="0" distR="0" wp14:anchorId="5D11B3B5" wp14:editId="1DE2D7D0">
            <wp:extent cx="3007217" cy="1719441"/>
            <wp:effectExtent l="0" t="0" r="3175" b="0"/>
            <wp:docPr id="2094253094" name="Picture 8"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53094" name="Picture 8" descr="A comparison of a graph&#10;&#10;AI-generated content may be incorrect."/>
                    <pic:cNvPicPr/>
                  </pic:nvPicPr>
                  <pic:blipFill rotWithShape="1">
                    <a:blip r:embed="rId24" cstate="print">
                      <a:extLst>
                        <a:ext uri="{28A0092B-C50C-407E-A947-70E740481C1C}">
                          <a14:useLocalDpi xmlns:a14="http://schemas.microsoft.com/office/drawing/2010/main" val="0"/>
                        </a:ext>
                      </a:extLst>
                    </a:blip>
                    <a:srcRect r="50019"/>
                    <a:stretch>
                      <a:fillRect/>
                    </a:stretch>
                  </pic:blipFill>
                  <pic:spPr bwMode="auto">
                    <a:xfrm>
                      <a:off x="0" y="0"/>
                      <a:ext cx="3033401" cy="1734412"/>
                    </a:xfrm>
                    <a:prstGeom prst="rect">
                      <a:avLst/>
                    </a:prstGeom>
                    <a:ln>
                      <a:noFill/>
                    </a:ln>
                    <a:extLst>
                      <a:ext uri="{53640926-AAD7-44D8-BBD7-CCE9431645EC}">
                        <a14:shadowObscured xmlns:a14="http://schemas.microsoft.com/office/drawing/2010/main"/>
                      </a:ext>
                    </a:extLst>
                  </pic:spPr>
                </pic:pic>
              </a:graphicData>
            </a:graphic>
          </wp:inline>
        </w:drawing>
      </w:r>
    </w:p>
    <w:p w14:paraId="1A4FE19A" w14:textId="5F16DA6D" w:rsidR="00CE07C4" w:rsidRPr="00CE07C4" w:rsidRDefault="00CE07C4" w:rsidP="006C6311">
      <w:pPr>
        <w:spacing w:after="240"/>
      </w:pPr>
      <w:r w:rsidRPr="00CE07C4">
        <w:rPr>
          <w:noProof/>
        </w:rPr>
        <w:drawing>
          <wp:inline distT="0" distB="0" distL="0" distR="0" wp14:anchorId="0AC66A5B" wp14:editId="038B9BC0">
            <wp:extent cx="2987898" cy="1707001"/>
            <wp:effectExtent l="0" t="0" r="0" b="0"/>
            <wp:docPr id="1817393151" name="Picture 8"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93151" name="Picture 8" descr="A comparison of a graph&#10;&#10;AI-generated content may be incorrect."/>
                    <pic:cNvPicPr/>
                  </pic:nvPicPr>
                  <pic:blipFill rotWithShape="1">
                    <a:blip r:embed="rId25" cstate="print">
                      <a:extLst>
                        <a:ext uri="{28A0092B-C50C-407E-A947-70E740481C1C}">
                          <a14:useLocalDpi xmlns:a14="http://schemas.microsoft.com/office/drawing/2010/main" val="0"/>
                        </a:ext>
                      </a:extLst>
                    </a:blip>
                    <a:srcRect l="49978"/>
                    <a:stretch>
                      <a:fillRect/>
                    </a:stretch>
                  </pic:blipFill>
                  <pic:spPr bwMode="auto">
                    <a:xfrm>
                      <a:off x="0" y="0"/>
                      <a:ext cx="3022776" cy="1726927"/>
                    </a:xfrm>
                    <a:prstGeom prst="rect">
                      <a:avLst/>
                    </a:prstGeom>
                    <a:ln>
                      <a:noFill/>
                    </a:ln>
                    <a:extLst>
                      <a:ext uri="{53640926-AAD7-44D8-BBD7-CCE9431645EC}">
                        <a14:shadowObscured xmlns:a14="http://schemas.microsoft.com/office/drawing/2010/main"/>
                      </a:ext>
                    </a:extLst>
                  </pic:spPr>
                </pic:pic>
              </a:graphicData>
            </a:graphic>
          </wp:inline>
        </w:drawing>
      </w:r>
    </w:p>
    <w:p w14:paraId="33F2DA74" w14:textId="07CA7401" w:rsidR="006C6311" w:rsidRPr="00CE07C4" w:rsidRDefault="006C6311" w:rsidP="006C6311">
      <w:pPr>
        <w:jc w:val="center"/>
        <w:rPr>
          <w:i/>
          <w:iCs/>
        </w:rPr>
      </w:pPr>
      <w:bookmarkStart w:id="7" w:name="_Ref222158720"/>
      <w:r w:rsidRPr="00CE07C4">
        <w:rPr>
          <w:i/>
          <w:iCs/>
        </w:rPr>
        <w:t xml:space="preserve">Figure </w:t>
      </w:r>
      <w:r w:rsidRPr="00CE07C4">
        <w:rPr>
          <w:i/>
          <w:iCs/>
        </w:rPr>
        <w:fldChar w:fldCharType="begin"/>
      </w:r>
      <w:r w:rsidRPr="00CE07C4">
        <w:rPr>
          <w:i/>
          <w:iCs/>
        </w:rPr>
        <w:instrText xml:space="preserve"> SEQ Figure \* ARABIC </w:instrText>
      </w:r>
      <w:r w:rsidRPr="00CE07C4">
        <w:rPr>
          <w:i/>
          <w:iCs/>
        </w:rPr>
        <w:fldChar w:fldCharType="separate"/>
      </w:r>
      <w:r w:rsidRPr="00CE07C4">
        <w:rPr>
          <w:i/>
          <w:iCs/>
          <w:noProof/>
        </w:rPr>
        <w:t>7</w:t>
      </w:r>
      <w:r w:rsidRPr="00CE07C4">
        <w:rPr>
          <w:i/>
          <w:iCs/>
        </w:rPr>
        <w:fldChar w:fldCharType="end"/>
      </w:r>
      <w:bookmarkEnd w:id="7"/>
      <w:r w:rsidRPr="00CE07C4">
        <w:rPr>
          <w:i/>
          <w:iCs/>
        </w:rPr>
        <w:t>. Peak heating</w:t>
      </w:r>
      <w:r w:rsidR="00CE07C4" w:rsidRPr="00CE07C4">
        <w:rPr>
          <w:i/>
          <w:iCs/>
        </w:rPr>
        <w:t xml:space="preserve"> (a)</w:t>
      </w:r>
      <w:r w:rsidRPr="00CE07C4">
        <w:rPr>
          <w:i/>
          <w:iCs/>
        </w:rPr>
        <w:t xml:space="preserve"> and cooling loads</w:t>
      </w:r>
      <w:r w:rsidR="00CE07C4" w:rsidRPr="00CE07C4">
        <w:rPr>
          <w:i/>
          <w:iCs/>
        </w:rPr>
        <w:t xml:space="preserve"> (b)</w:t>
      </w:r>
      <w:r w:rsidRPr="00CE07C4">
        <w:rPr>
          <w:i/>
          <w:iCs/>
        </w:rPr>
        <w:t xml:space="preserve"> by scenario</w:t>
      </w:r>
    </w:p>
    <w:p w14:paraId="1D6FC19E" w14:textId="021D7A46" w:rsidR="006C6311" w:rsidRPr="00CE07C4" w:rsidRDefault="006C6311" w:rsidP="006C6311">
      <w:pPr>
        <w:spacing w:before="240" w:after="240"/>
      </w:pPr>
      <w:r w:rsidRPr="00CE07C4">
        <w:lastRenderedPageBreak/>
        <w:t>Peak load analysis (</w:t>
      </w:r>
      <w:r w:rsidRPr="00CE07C4">
        <w:fldChar w:fldCharType="begin"/>
      </w:r>
      <w:r w:rsidRPr="00CE07C4">
        <w:instrText xml:space="preserve"> REF _Ref222158720 \h </w:instrText>
      </w:r>
      <w:r w:rsidRPr="00CE07C4">
        <w:fldChar w:fldCharType="separate"/>
      </w:r>
      <w:r w:rsidRPr="00CE07C4">
        <w:t xml:space="preserve">Figure </w:t>
      </w:r>
      <w:r w:rsidRPr="00CE07C4">
        <w:rPr>
          <w:noProof/>
        </w:rPr>
        <w:t>7</w:t>
      </w:r>
      <w:r w:rsidRPr="00CE07C4">
        <w:fldChar w:fldCharType="end"/>
      </w:r>
      <w:r w:rsidRPr="00CE07C4">
        <w:t>) highlights the implications for HVAC equipment sizing. While peak heating loads remained remarkably stable across all scenarios—ranging from 29.62 to 30.08 W/m</w:t>
      </w:r>
      <w:r w:rsidRPr="00CE07C4">
        <w:rPr>
          <w:vertAlign w:val="superscript"/>
        </w:rPr>
        <w:t>2</w:t>
      </w:r>
      <w:r w:rsidRPr="00CE07C4">
        <w:t>—peak cooling loads exhibited substantial scenario dependent variation. 2025 scenario demonstrated a 17.4% reduction to 9.13 W/m</w:t>
      </w:r>
      <w:r w:rsidRPr="00CE07C4">
        <w:rPr>
          <w:vertAlign w:val="superscript"/>
        </w:rPr>
        <w:t>2</w:t>
      </w:r>
      <w:r w:rsidRPr="00CE07C4">
        <w:t xml:space="preserve"> with a delayed occurrence on August 5</w:t>
      </w:r>
      <w:r w:rsidRPr="00CE07C4">
        <w:rPr>
          <w:vertAlign w:val="superscript"/>
        </w:rPr>
        <w:t>th</w:t>
      </w:r>
      <w:r w:rsidRPr="00CE07C4">
        <w:t>, compared to the July 19</w:t>
      </w:r>
      <w:r w:rsidRPr="00CE07C4">
        <w:rPr>
          <w:vertAlign w:val="superscript"/>
        </w:rPr>
        <w:t>th</w:t>
      </w:r>
      <w:r w:rsidRPr="00CE07C4">
        <w:t xml:space="preserve"> peaks found in other scenarios. This shift reflects the compound effect of lower midday internal gains and activity patterns shifting toward evening hours. These findings suggest that current sizing practices are robust for heating but may overestimate cooling capacity by nearly 18% for future building stock. Such discrepancies necessitate that grid operators and engineers reassess seasonal peak forecasting assumptions that currently presume stable mid summer cooling maxima.</w:t>
      </w:r>
    </w:p>
    <w:p w14:paraId="4C146453" w14:textId="1906D0F9" w:rsidR="006C6311" w:rsidRPr="00CE07C4" w:rsidRDefault="006C6311" w:rsidP="006C6311">
      <w:pPr>
        <w:pStyle w:val="Heading1"/>
      </w:pPr>
      <w:r w:rsidRPr="00CE07C4">
        <w:t xml:space="preserve">Discussion </w:t>
      </w:r>
    </w:p>
    <w:p w14:paraId="4B6A2839" w14:textId="77777777" w:rsidR="006C6311" w:rsidRPr="00CE07C4" w:rsidRDefault="006C6311" w:rsidP="006C6311">
      <w:pPr>
        <w:spacing w:before="240" w:after="240"/>
      </w:pPr>
      <w:r w:rsidRPr="00CE07C4">
        <w:t>Default schedules overestimate mean occupancy by 32% and metabolic heat by 24%, creating a systematic bias where heating demand is underestimated by 6 to 13% and cooling is overestimated by 10 to 27%. These errors stem from a counterintuitive thermophysical relationship: Default models assume much higher continuous presence (68.4%) than empirical Canadian patterns (46.5%), resulting in artificially high internal heat gains that mask the true heating requirements of the building envelope. This study advances the research area by proving that constant metabolic rate assumptions (95 to 120W) fundamentally mischaracterize the diurnal variation of human life, which actually ranges from 70W during sleep to 245W during active leisure. Furthermore, the findings reveal that population average schedules hide extreme heterogeneity, such as the vast difference between single person (18.2h) and five person (5.2h) occupancy probabilities. Moving beyond binary presence absence modeling to activity based frameworks is therefore essential for capturing the realistic stochasticity that governs modern residential energy performance.</w:t>
      </w:r>
    </w:p>
    <w:p w14:paraId="4295EE45" w14:textId="77777777" w:rsidR="006C6311" w:rsidRPr="00CE07C4" w:rsidRDefault="006C6311" w:rsidP="006C6311">
      <w:r w:rsidRPr="00CE07C4">
        <w:t>The practical implications for building design and grid planning are significant. Current HVAC sizing based on default schedules likely overestimates cooling capacity by up to 18%, offering clear opportunities for equipment downsizing and capital savings, while heating sizing remains robust at only 1.5% variation. These findings suggest that correction factors on the order of +10% for heating and −20% for cooling may be warranted for single-family residential buildings in Canadian cold climates.For utilities, the observed 1 to 2 hour peak timing shift from late afternoon toward early afternoon (13:00 to 15:00) and the seasonal shift from July to August necessitate a total reassessment of demand response dispatch and grid stress forecasting. The non monotonic evolution of these patterns (79 to 80 to 75 kWh/m</w:t>
      </w:r>
      <w:r w:rsidRPr="00CE07C4">
        <w:rPr>
          <w:vertAlign w:val="superscript"/>
        </w:rPr>
        <w:t>2</w:t>
      </w:r>
      <w:r w:rsidRPr="00CE07C4">
        <w:t xml:space="preserve"> in Montreal) suggests that building codes relying on static schedules accumulate compounding </w:t>
      </w:r>
      <w:r w:rsidRPr="00CE07C4">
        <w:t>errors over decadal lifespans, requiring periodic recalibration synchronized with census cycles.</w:t>
      </w:r>
    </w:p>
    <w:p w14:paraId="0CE2A58F" w14:textId="77777777" w:rsidR="006C6311" w:rsidRPr="00CE07C4" w:rsidRDefault="006C6311" w:rsidP="006C6311">
      <w:pPr>
        <w:spacing w:before="240" w:after="240"/>
      </w:pPr>
      <w:r w:rsidRPr="00CE07C4">
        <w:t>The analysis is currently restricted to single family detached housing built after 1980 within climate zones 5A, 6A, and 7; consequently, results may not generalize to multifamily buildings with shared envelopes or to more extreme arctic climates. While lighting and equipment loads were integrated, their specific occupancy driven impacts were not disaggregated. Future research should prioritize validating by extending models to multi family archetypes, and performing household size segmented simulations. Coupling these granular occupancy patterns with housing stock turnover models will be vital for projecting the aggregate grid level impacts of evolving societal behaviors on regional electricity demand.</w:t>
      </w:r>
    </w:p>
    <w:p w14:paraId="3056F41F" w14:textId="74BCA50D" w:rsidR="006C6311" w:rsidRPr="00CE07C4" w:rsidRDefault="006C6311" w:rsidP="006C6311">
      <w:pPr>
        <w:pStyle w:val="Heading1"/>
      </w:pPr>
      <w:r w:rsidRPr="00CE07C4">
        <w:t>Conclusion</w:t>
      </w:r>
    </w:p>
    <w:p w14:paraId="71CC1AED" w14:textId="6942403F" w:rsidR="00B2016E" w:rsidRPr="00CE07C4" w:rsidRDefault="006C6311" w:rsidP="006C6311">
      <w:pPr>
        <w:spacing w:before="240" w:after="240"/>
      </w:pPr>
      <w:r w:rsidRPr="00CE07C4">
        <w:t>This research established a replicable generative machine learning framework integrating Canadian Census and General Social Survey data to produce longitudinal occupancy schedules from 2005 to 2025. The study transformed episodic time use diaries into standardized household level presence and activity profiles suitable for simulation, bridging the gap between national statistics and modeling requirements. This methodology enables the representation of diverse household compositions and activities that govern modern residential energy performance. The findings confirm that behavioral evolution materially determines building energy predictions. Historical data reveal that empirical presence is significantly higher than conventional assumptions, leading to a systematic underestimation of heating and an overestimation of cooling demand. While 2025 projections show a gradual convergence toward default schedules, they also indicate a critical shift in seasonal peak timing from mid July toward August. These results prove that static occupancy assumptions fail to capture the stochasticity of daily routines and the impact of societal transformations like remote work, resulting in biased internal gain profiles and oversized cooling equipment. This research provides the first longitudinal quantification of occupancy driven energy demand in Canada, demonstrating that building performance degrades through the continuous transformation of occupant behavior rather than physical aging alone. The substantial discrepancies between default schedule assumptions and empirical data provide compelling evidence for updating residential building energy modeling practices. As evolving lifestyle patterns continue to reshape domestic energy use, these data driven representations offer a vital foundation for the development of adaptive building codes and grid planning strategies that account for the dynamic nature of human behavior.</w:t>
      </w:r>
    </w:p>
    <w:p w14:paraId="7664735C" w14:textId="77777777" w:rsidR="000C67B8" w:rsidRPr="00CE07C4" w:rsidRDefault="00DB7A1F">
      <w:pPr>
        <w:pStyle w:val="Heading1"/>
      </w:pPr>
      <w:r w:rsidRPr="00CE07C4">
        <w:lastRenderedPageBreak/>
        <w:t>Acknowledgement</w:t>
      </w:r>
    </w:p>
    <w:p w14:paraId="6D62032F" w14:textId="10D0BAD0" w:rsidR="002D18FD" w:rsidRPr="00CE07C4" w:rsidRDefault="00CE07C4">
      <w:r w:rsidRPr="00CE07C4">
        <w:t>The authors gratefully acknowledge the financial support provided for this postdoctoral research by NSERC and the Voltage-Age Seed fund.</w:t>
      </w:r>
    </w:p>
    <w:p w14:paraId="573C0A27" w14:textId="77777777" w:rsidR="000C67B8" w:rsidRPr="00CE07C4" w:rsidRDefault="00DB7A1F">
      <w:pPr>
        <w:pStyle w:val="Heading1"/>
      </w:pPr>
      <w:r w:rsidRPr="00CE07C4">
        <w:t>References</w:t>
      </w:r>
    </w:p>
    <w:sdt>
      <w:sdtPr>
        <w:rPr>
          <w:color w:val="000000"/>
        </w:rPr>
        <w:tag w:val="MENDELEY_BIBLIOGRAPHY"/>
        <w:id w:val="-1434117699"/>
        <w:placeholder>
          <w:docPart w:val="DefaultPlaceholder_-1854013440"/>
        </w:placeholder>
      </w:sdtPr>
      <w:sdtContent>
        <w:p w14:paraId="431CE90B" w14:textId="77777777" w:rsidR="002D18FD" w:rsidRPr="00CE07C4" w:rsidRDefault="002D18FD">
          <w:pPr>
            <w:divId w:val="50542565"/>
            <w:rPr>
              <w:color w:val="000000"/>
              <w:szCs w:val="24"/>
            </w:rPr>
          </w:pPr>
          <w:r w:rsidRPr="00CE07C4">
            <w:rPr>
              <w:color w:val="000000"/>
            </w:rPr>
            <w:t xml:space="preserve">Building Energy Codes Program (2025) </w:t>
          </w:r>
          <w:r w:rsidRPr="00CE07C4">
            <w:rPr>
              <w:i/>
              <w:iCs/>
              <w:color w:val="000000"/>
            </w:rPr>
            <w:t>Prototype Building Models — IECC Residential</w:t>
          </w:r>
          <w:r w:rsidRPr="00CE07C4">
            <w:rPr>
              <w:color w:val="000000"/>
            </w:rPr>
            <w:t>. Available at: https://www.energycodes.gov/prototype-building-models#Residential (Accessed: February 15, 2026).</w:t>
          </w:r>
        </w:p>
        <w:p w14:paraId="472512ED" w14:textId="77777777" w:rsidR="002D18FD" w:rsidRPr="00CE07C4" w:rsidRDefault="002D18FD">
          <w:pPr>
            <w:divId w:val="279653036"/>
            <w:rPr>
              <w:color w:val="000000"/>
            </w:rPr>
          </w:pPr>
          <w:r w:rsidRPr="00CE07C4">
            <w:rPr>
              <w:color w:val="000000"/>
            </w:rPr>
            <w:t xml:space="preserve">Duan, J., He, J. and Yu, C.W. (2015) “A brief review of modelling methods for occupants’ behaviours in residential buildings,” </w:t>
          </w:r>
          <w:r w:rsidRPr="00CE07C4">
            <w:rPr>
              <w:i/>
              <w:iCs/>
              <w:color w:val="000000"/>
            </w:rPr>
            <w:t>Indoor and Built Environment</w:t>
          </w:r>
          <w:r w:rsidRPr="00CE07C4">
            <w:rPr>
              <w:color w:val="000000"/>
            </w:rPr>
            <w:t>, 0(0), p. 1420326X251396163. Available at: https://doi.org/10.1177/1420326X251396163.</w:t>
          </w:r>
        </w:p>
        <w:p w14:paraId="7453F652" w14:textId="77777777" w:rsidR="002D18FD" w:rsidRPr="00CE07C4" w:rsidRDefault="002D18FD">
          <w:pPr>
            <w:divId w:val="332880078"/>
            <w:rPr>
              <w:color w:val="000000"/>
            </w:rPr>
          </w:pPr>
          <w:r w:rsidRPr="00CE07C4">
            <w:rPr>
              <w:color w:val="000000"/>
            </w:rPr>
            <w:t xml:space="preserve">Fischer, D., Härtl, A. and Wille-Haussmann, B. (2015) “Model for electric load profiles with high time resolution for German households,” </w:t>
          </w:r>
          <w:r w:rsidRPr="00CE07C4">
            <w:rPr>
              <w:i/>
              <w:iCs/>
              <w:color w:val="000000"/>
            </w:rPr>
            <w:t>Energy and Buildings</w:t>
          </w:r>
          <w:r w:rsidRPr="00CE07C4">
            <w:rPr>
              <w:color w:val="000000"/>
            </w:rPr>
            <w:t>, 92, pp. 170–179. Available at: https://doi.org/https://doi.org/10.1016/j.enbuild.2015.01.058.</w:t>
          </w:r>
        </w:p>
        <w:p w14:paraId="541D9B07" w14:textId="77777777" w:rsidR="002D18FD" w:rsidRPr="00CE07C4" w:rsidRDefault="002D18FD">
          <w:pPr>
            <w:divId w:val="78455254"/>
            <w:rPr>
              <w:color w:val="000000"/>
            </w:rPr>
          </w:pPr>
          <w:r w:rsidRPr="00CE07C4">
            <w:rPr>
              <w:color w:val="000000"/>
            </w:rPr>
            <w:t xml:space="preserve">Hong, T. </w:t>
          </w:r>
          <w:r w:rsidRPr="00CE07C4">
            <w:rPr>
              <w:i/>
              <w:iCs/>
              <w:color w:val="000000"/>
            </w:rPr>
            <w:t>et al.</w:t>
          </w:r>
          <w:r w:rsidRPr="00CE07C4">
            <w:rPr>
              <w:color w:val="000000"/>
            </w:rPr>
            <w:t xml:space="preserve"> (2017) “Ten questions concerning occupant behavior in buildings: The big picture,” </w:t>
          </w:r>
          <w:r w:rsidRPr="00CE07C4">
            <w:rPr>
              <w:i/>
              <w:iCs/>
              <w:color w:val="000000"/>
            </w:rPr>
            <w:t>Building and Environment</w:t>
          </w:r>
          <w:r w:rsidRPr="00CE07C4">
            <w:rPr>
              <w:color w:val="000000"/>
            </w:rPr>
            <w:t>, 114, pp. 518–530. Available at: https://doi.org/https://doi.org/10.1016/j.buildenv.2016.12.006.</w:t>
          </w:r>
        </w:p>
        <w:p w14:paraId="0ED14352" w14:textId="77777777" w:rsidR="002D18FD" w:rsidRPr="00CE07C4" w:rsidRDefault="002D18FD">
          <w:pPr>
            <w:divId w:val="900798531"/>
            <w:rPr>
              <w:color w:val="000000"/>
            </w:rPr>
          </w:pPr>
          <w:r w:rsidRPr="00CE07C4">
            <w:rPr>
              <w:color w:val="000000"/>
            </w:rPr>
            <w:t xml:space="preserve">Iseri, O.K., Dino, I.G. and Kalkan, S. (2026) “Occupancy modeling using population statistics and machine learning for urban residential built environment,” </w:t>
          </w:r>
          <w:r w:rsidRPr="00CE07C4">
            <w:rPr>
              <w:i/>
              <w:iCs/>
              <w:color w:val="000000"/>
            </w:rPr>
            <w:t>Energy and Buildings</w:t>
          </w:r>
          <w:r w:rsidRPr="00CE07C4">
            <w:rPr>
              <w:color w:val="000000"/>
            </w:rPr>
            <w:t>, p. 117155. Available at: https://doi.org/https://doi.org/10.1016/j.enbuild.2026.117155.</w:t>
          </w:r>
        </w:p>
        <w:p w14:paraId="0D106A39" w14:textId="77777777" w:rsidR="002D18FD" w:rsidRPr="00CE07C4" w:rsidRDefault="002D18FD">
          <w:pPr>
            <w:divId w:val="515924189"/>
            <w:rPr>
              <w:color w:val="000000"/>
            </w:rPr>
          </w:pPr>
          <w:r w:rsidRPr="00CE07C4">
            <w:rPr>
              <w:color w:val="000000"/>
            </w:rPr>
            <w:t xml:space="preserve">Lu, X. </w:t>
          </w:r>
          <w:r w:rsidRPr="00CE07C4">
            <w:rPr>
              <w:i/>
              <w:iCs/>
              <w:color w:val="000000"/>
            </w:rPr>
            <w:t>et al.</w:t>
          </w:r>
          <w:r w:rsidRPr="00CE07C4">
            <w:rPr>
              <w:color w:val="000000"/>
            </w:rPr>
            <w:t xml:space="preserve"> (2021) “Extracting typical occupancy schedules from social media (TOSSM) and its integration with building energy modeling,” </w:t>
          </w:r>
          <w:r w:rsidRPr="00CE07C4">
            <w:rPr>
              <w:i/>
              <w:iCs/>
              <w:color w:val="000000"/>
            </w:rPr>
            <w:t>Building Simulation</w:t>
          </w:r>
          <w:r w:rsidRPr="00CE07C4">
            <w:rPr>
              <w:color w:val="000000"/>
            </w:rPr>
            <w:t>, 14(1), pp. 25–41. Available at: https://doi.org/10.1007/s12273-020-0637-y.</w:t>
          </w:r>
        </w:p>
        <w:p w14:paraId="49C7C07B" w14:textId="77777777" w:rsidR="002D18FD" w:rsidRPr="00CE07C4" w:rsidRDefault="002D18FD">
          <w:pPr>
            <w:divId w:val="1500079140"/>
            <w:rPr>
              <w:color w:val="000000"/>
            </w:rPr>
          </w:pPr>
          <w:r w:rsidRPr="00CE07C4">
            <w:rPr>
              <w:color w:val="000000"/>
            </w:rPr>
            <w:t xml:space="preserve">Mahdavi, A. </w:t>
          </w:r>
          <w:r w:rsidRPr="00CE07C4">
            <w:rPr>
              <w:i/>
              <w:iCs/>
              <w:color w:val="000000"/>
            </w:rPr>
            <w:t>et al.</w:t>
          </w:r>
          <w:r w:rsidRPr="00CE07C4">
            <w:rPr>
              <w:color w:val="000000"/>
            </w:rPr>
            <w:t xml:space="preserve"> (2021) “The Role of Occupants in Buildings’ Energy Performance Gap: Myth or Reality?,” </w:t>
          </w:r>
          <w:r w:rsidRPr="00CE07C4">
            <w:rPr>
              <w:i/>
              <w:iCs/>
              <w:color w:val="000000"/>
            </w:rPr>
            <w:t>Sustainability</w:t>
          </w:r>
          <w:r w:rsidRPr="00CE07C4">
            <w:rPr>
              <w:color w:val="000000"/>
            </w:rPr>
            <w:t>, 13(6). Available at: https://doi.org/10.3390/su13063146.</w:t>
          </w:r>
        </w:p>
        <w:p w14:paraId="0F301C3B" w14:textId="77777777" w:rsidR="002D18FD" w:rsidRPr="00CE07C4" w:rsidRDefault="002D18FD">
          <w:pPr>
            <w:divId w:val="1730379531"/>
            <w:rPr>
              <w:color w:val="000000"/>
            </w:rPr>
          </w:pPr>
          <w:r w:rsidRPr="00CE07C4">
            <w:rPr>
              <w:color w:val="000000"/>
            </w:rPr>
            <w:t>Mitra, D., Chu, Y. and Cetin, K. (2020) “Activity Profiles of Occupants in Residential Buildings Using the American Time Use Survey Data.” Available at: https://doi.org/10.1061/9780784482865.113.</w:t>
          </w:r>
        </w:p>
        <w:p w14:paraId="43B7CC57" w14:textId="77777777" w:rsidR="002D18FD" w:rsidRPr="00CE07C4" w:rsidRDefault="002D18FD">
          <w:pPr>
            <w:divId w:val="975067824"/>
            <w:rPr>
              <w:color w:val="000000"/>
            </w:rPr>
          </w:pPr>
          <w:r w:rsidRPr="00CE07C4">
            <w:rPr>
              <w:color w:val="000000"/>
            </w:rPr>
            <w:t xml:space="preserve">Mostapha Sadeghipour Roudsari, C.M. (2025) </w:t>
          </w:r>
          <w:r w:rsidRPr="00CE07C4">
            <w:rPr>
              <w:i/>
              <w:iCs/>
              <w:color w:val="000000"/>
            </w:rPr>
            <w:t>Honeybee Energy Standards — Schedule Library</w:t>
          </w:r>
          <w:r w:rsidRPr="00CE07C4">
            <w:rPr>
              <w:color w:val="000000"/>
            </w:rPr>
            <w:t>. Available at: https://github.com/ladybug-tools/honeybee-energy-standards (Accessed: February 15, 2026).</w:t>
          </w:r>
        </w:p>
        <w:p w14:paraId="7D26F553" w14:textId="77777777" w:rsidR="002D18FD" w:rsidRPr="00CE07C4" w:rsidRDefault="002D18FD">
          <w:pPr>
            <w:divId w:val="1898320668"/>
            <w:rPr>
              <w:color w:val="000000"/>
            </w:rPr>
          </w:pPr>
          <w:r w:rsidRPr="00CE07C4">
            <w:rPr>
              <w:color w:val="000000"/>
            </w:rPr>
            <w:t xml:space="preserve">National Renewable Energy Laboratory (2025) </w:t>
          </w:r>
          <w:r w:rsidRPr="00CE07C4">
            <w:rPr>
              <w:i/>
              <w:iCs/>
              <w:color w:val="000000"/>
            </w:rPr>
            <w:t>OpenStudio Standards Gem</w:t>
          </w:r>
          <w:r w:rsidRPr="00CE07C4">
            <w:rPr>
              <w:color w:val="000000"/>
            </w:rPr>
            <w:t>. Available at: https://github.com/NREL/openstudio-standards (Accessed: February 15, 2026).</w:t>
          </w:r>
        </w:p>
        <w:p w14:paraId="5A9E7B8B" w14:textId="77777777" w:rsidR="002D18FD" w:rsidRPr="00CE07C4" w:rsidRDefault="002D18FD">
          <w:pPr>
            <w:divId w:val="1771780747"/>
            <w:rPr>
              <w:color w:val="000000"/>
            </w:rPr>
          </w:pPr>
          <w:r w:rsidRPr="00CE07C4">
            <w:rPr>
              <w:color w:val="000000"/>
            </w:rPr>
            <w:t xml:space="preserve">Pérez-Lombard, L., Ortiz, J. and Pout, C. (2008) “A review on buildings energy consumption information,” </w:t>
          </w:r>
          <w:r w:rsidRPr="00CE07C4">
            <w:rPr>
              <w:i/>
              <w:iCs/>
              <w:color w:val="000000"/>
            </w:rPr>
            <w:t>Energy and Buildings</w:t>
          </w:r>
          <w:r w:rsidRPr="00CE07C4">
            <w:rPr>
              <w:color w:val="000000"/>
            </w:rPr>
            <w:t>, 40(3), pp. 394–398. Available at: https://doi.org/https://doi.org/10.1016/j.enbuild.2007.03.007.</w:t>
          </w:r>
        </w:p>
        <w:p w14:paraId="0CF67038" w14:textId="77777777" w:rsidR="002D18FD" w:rsidRPr="00CE07C4" w:rsidRDefault="002D18FD">
          <w:pPr>
            <w:divId w:val="871189223"/>
            <w:rPr>
              <w:color w:val="000000"/>
            </w:rPr>
          </w:pPr>
          <w:r w:rsidRPr="00CE07C4">
            <w:rPr>
              <w:color w:val="000000"/>
            </w:rPr>
            <w:t xml:space="preserve">Richardson, I., Thomson, M. and Infield, D. (2008) “A high-resolution domestic building occupancy model for energy demand simulations,” </w:t>
          </w:r>
          <w:r w:rsidRPr="00CE07C4">
            <w:rPr>
              <w:i/>
              <w:iCs/>
              <w:color w:val="000000"/>
            </w:rPr>
            <w:t>Energy and Buildings</w:t>
          </w:r>
          <w:r w:rsidRPr="00CE07C4">
            <w:rPr>
              <w:color w:val="000000"/>
            </w:rPr>
            <w:t>, 40(8), pp. 1560–1566. Available at: https://doi.org/https://doi.org/10.1016/j.enbuild.2008.02.006.</w:t>
          </w:r>
        </w:p>
        <w:p w14:paraId="653BDD52" w14:textId="77777777" w:rsidR="002D18FD" w:rsidRPr="00CE07C4" w:rsidRDefault="002D18FD">
          <w:pPr>
            <w:divId w:val="703409629"/>
            <w:rPr>
              <w:color w:val="000000"/>
            </w:rPr>
          </w:pPr>
          <w:r w:rsidRPr="00CE07C4">
            <w:rPr>
              <w:color w:val="000000"/>
            </w:rPr>
            <w:t xml:space="preserve">Statistics Canada (2012) </w:t>
          </w:r>
          <w:r w:rsidRPr="00CE07C4">
            <w:rPr>
              <w:i/>
              <w:iCs/>
              <w:color w:val="000000"/>
            </w:rPr>
            <w:t>2011 National Household Survey</w:t>
          </w:r>
          <w:r w:rsidRPr="00CE07C4">
            <w:rPr>
              <w:color w:val="000000"/>
            </w:rPr>
            <w:t>. Available at: https://www12.statcan.gc.ca/nhs-enm/index-eng.cfm (Accessed: February 15, 2026).</w:t>
          </w:r>
        </w:p>
        <w:p w14:paraId="44A68FD8" w14:textId="77777777" w:rsidR="002D18FD" w:rsidRPr="00CE07C4" w:rsidRDefault="002D18FD">
          <w:pPr>
            <w:divId w:val="237134111"/>
            <w:rPr>
              <w:color w:val="000000"/>
            </w:rPr>
          </w:pPr>
          <w:r w:rsidRPr="00CE07C4">
            <w:rPr>
              <w:color w:val="000000"/>
            </w:rPr>
            <w:t xml:space="preserve">Statistics Canada (2021) </w:t>
          </w:r>
          <w:r w:rsidRPr="00CE07C4">
            <w:rPr>
              <w:i/>
              <w:iCs/>
              <w:color w:val="000000"/>
            </w:rPr>
            <w:t>Guide to the Census of Population, 2021</w:t>
          </w:r>
          <w:r w:rsidRPr="00CE07C4">
            <w:rPr>
              <w:color w:val="000000"/>
            </w:rPr>
            <w:t>. Available at: https://www12.statcan.gc.ca/census-recensement/2021/ref/98-304/98-304-x2021001-eng.pdf (Accessed: February 15, 2026).</w:t>
          </w:r>
        </w:p>
        <w:p w14:paraId="44E93161" w14:textId="77777777" w:rsidR="002D18FD" w:rsidRPr="00CE07C4" w:rsidRDefault="002D18FD">
          <w:pPr>
            <w:divId w:val="1072316896"/>
            <w:rPr>
              <w:color w:val="000000"/>
            </w:rPr>
          </w:pPr>
          <w:r w:rsidRPr="00CE07C4">
            <w:rPr>
              <w:color w:val="000000"/>
            </w:rPr>
            <w:t xml:space="preserve">Statistics Canada (2022) </w:t>
          </w:r>
          <w:r w:rsidRPr="00CE07C4">
            <w:rPr>
              <w:i/>
              <w:iCs/>
              <w:color w:val="000000"/>
            </w:rPr>
            <w:t>General Social Survey – Time Use (GSS)</w:t>
          </w:r>
          <w:r w:rsidRPr="00CE07C4">
            <w:rPr>
              <w:color w:val="000000"/>
            </w:rPr>
            <w:t>. Available at: https://www150.statcan.gc.ca/n1/pub/45-25-0001/index-eng.htm (Accessed: February 15, 2026).</w:t>
          </w:r>
        </w:p>
        <w:p w14:paraId="41181CE5" w14:textId="77777777" w:rsidR="002D18FD" w:rsidRPr="00CE07C4" w:rsidRDefault="002D18FD">
          <w:pPr>
            <w:divId w:val="679890431"/>
            <w:rPr>
              <w:color w:val="000000"/>
            </w:rPr>
          </w:pPr>
          <w:r w:rsidRPr="00CE07C4">
            <w:rPr>
              <w:color w:val="000000"/>
            </w:rPr>
            <w:t xml:space="preserve">Turley, C. </w:t>
          </w:r>
          <w:r w:rsidRPr="00CE07C4">
            <w:rPr>
              <w:i/>
              <w:iCs/>
              <w:color w:val="000000"/>
            </w:rPr>
            <w:t>et al.</w:t>
          </w:r>
          <w:r w:rsidRPr="00CE07C4">
            <w:rPr>
              <w:color w:val="000000"/>
            </w:rPr>
            <w:t xml:space="preserve"> (2020) “Development and Evaluation of Occupancy-Aware HVAC Control for Residential Building Energy Efficiency and Occupant Comfort,” </w:t>
          </w:r>
          <w:r w:rsidRPr="00CE07C4">
            <w:rPr>
              <w:i/>
              <w:iCs/>
              <w:color w:val="000000"/>
            </w:rPr>
            <w:t>Energies</w:t>
          </w:r>
          <w:r w:rsidRPr="00CE07C4">
            <w:rPr>
              <w:color w:val="000000"/>
            </w:rPr>
            <w:t>, 13(20). Available at: https://doi.org/10.3390/en13205396.</w:t>
          </w:r>
        </w:p>
        <w:p w14:paraId="5519620B" w14:textId="77777777" w:rsidR="002D18FD" w:rsidRPr="00CE07C4" w:rsidRDefault="002D18FD">
          <w:pPr>
            <w:divId w:val="1278415918"/>
            <w:rPr>
              <w:color w:val="000000"/>
            </w:rPr>
          </w:pPr>
          <w:r w:rsidRPr="00CE07C4">
            <w:rPr>
              <w:color w:val="000000"/>
            </w:rPr>
            <w:t xml:space="preserve">U.S. Department of Energy (2022) </w:t>
          </w:r>
          <w:r w:rsidRPr="00CE07C4">
            <w:rPr>
              <w:i/>
              <w:iCs/>
              <w:color w:val="000000"/>
            </w:rPr>
            <w:t>Commercial Reference Buildings. 16 common building types. Developed to comply with ASHRAE Standard 90.1 (2004, 2010, 2013, 2016, 2019)</w:t>
          </w:r>
          <w:r w:rsidRPr="00CE07C4">
            <w:rPr>
              <w:color w:val="000000"/>
            </w:rPr>
            <w:t>. Available at: https://www.energy.gov/eere/buildings/commercial-reference-buildings (Accessed: February 15, 2026).</w:t>
          </w:r>
        </w:p>
        <w:p w14:paraId="49D32C91" w14:textId="77777777" w:rsidR="002D18FD" w:rsidRPr="00CE07C4" w:rsidRDefault="002D18FD">
          <w:pPr>
            <w:divId w:val="220672586"/>
            <w:rPr>
              <w:color w:val="000000"/>
            </w:rPr>
          </w:pPr>
          <w:r w:rsidRPr="00CE07C4">
            <w:rPr>
              <w:color w:val="000000"/>
            </w:rPr>
            <w:t xml:space="preserve">Wilke, U., Haldi, F. and Robinson, D. (2011) “A model of occupant’ activities based on time use survey data,” </w:t>
          </w:r>
          <w:r w:rsidRPr="00CE07C4">
            <w:rPr>
              <w:i/>
              <w:iCs/>
              <w:color w:val="000000"/>
            </w:rPr>
            <w:t>Proceedings of Building Simulation 2011: 12th Conference of International Building Performance Simulation Association</w:t>
          </w:r>
          <w:r w:rsidRPr="00CE07C4">
            <w:rPr>
              <w:color w:val="000000"/>
            </w:rPr>
            <w:t>.</w:t>
          </w:r>
        </w:p>
        <w:p w14:paraId="0B44FE03" w14:textId="53AFF52F" w:rsidR="00CE07C4" w:rsidRPr="00CE07C4" w:rsidRDefault="002D18FD" w:rsidP="00CE07C4">
          <w:r w:rsidRPr="00CE07C4">
            <w:rPr>
              <w:color w:val="000000"/>
            </w:rPr>
            <w:t> </w:t>
          </w:r>
        </w:p>
      </w:sdtContent>
    </w:sdt>
    <w:p w14:paraId="552BA76F" w14:textId="2BEBFB02" w:rsidR="00CE07C4" w:rsidRPr="00CE07C4" w:rsidRDefault="002D18FD" w:rsidP="00CE07C4">
      <w:pPr>
        <w:pStyle w:val="Heading2"/>
      </w:pPr>
      <w:r w:rsidRPr="00CE07C4">
        <w:t>Appendix A</w:t>
      </w:r>
    </w:p>
    <w:p w14:paraId="20FA4C77" w14:textId="6DC261B7" w:rsidR="002D18FD" w:rsidRPr="00CE07C4" w:rsidRDefault="002D18FD" w:rsidP="002D18FD">
      <w:pPr>
        <w:spacing w:before="240" w:after="240"/>
        <w:jc w:val="center"/>
        <w:rPr>
          <w:i/>
          <w:iCs/>
        </w:rPr>
      </w:pPr>
      <w:r w:rsidRPr="00CE07C4">
        <w:rPr>
          <w:i/>
          <w:iCs/>
        </w:rPr>
        <w:t>Table A1. Standardized Categories between four GSS datasets (2005/10/15/25)</w:t>
      </w:r>
    </w:p>
    <w:tbl>
      <w:tblPr>
        <w:tblStyle w:val="TableGrid"/>
        <w:tblW w:w="4684" w:type="dxa"/>
        <w:tblLayout w:type="fixed"/>
        <w:tblCellMar>
          <w:left w:w="57" w:type="dxa"/>
          <w:right w:w="57" w:type="dxa"/>
        </w:tblCellMar>
        <w:tblLook w:val="04A0" w:firstRow="1" w:lastRow="0" w:firstColumn="1" w:lastColumn="0" w:noHBand="0" w:noVBand="1"/>
      </w:tblPr>
      <w:tblGrid>
        <w:gridCol w:w="279"/>
        <w:gridCol w:w="992"/>
        <w:gridCol w:w="3413"/>
      </w:tblGrid>
      <w:tr w:rsidR="002D18FD" w:rsidRPr="00CE07C4" w14:paraId="0FDDE352" w14:textId="77777777" w:rsidTr="00CE07C4">
        <w:trPr>
          <w:trHeight w:val="19"/>
        </w:trPr>
        <w:tc>
          <w:tcPr>
            <w:tcW w:w="279" w:type="dxa"/>
            <w:vAlign w:val="bottom"/>
          </w:tcPr>
          <w:p w14:paraId="2488E23A" w14:textId="39ECAC4B" w:rsidR="002D18FD" w:rsidRPr="00CE07C4" w:rsidRDefault="002D18FD" w:rsidP="002D18FD">
            <w:pPr>
              <w:spacing w:line="276" w:lineRule="auto"/>
              <w:jc w:val="center"/>
              <w:rPr>
                <w:sz w:val="16"/>
                <w:szCs w:val="16"/>
              </w:rPr>
            </w:pPr>
            <w:r w:rsidRPr="00CE07C4">
              <w:rPr>
                <w:b/>
                <w:bCs/>
                <w:sz w:val="14"/>
                <w:szCs w:val="14"/>
              </w:rPr>
              <w:t>#</w:t>
            </w:r>
          </w:p>
        </w:tc>
        <w:tc>
          <w:tcPr>
            <w:tcW w:w="992" w:type="dxa"/>
            <w:vAlign w:val="bottom"/>
          </w:tcPr>
          <w:p w14:paraId="325B824B" w14:textId="0D632330" w:rsidR="002D18FD" w:rsidRPr="00CE07C4" w:rsidRDefault="002D18FD" w:rsidP="002D18FD">
            <w:pPr>
              <w:spacing w:line="276" w:lineRule="auto"/>
              <w:jc w:val="center"/>
              <w:rPr>
                <w:sz w:val="16"/>
                <w:szCs w:val="16"/>
              </w:rPr>
            </w:pPr>
            <w:r w:rsidRPr="00CE07C4">
              <w:rPr>
                <w:b/>
                <w:bCs/>
                <w:sz w:val="14"/>
                <w:szCs w:val="14"/>
              </w:rPr>
              <w:t>Category Name</w:t>
            </w:r>
          </w:p>
        </w:tc>
        <w:tc>
          <w:tcPr>
            <w:tcW w:w="3413" w:type="dxa"/>
            <w:vAlign w:val="bottom"/>
          </w:tcPr>
          <w:p w14:paraId="4F1FBE8C" w14:textId="37E35B2E" w:rsidR="002D18FD" w:rsidRPr="00CE07C4" w:rsidRDefault="002D18FD" w:rsidP="002D18FD">
            <w:pPr>
              <w:spacing w:line="276" w:lineRule="auto"/>
              <w:jc w:val="center"/>
              <w:rPr>
                <w:sz w:val="16"/>
                <w:szCs w:val="16"/>
              </w:rPr>
            </w:pPr>
            <w:r w:rsidRPr="00CE07C4">
              <w:rPr>
                <w:b/>
                <w:bCs/>
                <w:sz w:val="14"/>
                <w:szCs w:val="14"/>
              </w:rPr>
              <w:t>Description</w:t>
            </w:r>
          </w:p>
        </w:tc>
      </w:tr>
      <w:tr w:rsidR="002D18FD" w:rsidRPr="00CE07C4" w14:paraId="0780257E" w14:textId="77777777" w:rsidTr="00CE07C4">
        <w:trPr>
          <w:trHeight w:val="405"/>
        </w:trPr>
        <w:tc>
          <w:tcPr>
            <w:tcW w:w="279" w:type="dxa"/>
            <w:vAlign w:val="bottom"/>
          </w:tcPr>
          <w:p w14:paraId="4E6667D3" w14:textId="7C289A73" w:rsidR="002D18FD" w:rsidRPr="00CE07C4" w:rsidRDefault="002D18FD" w:rsidP="002D18FD">
            <w:pPr>
              <w:spacing w:after="0" w:line="276" w:lineRule="auto"/>
              <w:jc w:val="center"/>
              <w:rPr>
                <w:sz w:val="16"/>
                <w:szCs w:val="16"/>
              </w:rPr>
            </w:pPr>
            <w:r w:rsidRPr="00CE07C4">
              <w:rPr>
                <w:sz w:val="14"/>
                <w:szCs w:val="14"/>
              </w:rPr>
              <w:t>1</w:t>
            </w:r>
          </w:p>
        </w:tc>
        <w:tc>
          <w:tcPr>
            <w:tcW w:w="992" w:type="dxa"/>
            <w:vAlign w:val="center"/>
          </w:tcPr>
          <w:p w14:paraId="49A9FBD8" w14:textId="4B8E9E6F" w:rsidR="002D18FD" w:rsidRPr="00CE07C4" w:rsidRDefault="002D18FD" w:rsidP="00CE07C4">
            <w:pPr>
              <w:spacing w:after="0" w:line="276" w:lineRule="auto"/>
              <w:jc w:val="center"/>
              <w:rPr>
                <w:sz w:val="16"/>
                <w:szCs w:val="16"/>
              </w:rPr>
            </w:pPr>
            <w:r w:rsidRPr="00CE07C4">
              <w:rPr>
                <w:sz w:val="14"/>
                <w:szCs w:val="14"/>
              </w:rPr>
              <w:t>Work &amp; Related</w:t>
            </w:r>
          </w:p>
        </w:tc>
        <w:tc>
          <w:tcPr>
            <w:tcW w:w="3413" w:type="dxa"/>
            <w:vAlign w:val="center"/>
          </w:tcPr>
          <w:p w14:paraId="18F4EEF6" w14:textId="5405201C" w:rsidR="002D18FD" w:rsidRPr="00CE07C4" w:rsidRDefault="002D18FD" w:rsidP="00CE07C4">
            <w:pPr>
              <w:spacing w:after="0" w:line="276" w:lineRule="auto"/>
              <w:jc w:val="center"/>
              <w:rPr>
                <w:sz w:val="16"/>
                <w:szCs w:val="16"/>
              </w:rPr>
            </w:pPr>
            <w:r w:rsidRPr="00CE07C4">
              <w:rPr>
                <w:sz w:val="14"/>
                <w:szCs w:val="14"/>
              </w:rPr>
              <w:t>Paid/unpaid work, job searching, overtime, and work-related breaks or idle time (excluding travel).</w:t>
            </w:r>
          </w:p>
        </w:tc>
      </w:tr>
      <w:tr w:rsidR="002D18FD" w:rsidRPr="00CE07C4" w14:paraId="3F423283" w14:textId="77777777" w:rsidTr="00CE07C4">
        <w:trPr>
          <w:trHeight w:val="414"/>
        </w:trPr>
        <w:tc>
          <w:tcPr>
            <w:tcW w:w="279" w:type="dxa"/>
            <w:vAlign w:val="bottom"/>
          </w:tcPr>
          <w:p w14:paraId="5A2B093F" w14:textId="1C363807" w:rsidR="002D18FD" w:rsidRPr="00CE07C4" w:rsidRDefault="002D18FD" w:rsidP="002D18FD">
            <w:pPr>
              <w:spacing w:after="0" w:line="276" w:lineRule="auto"/>
              <w:jc w:val="center"/>
              <w:rPr>
                <w:sz w:val="16"/>
                <w:szCs w:val="16"/>
              </w:rPr>
            </w:pPr>
            <w:r w:rsidRPr="00CE07C4">
              <w:rPr>
                <w:sz w:val="14"/>
                <w:szCs w:val="14"/>
              </w:rPr>
              <w:t>2</w:t>
            </w:r>
          </w:p>
        </w:tc>
        <w:tc>
          <w:tcPr>
            <w:tcW w:w="992" w:type="dxa"/>
            <w:vAlign w:val="center"/>
          </w:tcPr>
          <w:p w14:paraId="400E91C0" w14:textId="70539F87" w:rsidR="002D18FD" w:rsidRPr="00CE07C4" w:rsidRDefault="002D18FD" w:rsidP="00CE07C4">
            <w:pPr>
              <w:spacing w:after="0" w:line="276" w:lineRule="auto"/>
              <w:jc w:val="center"/>
              <w:rPr>
                <w:sz w:val="16"/>
                <w:szCs w:val="16"/>
              </w:rPr>
            </w:pPr>
            <w:r w:rsidRPr="00CE07C4">
              <w:rPr>
                <w:sz w:val="14"/>
                <w:szCs w:val="14"/>
              </w:rPr>
              <w:t>Household Work &amp; Maintenance</w:t>
            </w:r>
          </w:p>
        </w:tc>
        <w:tc>
          <w:tcPr>
            <w:tcW w:w="3413" w:type="dxa"/>
            <w:vAlign w:val="center"/>
          </w:tcPr>
          <w:p w14:paraId="7E19CFB4" w14:textId="7254BB4F" w:rsidR="002D18FD" w:rsidRPr="00CE07C4" w:rsidRDefault="002D18FD" w:rsidP="00CE07C4">
            <w:pPr>
              <w:spacing w:after="0" w:line="276" w:lineRule="auto"/>
              <w:jc w:val="center"/>
              <w:rPr>
                <w:sz w:val="16"/>
                <w:szCs w:val="16"/>
              </w:rPr>
            </w:pPr>
            <w:r w:rsidRPr="00CE07C4">
              <w:rPr>
                <w:sz w:val="14"/>
                <w:szCs w:val="14"/>
              </w:rPr>
              <w:t>Cooking prep, cleaning, laundry, repairs, gardening, pet/plant care, household finances, organization, etc.</w:t>
            </w:r>
          </w:p>
        </w:tc>
      </w:tr>
      <w:tr w:rsidR="002D18FD" w:rsidRPr="00CE07C4" w14:paraId="63E42F4A" w14:textId="77777777" w:rsidTr="00CE07C4">
        <w:trPr>
          <w:trHeight w:val="414"/>
        </w:trPr>
        <w:tc>
          <w:tcPr>
            <w:tcW w:w="279" w:type="dxa"/>
            <w:vAlign w:val="bottom"/>
          </w:tcPr>
          <w:p w14:paraId="6998AAAC" w14:textId="780DFD6D" w:rsidR="002D18FD" w:rsidRPr="00CE07C4" w:rsidRDefault="002D18FD" w:rsidP="002D18FD">
            <w:pPr>
              <w:spacing w:after="0" w:line="276" w:lineRule="auto"/>
              <w:jc w:val="center"/>
              <w:rPr>
                <w:sz w:val="16"/>
                <w:szCs w:val="16"/>
              </w:rPr>
            </w:pPr>
            <w:r w:rsidRPr="00CE07C4">
              <w:rPr>
                <w:sz w:val="14"/>
                <w:szCs w:val="14"/>
              </w:rPr>
              <w:t>3</w:t>
            </w:r>
          </w:p>
        </w:tc>
        <w:tc>
          <w:tcPr>
            <w:tcW w:w="992" w:type="dxa"/>
            <w:vAlign w:val="center"/>
          </w:tcPr>
          <w:p w14:paraId="20D87595" w14:textId="28E2B3E6" w:rsidR="002D18FD" w:rsidRPr="00CE07C4" w:rsidRDefault="002D18FD" w:rsidP="00CE07C4">
            <w:pPr>
              <w:spacing w:after="0" w:line="276" w:lineRule="auto"/>
              <w:jc w:val="center"/>
              <w:rPr>
                <w:sz w:val="16"/>
                <w:szCs w:val="16"/>
              </w:rPr>
            </w:pPr>
            <w:r w:rsidRPr="00CE07C4">
              <w:rPr>
                <w:sz w:val="14"/>
                <w:szCs w:val="14"/>
              </w:rPr>
              <w:t>Caregiving &amp; Help</w:t>
            </w:r>
          </w:p>
        </w:tc>
        <w:tc>
          <w:tcPr>
            <w:tcW w:w="3413" w:type="dxa"/>
            <w:vAlign w:val="center"/>
          </w:tcPr>
          <w:p w14:paraId="453D8355" w14:textId="015087BA" w:rsidR="002D18FD" w:rsidRPr="00CE07C4" w:rsidRDefault="002D18FD" w:rsidP="00CE07C4">
            <w:pPr>
              <w:spacing w:after="0" w:line="276" w:lineRule="auto"/>
              <w:jc w:val="center"/>
              <w:rPr>
                <w:sz w:val="16"/>
                <w:szCs w:val="16"/>
              </w:rPr>
            </w:pPr>
            <w:r w:rsidRPr="00CE07C4">
              <w:rPr>
                <w:sz w:val="14"/>
                <w:szCs w:val="14"/>
              </w:rPr>
              <w:t>Caring for children, adults, or non-household members; includes physical, emotional, or medical assistance.</w:t>
            </w:r>
          </w:p>
        </w:tc>
      </w:tr>
      <w:tr w:rsidR="002D18FD" w:rsidRPr="00CE07C4" w14:paraId="41D40BF5" w14:textId="77777777" w:rsidTr="00CE07C4">
        <w:trPr>
          <w:trHeight w:val="414"/>
        </w:trPr>
        <w:tc>
          <w:tcPr>
            <w:tcW w:w="279" w:type="dxa"/>
            <w:vAlign w:val="bottom"/>
          </w:tcPr>
          <w:p w14:paraId="11A8888E" w14:textId="56DA6250" w:rsidR="002D18FD" w:rsidRPr="00CE07C4" w:rsidRDefault="002D18FD" w:rsidP="002D18FD">
            <w:pPr>
              <w:spacing w:after="0" w:line="276" w:lineRule="auto"/>
              <w:jc w:val="center"/>
              <w:rPr>
                <w:sz w:val="14"/>
                <w:szCs w:val="14"/>
              </w:rPr>
            </w:pPr>
            <w:r w:rsidRPr="00CE07C4">
              <w:rPr>
                <w:sz w:val="14"/>
                <w:szCs w:val="14"/>
              </w:rPr>
              <w:t>4</w:t>
            </w:r>
          </w:p>
        </w:tc>
        <w:tc>
          <w:tcPr>
            <w:tcW w:w="992" w:type="dxa"/>
            <w:vAlign w:val="center"/>
          </w:tcPr>
          <w:p w14:paraId="098B6FBA" w14:textId="12FA7626" w:rsidR="002D18FD" w:rsidRPr="00CE07C4" w:rsidRDefault="002D18FD" w:rsidP="00CE07C4">
            <w:pPr>
              <w:spacing w:after="0" w:line="276" w:lineRule="auto"/>
              <w:jc w:val="center"/>
              <w:rPr>
                <w:sz w:val="14"/>
                <w:szCs w:val="14"/>
              </w:rPr>
            </w:pPr>
            <w:r w:rsidRPr="00CE07C4">
              <w:rPr>
                <w:sz w:val="14"/>
                <w:szCs w:val="14"/>
              </w:rPr>
              <w:t>Purchasing Goods &amp; Services</w:t>
            </w:r>
          </w:p>
        </w:tc>
        <w:tc>
          <w:tcPr>
            <w:tcW w:w="3413" w:type="dxa"/>
            <w:vAlign w:val="center"/>
          </w:tcPr>
          <w:p w14:paraId="4549F8A1" w14:textId="2D93568A" w:rsidR="002D18FD" w:rsidRPr="00CE07C4" w:rsidRDefault="002D18FD" w:rsidP="00CE07C4">
            <w:pPr>
              <w:spacing w:after="0" w:line="276" w:lineRule="auto"/>
              <w:jc w:val="center"/>
              <w:rPr>
                <w:sz w:val="14"/>
                <w:szCs w:val="14"/>
              </w:rPr>
            </w:pPr>
            <w:r w:rsidRPr="00CE07C4">
              <w:rPr>
                <w:sz w:val="14"/>
                <w:szCs w:val="14"/>
              </w:rPr>
              <w:t>Shopping, errands, and use of personal, financial, government, medical, or professional services.</w:t>
            </w:r>
          </w:p>
        </w:tc>
      </w:tr>
      <w:tr w:rsidR="002D18FD" w:rsidRPr="00CE07C4" w14:paraId="52EF8EE9" w14:textId="77777777" w:rsidTr="00CE07C4">
        <w:trPr>
          <w:trHeight w:val="414"/>
        </w:trPr>
        <w:tc>
          <w:tcPr>
            <w:tcW w:w="279" w:type="dxa"/>
            <w:vAlign w:val="bottom"/>
          </w:tcPr>
          <w:p w14:paraId="7EDB9D2D" w14:textId="086BB198" w:rsidR="002D18FD" w:rsidRPr="00CE07C4" w:rsidRDefault="002D18FD" w:rsidP="002D18FD">
            <w:pPr>
              <w:spacing w:after="0" w:line="276" w:lineRule="auto"/>
              <w:jc w:val="center"/>
              <w:rPr>
                <w:sz w:val="14"/>
                <w:szCs w:val="14"/>
              </w:rPr>
            </w:pPr>
            <w:r w:rsidRPr="00CE07C4">
              <w:rPr>
                <w:sz w:val="14"/>
                <w:szCs w:val="14"/>
              </w:rPr>
              <w:lastRenderedPageBreak/>
              <w:t>5</w:t>
            </w:r>
          </w:p>
        </w:tc>
        <w:tc>
          <w:tcPr>
            <w:tcW w:w="992" w:type="dxa"/>
            <w:vAlign w:val="center"/>
          </w:tcPr>
          <w:p w14:paraId="4A29CC1F" w14:textId="2688D64F" w:rsidR="002D18FD" w:rsidRPr="00CE07C4" w:rsidRDefault="002D18FD" w:rsidP="00CE07C4">
            <w:pPr>
              <w:spacing w:after="0" w:line="276" w:lineRule="auto"/>
              <w:jc w:val="center"/>
              <w:rPr>
                <w:sz w:val="14"/>
                <w:szCs w:val="14"/>
              </w:rPr>
            </w:pPr>
            <w:r w:rsidRPr="00CE07C4">
              <w:rPr>
                <w:sz w:val="14"/>
                <w:szCs w:val="14"/>
              </w:rPr>
              <w:t>Sleep &amp; Naps &amp; Resting</w:t>
            </w:r>
          </w:p>
        </w:tc>
        <w:tc>
          <w:tcPr>
            <w:tcW w:w="3413" w:type="dxa"/>
            <w:vAlign w:val="center"/>
          </w:tcPr>
          <w:p w14:paraId="40889602" w14:textId="6A92501D" w:rsidR="002D18FD" w:rsidRPr="00CE07C4" w:rsidRDefault="002D18FD" w:rsidP="00CE07C4">
            <w:pPr>
              <w:spacing w:after="0" w:line="276" w:lineRule="auto"/>
              <w:jc w:val="center"/>
              <w:rPr>
                <w:sz w:val="14"/>
                <w:szCs w:val="14"/>
              </w:rPr>
            </w:pPr>
            <w:r w:rsidRPr="00CE07C4">
              <w:rPr>
                <w:sz w:val="14"/>
                <w:szCs w:val="14"/>
              </w:rPr>
              <w:t>Night sleep, naps, or lying down to rest.</w:t>
            </w:r>
          </w:p>
        </w:tc>
      </w:tr>
      <w:tr w:rsidR="002D18FD" w:rsidRPr="00CE07C4" w14:paraId="383CDE70" w14:textId="77777777" w:rsidTr="00CE07C4">
        <w:trPr>
          <w:trHeight w:val="414"/>
        </w:trPr>
        <w:tc>
          <w:tcPr>
            <w:tcW w:w="279" w:type="dxa"/>
            <w:vAlign w:val="bottom"/>
          </w:tcPr>
          <w:p w14:paraId="4B4A65B9" w14:textId="0A186A51" w:rsidR="002D18FD" w:rsidRPr="00CE07C4" w:rsidRDefault="002D18FD" w:rsidP="002D18FD">
            <w:pPr>
              <w:spacing w:after="0" w:line="276" w:lineRule="auto"/>
              <w:jc w:val="center"/>
              <w:rPr>
                <w:sz w:val="14"/>
                <w:szCs w:val="14"/>
              </w:rPr>
            </w:pPr>
            <w:r w:rsidRPr="00CE07C4">
              <w:rPr>
                <w:sz w:val="14"/>
                <w:szCs w:val="14"/>
              </w:rPr>
              <w:t>6</w:t>
            </w:r>
          </w:p>
        </w:tc>
        <w:tc>
          <w:tcPr>
            <w:tcW w:w="992" w:type="dxa"/>
            <w:vAlign w:val="center"/>
          </w:tcPr>
          <w:p w14:paraId="002D4553" w14:textId="65B3499D" w:rsidR="002D18FD" w:rsidRPr="00CE07C4" w:rsidRDefault="002D18FD" w:rsidP="00CE07C4">
            <w:pPr>
              <w:spacing w:after="0" w:line="276" w:lineRule="auto"/>
              <w:jc w:val="center"/>
              <w:rPr>
                <w:sz w:val="14"/>
                <w:szCs w:val="14"/>
              </w:rPr>
            </w:pPr>
            <w:r w:rsidRPr="00CE07C4">
              <w:rPr>
                <w:sz w:val="14"/>
                <w:szCs w:val="14"/>
              </w:rPr>
              <w:t>Eating &amp; Drinking</w:t>
            </w:r>
          </w:p>
        </w:tc>
        <w:tc>
          <w:tcPr>
            <w:tcW w:w="3413" w:type="dxa"/>
            <w:vAlign w:val="center"/>
          </w:tcPr>
          <w:p w14:paraId="63C92FD5" w14:textId="2A1C01F9" w:rsidR="002D18FD" w:rsidRPr="00CE07C4" w:rsidRDefault="002D18FD" w:rsidP="00CE07C4">
            <w:pPr>
              <w:spacing w:after="0" w:line="276" w:lineRule="auto"/>
              <w:jc w:val="center"/>
              <w:rPr>
                <w:sz w:val="14"/>
                <w:szCs w:val="14"/>
              </w:rPr>
            </w:pPr>
            <w:r w:rsidRPr="00CE07C4">
              <w:rPr>
                <w:sz w:val="14"/>
                <w:szCs w:val="14"/>
              </w:rPr>
              <w:t>All eating and drinking activities (home or away).</w:t>
            </w:r>
          </w:p>
        </w:tc>
      </w:tr>
      <w:tr w:rsidR="002D18FD" w:rsidRPr="00CE07C4" w14:paraId="076156FA" w14:textId="77777777" w:rsidTr="00CE07C4">
        <w:trPr>
          <w:trHeight w:val="414"/>
        </w:trPr>
        <w:tc>
          <w:tcPr>
            <w:tcW w:w="279" w:type="dxa"/>
            <w:vAlign w:val="bottom"/>
          </w:tcPr>
          <w:p w14:paraId="122E51AC" w14:textId="0F84838E" w:rsidR="002D18FD" w:rsidRPr="00CE07C4" w:rsidRDefault="002D18FD" w:rsidP="002D18FD">
            <w:pPr>
              <w:spacing w:after="0" w:line="276" w:lineRule="auto"/>
              <w:jc w:val="center"/>
              <w:rPr>
                <w:sz w:val="14"/>
                <w:szCs w:val="14"/>
              </w:rPr>
            </w:pPr>
            <w:r w:rsidRPr="00CE07C4">
              <w:rPr>
                <w:sz w:val="14"/>
                <w:szCs w:val="14"/>
              </w:rPr>
              <w:t>7</w:t>
            </w:r>
          </w:p>
        </w:tc>
        <w:tc>
          <w:tcPr>
            <w:tcW w:w="992" w:type="dxa"/>
            <w:vAlign w:val="center"/>
          </w:tcPr>
          <w:p w14:paraId="15FFE4F1" w14:textId="69B786BF" w:rsidR="002D18FD" w:rsidRPr="00CE07C4" w:rsidRDefault="002D18FD" w:rsidP="00CE07C4">
            <w:pPr>
              <w:spacing w:after="0" w:line="276" w:lineRule="auto"/>
              <w:jc w:val="center"/>
              <w:rPr>
                <w:sz w:val="14"/>
                <w:szCs w:val="14"/>
              </w:rPr>
            </w:pPr>
            <w:r w:rsidRPr="00CE07C4">
              <w:rPr>
                <w:sz w:val="14"/>
                <w:szCs w:val="14"/>
              </w:rPr>
              <w:t>Personal Care</w:t>
            </w:r>
          </w:p>
        </w:tc>
        <w:tc>
          <w:tcPr>
            <w:tcW w:w="3413" w:type="dxa"/>
            <w:vAlign w:val="center"/>
          </w:tcPr>
          <w:p w14:paraId="14FEA089" w14:textId="40B93503" w:rsidR="002D18FD" w:rsidRPr="00CE07C4" w:rsidRDefault="002D18FD" w:rsidP="00CE07C4">
            <w:pPr>
              <w:spacing w:after="0" w:line="276" w:lineRule="auto"/>
              <w:jc w:val="center"/>
              <w:rPr>
                <w:sz w:val="14"/>
                <w:szCs w:val="14"/>
              </w:rPr>
            </w:pPr>
            <w:r w:rsidRPr="00CE07C4">
              <w:rPr>
                <w:sz w:val="14"/>
                <w:szCs w:val="14"/>
              </w:rPr>
              <w:t>Grooming, hygiene, personal medical care, and private activities (bathroom, sex).</w:t>
            </w:r>
          </w:p>
        </w:tc>
      </w:tr>
      <w:tr w:rsidR="002D18FD" w:rsidRPr="00CE07C4" w14:paraId="001799F6" w14:textId="77777777" w:rsidTr="00CE07C4">
        <w:trPr>
          <w:trHeight w:val="414"/>
        </w:trPr>
        <w:tc>
          <w:tcPr>
            <w:tcW w:w="279" w:type="dxa"/>
            <w:vAlign w:val="bottom"/>
          </w:tcPr>
          <w:p w14:paraId="48163219" w14:textId="1C3395F3" w:rsidR="002D18FD" w:rsidRPr="00CE07C4" w:rsidRDefault="002D18FD" w:rsidP="002D18FD">
            <w:pPr>
              <w:spacing w:after="0" w:line="276" w:lineRule="auto"/>
              <w:jc w:val="center"/>
              <w:rPr>
                <w:sz w:val="14"/>
                <w:szCs w:val="14"/>
              </w:rPr>
            </w:pPr>
            <w:r w:rsidRPr="00CE07C4">
              <w:rPr>
                <w:sz w:val="14"/>
                <w:szCs w:val="14"/>
              </w:rPr>
              <w:t>8</w:t>
            </w:r>
          </w:p>
        </w:tc>
        <w:tc>
          <w:tcPr>
            <w:tcW w:w="992" w:type="dxa"/>
            <w:vAlign w:val="center"/>
          </w:tcPr>
          <w:p w14:paraId="168CCCAA" w14:textId="020C474D" w:rsidR="002D18FD" w:rsidRPr="00CE07C4" w:rsidRDefault="002D18FD" w:rsidP="00CE07C4">
            <w:pPr>
              <w:spacing w:after="0" w:line="276" w:lineRule="auto"/>
              <w:jc w:val="center"/>
              <w:rPr>
                <w:sz w:val="14"/>
                <w:szCs w:val="14"/>
              </w:rPr>
            </w:pPr>
            <w:r w:rsidRPr="00CE07C4">
              <w:rPr>
                <w:sz w:val="14"/>
                <w:szCs w:val="14"/>
              </w:rPr>
              <w:t>Education</w:t>
            </w:r>
          </w:p>
        </w:tc>
        <w:tc>
          <w:tcPr>
            <w:tcW w:w="3413" w:type="dxa"/>
            <w:vAlign w:val="center"/>
          </w:tcPr>
          <w:p w14:paraId="32945898" w14:textId="2C17F50B" w:rsidR="002D18FD" w:rsidRPr="00CE07C4" w:rsidRDefault="002D18FD" w:rsidP="00CE07C4">
            <w:pPr>
              <w:spacing w:after="0" w:line="276" w:lineRule="auto"/>
              <w:jc w:val="center"/>
              <w:rPr>
                <w:sz w:val="14"/>
                <w:szCs w:val="14"/>
              </w:rPr>
            </w:pPr>
            <w:r w:rsidRPr="00CE07C4">
              <w:rPr>
                <w:sz w:val="14"/>
                <w:szCs w:val="14"/>
              </w:rPr>
              <w:t>Attending classes, studying, homework, or school/training-related events.</w:t>
            </w:r>
          </w:p>
        </w:tc>
      </w:tr>
      <w:tr w:rsidR="002D18FD" w:rsidRPr="00CE07C4" w14:paraId="15228DD6" w14:textId="77777777" w:rsidTr="00CE07C4">
        <w:trPr>
          <w:trHeight w:val="414"/>
        </w:trPr>
        <w:tc>
          <w:tcPr>
            <w:tcW w:w="279" w:type="dxa"/>
            <w:vAlign w:val="bottom"/>
          </w:tcPr>
          <w:p w14:paraId="247A2492" w14:textId="2E2076F3" w:rsidR="002D18FD" w:rsidRPr="00CE07C4" w:rsidRDefault="002D18FD" w:rsidP="002D18FD">
            <w:pPr>
              <w:spacing w:after="0" w:line="276" w:lineRule="auto"/>
              <w:jc w:val="center"/>
              <w:rPr>
                <w:sz w:val="14"/>
                <w:szCs w:val="14"/>
              </w:rPr>
            </w:pPr>
            <w:r w:rsidRPr="00CE07C4">
              <w:rPr>
                <w:sz w:val="14"/>
                <w:szCs w:val="14"/>
              </w:rPr>
              <w:t>9</w:t>
            </w:r>
          </w:p>
        </w:tc>
        <w:tc>
          <w:tcPr>
            <w:tcW w:w="992" w:type="dxa"/>
            <w:vAlign w:val="center"/>
          </w:tcPr>
          <w:p w14:paraId="7CD9C356" w14:textId="2E800B7D" w:rsidR="002D18FD" w:rsidRPr="00CE07C4" w:rsidRDefault="002D18FD" w:rsidP="00CE07C4">
            <w:pPr>
              <w:spacing w:after="0" w:line="276" w:lineRule="auto"/>
              <w:jc w:val="center"/>
              <w:rPr>
                <w:sz w:val="14"/>
                <w:szCs w:val="14"/>
              </w:rPr>
            </w:pPr>
            <w:r w:rsidRPr="00CE07C4">
              <w:rPr>
                <w:sz w:val="14"/>
                <w:szCs w:val="14"/>
              </w:rPr>
              <w:t>Socializing</w:t>
            </w:r>
          </w:p>
        </w:tc>
        <w:tc>
          <w:tcPr>
            <w:tcW w:w="3413" w:type="dxa"/>
            <w:vAlign w:val="center"/>
          </w:tcPr>
          <w:p w14:paraId="4927C0F7" w14:textId="014591A1" w:rsidR="002D18FD" w:rsidRPr="00CE07C4" w:rsidRDefault="002D18FD" w:rsidP="00CE07C4">
            <w:pPr>
              <w:spacing w:after="0" w:line="276" w:lineRule="auto"/>
              <w:jc w:val="center"/>
              <w:rPr>
                <w:sz w:val="14"/>
                <w:szCs w:val="14"/>
              </w:rPr>
            </w:pPr>
            <w:r w:rsidRPr="00CE07C4">
              <w:rPr>
                <w:sz w:val="14"/>
                <w:szCs w:val="14"/>
              </w:rPr>
              <w:t>Visiting, parties, weddings, bars, clubs, or any direct social interactions.</w:t>
            </w:r>
          </w:p>
        </w:tc>
      </w:tr>
      <w:tr w:rsidR="002D18FD" w:rsidRPr="00CE07C4" w14:paraId="0A4C0568" w14:textId="77777777" w:rsidTr="00CE07C4">
        <w:trPr>
          <w:trHeight w:val="414"/>
        </w:trPr>
        <w:tc>
          <w:tcPr>
            <w:tcW w:w="279" w:type="dxa"/>
            <w:vAlign w:val="bottom"/>
          </w:tcPr>
          <w:p w14:paraId="69A816DE" w14:textId="64F09172" w:rsidR="002D18FD" w:rsidRPr="00CE07C4" w:rsidRDefault="002D18FD" w:rsidP="002D18FD">
            <w:pPr>
              <w:spacing w:after="0" w:line="276" w:lineRule="auto"/>
              <w:jc w:val="center"/>
              <w:rPr>
                <w:sz w:val="14"/>
                <w:szCs w:val="14"/>
              </w:rPr>
            </w:pPr>
            <w:r w:rsidRPr="00CE07C4">
              <w:rPr>
                <w:sz w:val="14"/>
                <w:szCs w:val="14"/>
              </w:rPr>
              <w:t>10</w:t>
            </w:r>
          </w:p>
        </w:tc>
        <w:tc>
          <w:tcPr>
            <w:tcW w:w="992" w:type="dxa"/>
            <w:vAlign w:val="center"/>
          </w:tcPr>
          <w:p w14:paraId="70823177" w14:textId="7C08B8F3" w:rsidR="002D18FD" w:rsidRPr="00CE07C4" w:rsidRDefault="002D18FD" w:rsidP="00CE07C4">
            <w:pPr>
              <w:spacing w:after="0" w:line="276" w:lineRule="auto"/>
              <w:jc w:val="center"/>
              <w:rPr>
                <w:sz w:val="14"/>
                <w:szCs w:val="14"/>
              </w:rPr>
            </w:pPr>
            <w:r w:rsidRPr="00CE07C4">
              <w:rPr>
                <w:sz w:val="14"/>
                <w:szCs w:val="14"/>
              </w:rPr>
              <w:t>Passive Leisure</w:t>
            </w:r>
          </w:p>
        </w:tc>
        <w:tc>
          <w:tcPr>
            <w:tcW w:w="3413" w:type="dxa"/>
            <w:vAlign w:val="center"/>
          </w:tcPr>
          <w:p w14:paraId="4DB094DF" w14:textId="75AC3537" w:rsidR="002D18FD" w:rsidRPr="00CE07C4" w:rsidRDefault="002D18FD" w:rsidP="00CE07C4">
            <w:pPr>
              <w:spacing w:after="0" w:line="276" w:lineRule="auto"/>
              <w:jc w:val="center"/>
              <w:rPr>
                <w:sz w:val="14"/>
                <w:szCs w:val="14"/>
              </w:rPr>
            </w:pPr>
            <w:r w:rsidRPr="00CE07C4">
              <w:rPr>
                <w:sz w:val="14"/>
                <w:szCs w:val="14"/>
              </w:rPr>
              <w:t>Relaxing, resting, reading, watching TV, gaming, listening to music, meditation, or private prayer.</w:t>
            </w:r>
          </w:p>
        </w:tc>
      </w:tr>
      <w:tr w:rsidR="002D18FD" w:rsidRPr="00CE07C4" w14:paraId="67508BB3" w14:textId="77777777" w:rsidTr="00CE07C4">
        <w:trPr>
          <w:trHeight w:val="414"/>
        </w:trPr>
        <w:tc>
          <w:tcPr>
            <w:tcW w:w="279" w:type="dxa"/>
            <w:vAlign w:val="bottom"/>
          </w:tcPr>
          <w:p w14:paraId="21782AD1" w14:textId="6A82713E" w:rsidR="002D18FD" w:rsidRPr="00CE07C4" w:rsidRDefault="002D18FD" w:rsidP="002D18FD">
            <w:pPr>
              <w:spacing w:after="0" w:line="276" w:lineRule="auto"/>
              <w:jc w:val="center"/>
              <w:rPr>
                <w:sz w:val="14"/>
                <w:szCs w:val="14"/>
              </w:rPr>
            </w:pPr>
            <w:r w:rsidRPr="00CE07C4">
              <w:rPr>
                <w:sz w:val="14"/>
                <w:szCs w:val="14"/>
              </w:rPr>
              <w:t>11</w:t>
            </w:r>
          </w:p>
        </w:tc>
        <w:tc>
          <w:tcPr>
            <w:tcW w:w="992" w:type="dxa"/>
            <w:vAlign w:val="center"/>
          </w:tcPr>
          <w:p w14:paraId="1A0F6B12" w14:textId="293F57E1" w:rsidR="002D18FD" w:rsidRPr="00CE07C4" w:rsidRDefault="002D18FD" w:rsidP="00CE07C4">
            <w:pPr>
              <w:spacing w:after="0" w:line="276" w:lineRule="auto"/>
              <w:jc w:val="center"/>
              <w:rPr>
                <w:sz w:val="14"/>
                <w:szCs w:val="14"/>
              </w:rPr>
            </w:pPr>
            <w:r w:rsidRPr="00CE07C4">
              <w:rPr>
                <w:sz w:val="14"/>
                <w:szCs w:val="14"/>
              </w:rPr>
              <w:t>Active Leisure</w:t>
            </w:r>
          </w:p>
        </w:tc>
        <w:tc>
          <w:tcPr>
            <w:tcW w:w="3413" w:type="dxa"/>
            <w:vAlign w:val="center"/>
          </w:tcPr>
          <w:p w14:paraId="5C8B4E87" w14:textId="7E1B0BFB" w:rsidR="002D18FD" w:rsidRPr="00CE07C4" w:rsidRDefault="002D18FD" w:rsidP="00CE07C4">
            <w:pPr>
              <w:spacing w:after="0" w:line="276" w:lineRule="auto"/>
              <w:jc w:val="center"/>
              <w:rPr>
                <w:sz w:val="14"/>
                <w:szCs w:val="14"/>
              </w:rPr>
            </w:pPr>
            <w:r w:rsidRPr="00CE07C4">
              <w:rPr>
                <w:sz w:val="14"/>
                <w:szCs w:val="14"/>
              </w:rPr>
              <w:t>Sports, exercise, hobbies, outdoor recreation, arts, dancing, or physically engaging activities.</w:t>
            </w:r>
          </w:p>
        </w:tc>
      </w:tr>
      <w:tr w:rsidR="002D18FD" w:rsidRPr="00CE07C4" w14:paraId="286CFAD4" w14:textId="77777777" w:rsidTr="00CE07C4">
        <w:trPr>
          <w:trHeight w:val="414"/>
        </w:trPr>
        <w:tc>
          <w:tcPr>
            <w:tcW w:w="279" w:type="dxa"/>
            <w:vAlign w:val="bottom"/>
          </w:tcPr>
          <w:p w14:paraId="180C3922" w14:textId="6EA793B1" w:rsidR="002D18FD" w:rsidRPr="00CE07C4" w:rsidRDefault="002D18FD" w:rsidP="002D18FD">
            <w:pPr>
              <w:spacing w:after="0" w:line="276" w:lineRule="auto"/>
              <w:jc w:val="center"/>
              <w:rPr>
                <w:sz w:val="14"/>
                <w:szCs w:val="14"/>
              </w:rPr>
            </w:pPr>
            <w:r w:rsidRPr="00CE07C4">
              <w:rPr>
                <w:sz w:val="14"/>
                <w:szCs w:val="14"/>
              </w:rPr>
              <w:t>12</w:t>
            </w:r>
          </w:p>
        </w:tc>
        <w:tc>
          <w:tcPr>
            <w:tcW w:w="992" w:type="dxa"/>
            <w:vAlign w:val="center"/>
          </w:tcPr>
          <w:p w14:paraId="27F87E6E" w14:textId="2DD9E2B7" w:rsidR="002D18FD" w:rsidRPr="00CE07C4" w:rsidRDefault="002D18FD" w:rsidP="00CE07C4">
            <w:pPr>
              <w:spacing w:after="0" w:line="276" w:lineRule="auto"/>
              <w:jc w:val="center"/>
              <w:rPr>
                <w:sz w:val="14"/>
                <w:szCs w:val="14"/>
              </w:rPr>
            </w:pPr>
            <w:r w:rsidRPr="00CE07C4">
              <w:rPr>
                <w:sz w:val="14"/>
                <w:szCs w:val="14"/>
              </w:rPr>
              <w:t>Community &amp; Volunteer</w:t>
            </w:r>
          </w:p>
        </w:tc>
        <w:tc>
          <w:tcPr>
            <w:tcW w:w="3413" w:type="dxa"/>
            <w:vAlign w:val="center"/>
          </w:tcPr>
          <w:p w14:paraId="03171AD4" w14:textId="1ADB523C" w:rsidR="002D18FD" w:rsidRPr="00CE07C4" w:rsidRDefault="002D18FD" w:rsidP="00CE07C4">
            <w:pPr>
              <w:spacing w:after="0" w:line="276" w:lineRule="auto"/>
              <w:jc w:val="center"/>
              <w:rPr>
                <w:sz w:val="14"/>
                <w:szCs w:val="14"/>
              </w:rPr>
            </w:pPr>
            <w:r w:rsidRPr="00CE07C4">
              <w:rPr>
                <w:sz w:val="14"/>
                <w:szCs w:val="14"/>
              </w:rPr>
              <w:t>Civic participation, religious services, volunteering, and organized community activities.</w:t>
            </w:r>
          </w:p>
        </w:tc>
      </w:tr>
      <w:tr w:rsidR="002D18FD" w:rsidRPr="00CE07C4" w14:paraId="35C0D471" w14:textId="77777777" w:rsidTr="00CE07C4">
        <w:trPr>
          <w:trHeight w:val="414"/>
        </w:trPr>
        <w:tc>
          <w:tcPr>
            <w:tcW w:w="279" w:type="dxa"/>
            <w:vAlign w:val="bottom"/>
          </w:tcPr>
          <w:p w14:paraId="77DF5940" w14:textId="6AEE93C6" w:rsidR="002D18FD" w:rsidRPr="00CE07C4" w:rsidRDefault="002D18FD" w:rsidP="002D18FD">
            <w:pPr>
              <w:spacing w:after="0" w:line="276" w:lineRule="auto"/>
              <w:jc w:val="center"/>
              <w:rPr>
                <w:sz w:val="14"/>
                <w:szCs w:val="14"/>
              </w:rPr>
            </w:pPr>
            <w:r w:rsidRPr="00CE07C4">
              <w:rPr>
                <w:sz w:val="14"/>
                <w:szCs w:val="14"/>
              </w:rPr>
              <w:t>13</w:t>
            </w:r>
          </w:p>
        </w:tc>
        <w:tc>
          <w:tcPr>
            <w:tcW w:w="992" w:type="dxa"/>
            <w:vAlign w:val="center"/>
          </w:tcPr>
          <w:p w14:paraId="4E6FF2F8" w14:textId="5DA7F3CF" w:rsidR="002D18FD" w:rsidRPr="00CE07C4" w:rsidRDefault="002D18FD" w:rsidP="00CE07C4">
            <w:pPr>
              <w:spacing w:after="0" w:line="276" w:lineRule="auto"/>
              <w:jc w:val="center"/>
              <w:rPr>
                <w:sz w:val="14"/>
                <w:szCs w:val="14"/>
              </w:rPr>
            </w:pPr>
            <w:r w:rsidRPr="00CE07C4">
              <w:rPr>
                <w:sz w:val="14"/>
                <w:szCs w:val="14"/>
              </w:rPr>
              <w:t>Travel</w:t>
            </w:r>
          </w:p>
        </w:tc>
        <w:tc>
          <w:tcPr>
            <w:tcW w:w="3413" w:type="dxa"/>
            <w:vAlign w:val="center"/>
          </w:tcPr>
          <w:p w14:paraId="37C90490" w14:textId="0F414729" w:rsidR="002D18FD" w:rsidRPr="00CE07C4" w:rsidRDefault="002D18FD" w:rsidP="00CE07C4">
            <w:pPr>
              <w:spacing w:after="0" w:line="276" w:lineRule="auto"/>
              <w:jc w:val="center"/>
              <w:rPr>
                <w:sz w:val="14"/>
                <w:szCs w:val="14"/>
              </w:rPr>
            </w:pPr>
            <w:r w:rsidRPr="00CE07C4">
              <w:rPr>
                <w:sz w:val="14"/>
                <w:szCs w:val="14"/>
              </w:rPr>
              <w:t>All travel between locations for any purpose (work, errands, social, education, etc.).</w:t>
            </w:r>
          </w:p>
        </w:tc>
      </w:tr>
      <w:tr w:rsidR="002D18FD" w:rsidRPr="00CE07C4" w14:paraId="6130AD02" w14:textId="77777777" w:rsidTr="00CE07C4">
        <w:trPr>
          <w:trHeight w:val="414"/>
        </w:trPr>
        <w:tc>
          <w:tcPr>
            <w:tcW w:w="279" w:type="dxa"/>
            <w:vAlign w:val="bottom"/>
          </w:tcPr>
          <w:p w14:paraId="41A2BB82" w14:textId="5653A624" w:rsidR="002D18FD" w:rsidRPr="00CE07C4" w:rsidRDefault="002D18FD" w:rsidP="002D18FD">
            <w:pPr>
              <w:spacing w:after="0" w:line="276" w:lineRule="auto"/>
              <w:jc w:val="center"/>
              <w:rPr>
                <w:sz w:val="14"/>
                <w:szCs w:val="14"/>
              </w:rPr>
            </w:pPr>
            <w:r w:rsidRPr="00CE07C4">
              <w:rPr>
                <w:sz w:val="14"/>
                <w:szCs w:val="14"/>
              </w:rPr>
              <w:t>14</w:t>
            </w:r>
          </w:p>
        </w:tc>
        <w:tc>
          <w:tcPr>
            <w:tcW w:w="992" w:type="dxa"/>
            <w:vAlign w:val="center"/>
          </w:tcPr>
          <w:p w14:paraId="1B003682" w14:textId="6219A066" w:rsidR="002D18FD" w:rsidRPr="00CE07C4" w:rsidRDefault="002D18FD" w:rsidP="00CE07C4">
            <w:pPr>
              <w:spacing w:after="0" w:line="276" w:lineRule="auto"/>
              <w:jc w:val="center"/>
              <w:rPr>
                <w:sz w:val="14"/>
                <w:szCs w:val="14"/>
              </w:rPr>
            </w:pPr>
            <w:r w:rsidRPr="00CE07C4">
              <w:rPr>
                <w:sz w:val="14"/>
                <w:szCs w:val="14"/>
              </w:rPr>
              <w:t>Miscellaneous / Idle</w:t>
            </w:r>
          </w:p>
        </w:tc>
        <w:tc>
          <w:tcPr>
            <w:tcW w:w="3413" w:type="dxa"/>
            <w:vAlign w:val="center"/>
          </w:tcPr>
          <w:p w14:paraId="7237C941" w14:textId="0C2B436C" w:rsidR="002D18FD" w:rsidRPr="00CE07C4" w:rsidRDefault="002D18FD" w:rsidP="00CE07C4">
            <w:pPr>
              <w:spacing w:after="0" w:line="276" w:lineRule="auto"/>
              <w:jc w:val="center"/>
              <w:rPr>
                <w:sz w:val="14"/>
                <w:szCs w:val="14"/>
              </w:rPr>
            </w:pPr>
            <w:r w:rsidRPr="00CE07C4">
              <w:rPr>
                <w:sz w:val="14"/>
                <w:szCs w:val="14"/>
              </w:rPr>
              <w:t>Waiting, unspecified, or unclassifiable time.</w:t>
            </w:r>
          </w:p>
        </w:tc>
      </w:tr>
    </w:tbl>
    <w:p w14:paraId="1B90907C" w14:textId="77777777" w:rsidR="00CE07C4" w:rsidRPr="00CE07C4" w:rsidRDefault="00CE07C4" w:rsidP="00CE07C4">
      <w:pPr>
        <w:pStyle w:val="Heading2"/>
        <w:spacing w:before="240"/>
      </w:pPr>
      <w:r w:rsidRPr="00CE07C4">
        <w:t>Appendix B</w:t>
      </w:r>
    </w:p>
    <w:p w14:paraId="1403AE08" w14:textId="77777777" w:rsidR="00CE07C4" w:rsidRPr="00CE07C4" w:rsidRDefault="00CE07C4" w:rsidP="00CE07C4">
      <w:pPr>
        <w:jc w:val="center"/>
      </w:pPr>
      <w:r w:rsidRPr="00CE07C4">
        <w:rPr>
          <w:noProof/>
        </w:rPr>
        <w:drawing>
          <wp:inline distT="114300" distB="114300" distL="114300" distR="114300" wp14:anchorId="3F2CF2B5" wp14:editId="6AA644BC">
            <wp:extent cx="2910625" cy="1509313"/>
            <wp:effectExtent l="0" t="0" r="0" b="2540"/>
            <wp:docPr id="1" name="image9.png" descr="A graph of loss and los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9.png" descr="A graph of loss and loss&#10;&#10;AI-generated content may be incorrect."/>
                    <pic:cNvPicPr preferRelativeResize="0"/>
                  </pic:nvPicPr>
                  <pic:blipFill rotWithShape="1">
                    <a:blip r:embed="rId26"/>
                    <a:srcRect l="50427" t="-1" b="3181"/>
                    <a:stretch>
                      <a:fillRect/>
                    </a:stretch>
                  </pic:blipFill>
                  <pic:spPr bwMode="auto">
                    <a:xfrm>
                      <a:off x="0" y="0"/>
                      <a:ext cx="2981645" cy="1546140"/>
                    </a:xfrm>
                    <a:prstGeom prst="rect">
                      <a:avLst/>
                    </a:prstGeom>
                    <a:ln>
                      <a:noFill/>
                    </a:ln>
                    <a:extLst>
                      <a:ext uri="{53640926-AAD7-44D8-BBD7-CCE9431645EC}">
                        <a14:shadowObscured xmlns:a14="http://schemas.microsoft.com/office/drawing/2010/main"/>
                      </a:ext>
                    </a:extLst>
                  </pic:spPr>
                </pic:pic>
              </a:graphicData>
            </a:graphic>
          </wp:inline>
        </w:drawing>
      </w:r>
    </w:p>
    <w:p w14:paraId="6C38193C" w14:textId="77777777" w:rsidR="00CE07C4" w:rsidRPr="00CE07C4" w:rsidRDefault="00CE07C4" w:rsidP="00CE07C4">
      <w:pPr>
        <w:spacing w:after="240"/>
        <w:jc w:val="center"/>
        <w:rPr>
          <w:i/>
          <w:iCs/>
        </w:rPr>
      </w:pPr>
      <w:r w:rsidRPr="00CE07C4">
        <w:rPr>
          <w:i/>
          <w:iCs/>
        </w:rPr>
        <w:t>Figure B1. C-VAE training convergence plots (loss curves)</w:t>
      </w:r>
    </w:p>
    <w:p w14:paraId="508CAE5A" w14:textId="34A88C0F" w:rsidR="00CE07C4" w:rsidRPr="00CE07C4" w:rsidRDefault="00CE07C4" w:rsidP="00CE07C4">
      <w:pPr>
        <w:spacing w:after="240"/>
        <w:jc w:val="center"/>
        <w:rPr>
          <w:i/>
          <w:iCs/>
        </w:rPr>
      </w:pPr>
      <w:r w:rsidRPr="00CE07C4">
        <w:rPr>
          <w:noProof/>
        </w:rPr>
        <w:drawing>
          <wp:inline distT="114300" distB="114300" distL="114300" distR="114300" wp14:anchorId="4111F01E" wp14:editId="763DE770">
            <wp:extent cx="2962141" cy="4569463"/>
            <wp:effectExtent l="0" t="0" r="0" b="2540"/>
            <wp:docPr id="6" name="image14.png" descr="A group of graphs with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4.png" descr="A group of graphs with numbers&#10;&#10;AI-generated content may be incorrect."/>
                    <pic:cNvPicPr preferRelativeResize="0"/>
                  </pic:nvPicPr>
                  <pic:blipFill rotWithShape="1">
                    <a:blip r:embed="rId27"/>
                    <a:srcRect r="49577"/>
                    <a:stretch>
                      <a:fillRect/>
                    </a:stretch>
                  </pic:blipFill>
                  <pic:spPr bwMode="auto">
                    <a:xfrm>
                      <a:off x="0" y="0"/>
                      <a:ext cx="2994420" cy="4619258"/>
                    </a:xfrm>
                    <a:prstGeom prst="rect">
                      <a:avLst/>
                    </a:prstGeom>
                    <a:ln>
                      <a:noFill/>
                    </a:ln>
                    <a:extLst>
                      <a:ext uri="{53640926-AAD7-44D8-BBD7-CCE9431645EC}">
                        <a14:shadowObscured xmlns:a14="http://schemas.microsoft.com/office/drawing/2010/main"/>
                      </a:ext>
                    </a:extLst>
                  </pic:spPr>
                </pic:pic>
              </a:graphicData>
            </a:graphic>
          </wp:inline>
        </w:drawing>
      </w:r>
    </w:p>
    <w:p w14:paraId="1F56A57A" w14:textId="542A8A14" w:rsidR="00CE07C4" w:rsidRPr="00CE07C4" w:rsidRDefault="00CE07C4" w:rsidP="00CE07C4">
      <w:pPr>
        <w:spacing w:after="240"/>
        <w:jc w:val="center"/>
        <w:rPr>
          <w:i/>
          <w:iCs/>
        </w:rPr>
      </w:pPr>
      <w:r w:rsidRPr="00CE07C4">
        <w:rPr>
          <w:i/>
          <w:iCs/>
        </w:rPr>
        <w:t xml:space="preserve">Figure B2.The large </w:t>
      </w:r>
      <w:r w:rsidRPr="00CE07C4">
        <w:rPr>
          <w:i/>
          <w:iCs/>
        </w:rPr>
        <w:t>12</w:t>
      </w:r>
      <w:r w:rsidRPr="00CE07C4">
        <w:rPr>
          <w:i/>
          <w:iCs/>
        </w:rPr>
        <w:t>-panel grid showing C-VAE reconstruction accuracy per variable</w:t>
      </w:r>
    </w:p>
    <w:p w14:paraId="479E5D27" w14:textId="1A2AE505" w:rsidR="00CE07C4" w:rsidRPr="00CE07C4" w:rsidRDefault="00CE07C4" w:rsidP="00CE07C4">
      <w:pPr>
        <w:spacing w:after="240"/>
        <w:jc w:val="center"/>
        <w:rPr>
          <w:i/>
          <w:iCs/>
        </w:rPr>
      </w:pPr>
      <w:r w:rsidRPr="00CE07C4">
        <w:rPr>
          <w:noProof/>
        </w:rPr>
        <w:drawing>
          <wp:inline distT="114300" distB="114300" distL="114300" distR="114300" wp14:anchorId="7AA0B67F" wp14:editId="6D74BFD1">
            <wp:extent cx="2639935" cy="1654935"/>
            <wp:effectExtent l="0" t="0" r="1905" b="0"/>
            <wp:docPr id="2" name="image15.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5.png" descr="A screenshot of a graph&#10;&#10;AI-generated content may be incorrect."/>
                    <pic:cNvPicPr preferRelativeResize="0"/>
                  </pic:nvPicPr>
                  <pic:blipFill rotWithShape="1">
                    <a:blip r:embed="rId28"/>
                    <a:srcRect t="33511" r="50863" b="33511"/>
                    <a:stretch>
                      <a:fillRect/>
                    </a:stretch>
                  </pic:blipFill>
                  <pic:spPr bwMode="auto">
                    <a:xfrm>
                      <a:off x="0" y="0"/>
                      <a:ext cx="2740802" cy="1718167"/>
                    </a:xfrm>
                    <a:prstGeom prst="rect">
                      <a:avLst/>
                    </a:prstGeom>
                    <a:ln>
                      <a:noFill/>
                    </a:ln>
                    <a:extLst>
                      <a:ext uri="{53640926-AAD7-44D8-BBD7-CCE9431645EC}">
                        <a14:shadowObscured xmlns:a14="http://schemas.microsoft.com/office/drawing/2010/main"/>
                      </a:ext>
                    </a:extLst>
                  </pic:spPr>
                </pic:pic>
              </a:graphicData>
            </a:graphic>
          </wp:inline>
        </w:drawing>
      </w:r>
    </w:p>
    <w:p w14:paraId="323A3536" w14:textId="07A7DF61" w:rsidR="00CE07C4" w:rsidRPr="00CE07C4" w:rsidRDefault="00CE07C4" w:rsidP="00CE07C4">
      <w:pPr>
        <w:spacing w:after="0"/>
        <w:jc w:val="center"/>
        <w:rPr>
          <w:i/>
          <w:iCs/>
        </w:rPr>
      </w:pPr>
      <w:r w:rsidRPr="00CE07C4">
        <w:rPr>
          <w:i/>
          <w:iCs/>
        </w:rPr>
        <w:t xml:space="preserve">Figure B3. Population-level BEM validation: weekday/weekend average presence </w:t>
      </w:r>
    </w:p>
    <w:p w14:paraId="104FF42B" w14:textId="2ABB3244" w:rsidR="00CE07C4" w:rsidRPr="00CE07C4" w:rsidRDefault="00CE07C4" w:rsidP="00CE07C4">
      <w:pPr>
        <w:pStyle w:val="Heading2"/>
        <w:spacing w:before="240"/>
      </w:pPr>
      <w:r w:rsidRPr="00CE07C4">
        <w:lastRenderedPageBreak/>
        <w:t xml:space="preserve">Appendix </w:t>
      </w:r>
      <w:r w:rsidRPr="00CE07C4">
        <w:t>C</w:t>
      </w:r>
    </w:p>
    <w:p w14:paraId="0EDE3FDC" w14:textId="6D41C09E" w:rsidR="00CE07C4" w:rsidRPr="00CE07C4" w:rsidRDefault="00CE07C4" w:rsidP="00CE07C4">
      <w:pPr>
        <w:jc w:val="center"/>
      </w:pPr>
      <w:r w:rsidRPr="00CE07C4">
        <w:rPr>
          <w:noProof/>
        </w:rPr>
        <w:drawing>
          <wp:inline distT="114300" distB="114300" distL="114300" distR="114300" wp14:anchorId="0E875EC5" wp14:editId="2BF75AEA">
            <wp:extent cx="2858851" cy="3368040"/>
            <wp:effectExtent l="0" t="0" r="0" b="0"/>
            <wp:docPr id="13" name="image12.png" descr="A close-up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12.png" descr="A close-up of a graph&#10;&#10;AI-generated content may be incorrect."/>
                    <pic:cNvPicPr preferRelativeResize="0"/>
                  </pic:nvPicPr>
                  <pic:blipFill rotWithShape="1">
                    <a:blip r:embed="rId29"/>
                    <a:srcRect r="66894"/>
                    <a:stretch>
                      <a:fillRect/>
                    </a:stretch>
                  </pic:blipFill>
                  <pic:spPr bwMode="auto">
                    <a:xfrm>
                      <a:off x="0" y="0"/>
                      <a:ext cx="2878896" cy="3391655"/>
                    </a:xfrm>
                    <a:prstGeom prst="rect">
                      <a:avLst/>
                    </a:prstGeom>
                    <a:ln>
                      <a:noFill/>
                    </a:ln>
                    <a:extLst>
                      <a:ext uri="{53640926-AAD7-44D8-BBD7-CCE9431645EC}">
                        <a14:shadowObscured xmlns:a14="http://schemas.microsoft.com/office/drawing/2010/main"/>
                      </a:ext>
                    </a:extLst>
                  </pic:spPr>
                </pic:pic>
              </a:graphicData>
            </a:graphic>
          </wp:inline>
        </w:drawing>
      </w:r>
    </w:p>
    <w:p w14:paraId="6D88C101" w14:textId="77777777" w:rsidR="00CE07C4" w:rsidRPr="00CE07C4" w:rsidRDefault="00CE07C4" w:rsidP="00CE07C4">
      <w:pPr>
        <w:spacing w:before="240" w:after="240"/>
        <w:jc w:val="center"/>
        <w:rPr>
          <w:i/>
          <w:iCs/>
        </w:rPr>
      </w:pPr>
      <w:r w:rsidRPr="00CE07C4">
        <w:rPr>
          <w:i/>
          <w:iCs/>
        </w:rPr>
        <w:t xml:space="preserve">Figure C1. Representative Integrated Load Profiles </w:t>
      </w:r>
    </w:p>
    <w:p w14:paraId="79236A95" w14:textId="0ADC6AA2" w:rsidR="00CE07C4" w:rsidRPr="00CE07C4" w:rsidRDefault="00CE07C4" w:rsidP="00CE07C4">
      <w:pPr>
        <w:pStyle w:val="Heading2"/>
        <w:spacing w:before="240"/>
      </w:pPr>
      <w:r w:rsidRPr="00CE07C4">
        <w:t xml:space="preserve">Appendix </w:t>
      </w:r>
      <w:r w:rsidRPr="00CE07C4">
        <w:t>D</w:t>
      </w:r>
    </w:p>
    <w:p w14:paraId="4C7C8E1C" w14:textId="4F3A129C" w:rsidR="00CE07C4" w:rsidRPr="00CE07C4" w:rsidRDefault="00CE07C4" w:rsidP="00CE07C4">
      <w:r w:rsidRPr="00CE07C4">
        <w:rPr>
          <w:noProof/>
        </w:rPr>
        <w:drawing>
          <wp:inline distT="114300" distB="114300" distL="114300" distR="114300" wp14:anchorId="01E8D9A5" wp14:editId="69F54979">
            <wp:extent cx="2865120" cy="2271501"/>
            <wp:effectExtent l="0" t="0" r="5080" b="1905"/>
            <wp:docPr id="15" name="image8.png" descr="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8.png" descr="A graph of a graph&#10;&#10;AI-generated content may be incorrect."/>
                    <pic:cNvPicPr preferRelativeResize="0"/>
                  </pic:nvPicPr>
                  <pic:blipFill rotWithShape="1">
                    <a:blip r:embed="rId30"/>
                    <a:srcRect t="7110" r="74555"/>
                    <a:stretch>
                      <a:fillRect/>
                    </a:stretch>
                  </pic:blipFill>
                  <pic:spPr bwMode="auto">
                    <a:xfrm>
                      <a:off x="0" y="0"/>
                      <a:ext cx="2887549" cy="2289283"/>
                    </a:xfrm>
                    <a:prstGeom prst="rect">
                      <a:avLst/>
                    </a:prstGeom>
                    <a:ln>
                      <a:noFill/>
                    </a:ln>
                    <a:extLst>
                      <a:ext uri="{53640926-AAD7-44D8-BBD7-CCE9431645EC}">
                        <a14:shadowObscured xmlns:a14="http://schemas.microsoft.com/office/drawing/2010/main"/>
                      </a:ext>
                    </a:extLst>
                  </pic:spPr>
                </pic:pic>
              </a:graphicData>
            </a:graphic>
          </wp:inline>
        </w:drawing>
      </w:r>
    </w:p>
    <w:p w14:paraId="2DAA35AF" w14:textId="75DA41FA" w:rsidR="00CE07C4" w:rsidRPr="00CE07C4" w:rsidRDefault="00CE07C4" w:rsidP="00CE07C4">
      <w:r w:rsidRPr="00CE07C4">
        <w:rPr>
          <w:noProof/>
        </w:rPr>
        <w:drawing>
          <wp:inline distT="114300" distB="114300" distL="114300" distR="114300" wp14:anchorId="512217FE" wp14:editId="5904FFAB">
            <wp:extent cx="3038967" cy="2474183"/>
            <wp:effectExtent l="0" t="0" r="0" b="2540"/>
            <wp:docPr id="1397638187" name="image8.png" descr="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8.png" descr="A graph of a graph&#10;&#10;AI-generated content may be incorrect."/>
                    <pic:cNvPicPr preferRelativeResize="0"/>
                  </pic:nvPicPr>
                  <pic:blipFill rotWithShape="1">
                    <a:blip r:embed="rId30"/>
                    <a:srcRect l="25651" t="7909" r="49800"/>
                    <a:stretch>
                      <a:fillRect/>
                    </a:stretch>
                  </pic:blipFill>
                  <pic:spPr bwMode="auto">
                    <a:xfrm>
                      <a:off x="0" y="0"/>
                      <a:ext cx="3066562" cy="2496649"/>
                    </a:xfrm>
                    <a:prstGeom prst="rect">
                      <a:avLst/>
                    </a:prstGeom>
                    <a:ln>
                      <a:noFill/>
                    </a:ln>
                    <a:extLst>
                      <a:ext uri="{53640926-AAD7-44D8-BBD7-CCE9431645EC}">
                        <a14:shadowObscured xmlns:a14="http://schemas.microsoft.com/office/drawing/2010/main"/>
                      </a:ext>
                    </a:extLst>
                  </pic:spPr>
                </pic:pic>
              </a:graphicData>
            </a:graphic>
          </wp:inline>
        </w:drawing>
      </w:r>
    </w:p>
    <w:p w14:paraId="749F50DF" w14:textId="1EEE6D81" w:rsidR="00CE07C4" w:rsidRPr="00CE07C4" w:rsidRDefault="00CE07C4" w:rsidP="00CE07C4">
      <w:r w:rsidRPr="00CE07C4">
        <w:rPr>
          <w:noProof/>
        </w:rPr>
        <w:drawing>
          <wp:inline distT="114300" distB="114300" distL="114300" distR="114300" wp14:anchorId="3BEBB652" wp14:editId="4503784A">
            <wp:extent cx="2948940" cy="2281870"/>
            <wp:effectExtent l="0" t="0" r="0" b="4445"/>
            <wp:docPr id="1201181415" name="image8.png" descr="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8.png" descr="A graph of a graph&#10;&#10;AI-generated content may be incorrect."/>
                    <pic:cNvPicPr preferRelativeResize="0"/>
                  </pic:nvPicPr>
                  <pic:blipFill rotWithShape="1">
                    <a:blip r:embed="rId30"/>
                    <a:srcRect l="49770" t="7805" r="24371"/>
                    <a:stretch>
                      <a:fillRect/>
                    </a:stretch>
                  </pic:blipFill>
                  <pic:spPr bwMode="auto">
                    <a:xfrm>
                      <a:off x="0" y="0"/>
                      <a:ext cx="2967822" cy="2296481"/>
                    </a:xfrm>
                    <a:prstGeom prst="rect">
                      <a:avLst/>
                    </a:prstGeom>
                    <a:ln>
                      <a:noFill/>
                    </a:ln>
                    <a:extLst>
                      <a:ext uri="{53640926-AAD7-44D8-BBD7-CCE9431645EC}">
                        <a14:shadowObscured xmlns:a14="http://schemas.microsoft.com/office/drawing/2010/main"/>
                      </a:ext>
                    </a:extLst>
                  </pic:spPr>
                </pic:pic>
              </a:graphicData>
            </a:graphic>
          </wp:inline>
        </w:drawing>
      </w:r>
    </w:p>
    <w:p w14:paraId="4D13CC8B" w14:textId="0B9AC518" w:rsidR="00CE07C4" w:rsidRPr="00CE07C4" w:rsidRDefault="00CE07C4" w:rsidP="00CE07C4">
      <w:r w:rsidRPr="00CE07C4">
        <w:rPr>
          <w:noProof/>
        </w:rPr>
        <w:drawing>
          <wp:inline distT="114300" distB="114300" distL="114300" distR="114300" wp14:anchorId="4B87DFF7" wp14:editId="5447DBA7">
            <wp:extent cx="2858512" cy="2320326"/>
            <wp:effectExtent l="0" t="0" r="0" b="3810"/>
            <wp:docPr id="266695163" name="image8.png" descr="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8.png" descr="A graph of a graph&#10;&#10;AI-generated content may be incorrect."/>
                    <pic:cNvPicPr preferRelativeResize="0"/>
                  </pic:nvPicPr>
                  <pic:blipFill rotWithShape="1">
                    <a:blip r:embed="rId30"/>
                    <a:srcRect l="75190" t="7210"/>
                    <a:stretch>
                      <a:fillRect/>
                    </a:stretch>
                  </pic:blipFill>
                  <pic:spPr bwMode="auto">
                    <a:xfrm>
                      <a:off x="0" y="0"/>
                      <a:ext cx="2880622" cy="2338273"/>
                    </a:xfrm>
                    <a:prstGeom prst="rect">
                      <a:avLst/>
                    </a:prstGeom>
                    <a:ln>
                      <a:noFill/>
                    </a:ln>
                    <a:extLst>
                      <a:ext uri="{53640926-AAD7-44D8-BBD7-CCE9431645EC}">
                        <a14:shadowObscured xmlns:a14="http://schemas.microsoft.com/office/drawing/2010/main"/>
                      </a:ext>
                    </a:extLst>
                  </pic:spPr>
                </pic:pic>
              </a:graphicData>
            </a:graphic>
          </wp:inline>
        </w:drawing>
      </w:r>
    </w:p>
    <w:p w14:paraId="61A0155B" w14:textId="55602803" w:rsidR="00CE07C4" w:rsidRPr="00CE07C4" w:rsidRDefault="00CE07C4" w:rsidP="00CE07C4">
      <w:r w:rsidRPr="00CE07C4">
        <w:rPr>
          <w:noProof/>
        </w:rPr>
        <w:drawing>
          <wp:inline distT="114300" distB="114300" distL="114300" distR="114300" wp14:anchorId="64EBE0C4" wp14:editId="09516D43">
            <wp:extent cx="2858770" cy="224299"/>
            <wp:effectExtent l="0" t="0" r="0" b="4445"/>
            <wp:docPr id="2143265299" name="image8.png" descr="A graph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8.png" descr="A graph of a graph&#10;&#10;AI-generated content may be incorrect."/>
                    <pic:cNvPicPr preferRelativeResize="0"/>
                  </pic:nvPicPr>
                  <pic:blipFill rotWithShape="1">
                    <a:blip r:embed="rId30"/>
                    <a:srcRect l="38776" r="38841" b="91908"/>
                    <a:stretch>
                      <a:fillRect/>
                    </a:stretch>
                  </pic:blipFill>
                  <pic:spPr bwMode="auto">
                    <a:xfrm>
                      <a:off x="0" y="0"/>
                      <a:ext cx="3521890" cy="276327"/>
                    </a:xfrm>
                    <a:prstGeom prst="rect">
                      <a:avLst/>
                    </a:prstGeom>
                    <a:ln>
                      <a:noFill/>
                    </a:ln>
                    <a:extLst>
                      <a:ext uri="{53640926-AAD7-44D8-BBD7-CCE9431645EC}">
                        <a14:shadowObscured xmlns:a14="http://schemas.microsoft.com/office/drawing/2010/main"/>
                      </a:ext>
                    </a:extLst>
                  </pic:spPr>
                </pic:pic>
              </a:graphicData>
            </a:graphic>
          </wp:inline>
        </w:drawing>
      </w:r>
    </w:p>
    <w:p w14:paraId="3180E6C6" w14:textId="77777777" w:rsidR="00CE07C4" w:rsidRPr="00CE07C4" w:rsidRDefault="00CE07C4" w:rsidP="00CE07C4">
      <w:pPr>
        <w:jc w:val="center"/>
        <w:rPr>
          <w:i/>
          <w:iCs/>
        </w:rPr>
      </w:pPr>
      <w:r w:rsidRPr="00CE07C4">
        <w:rPr>
          <w:i/>
          <w:iCs/>
        </w:rPr>
        <w:t xml:space="preserve">Figure D1: Diurnal load profiles for Winter and Summer seasons </w:t>
      </w:r>
    </w:p>
    <w:p w14:paraId="3F837734" w14:textId="77777777" w:rsidR="00CE07C4" w:rsidRPr="00CE07C4" w:rsidRDefault="00CE07C4" w:rsidP="00CE07C4"/>
    <w:p w14:paraId="5F99B86C" w14:textId="56217C0C" w:rsidR="002D18FD" w:rsidRDefault="002D18FD">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ind w:left="284" w:hanging="284"/>
        <w:rPr>
          <w:color w:val="000000"/>
        </w:rPr>
        <w:sectPr w:rsidR="002D18FD">
          <w:type w:val="continuous"/>
          <w:pgSz w:w="12240" w:h="15840"/>
          <w:pgMar w:top="1418" w:right="1134" w:bottom="1418" w:left="1134" w:header="720" w:footer="720" w:gutter="0"/>
          <w:cols w:num="2" w:space="720" w:equalWidth="0">
            <w:col w:w="4759" w:space="454"/>
            <w:col w:w="4759" w:space="0"/>
          </w:cols>
        </w:sectPr>
      </w:pPr>
    </w:p>
    <w:p w14:paraId="12956FCF" w14:textId="77777777" w:rsidR="006C6311" w:rsidRPr="00B2016E" w:rsidRDefault="006C6311" w:rsidP="00B2016E">
      <w:pPr>
        <w:spacing w:after="0"/>
        <w:jc w:val="center"/>
      </w:pPr>
    </w:p>
    <w:sectPr w:rsidR="006C6311" w:rsidRPr="00B2016E">
      <w:type w:val="continuous"/>
      <w:pgSz w:w="12240" w:h="15840"/>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3714B" w14:textId="77777777" w:rsidR="00D17C6A" w:rsidRDefault="00D17C6A">
      <w:pPr>
        <w:spacing w:after="0"/>
      </w:pPr>
      <w:r>
        <w:separator/>
      </w:r>
    </w:p>
  </w:endnote>
  <w:endnote w:type="continuationSeparator" w:id="0">
    <w:p w14:paraId="0D7A83B4" w14:textId="77777777" w:rsidR="00D17C6A" w:rsidRDefault="00D17C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0734" w14:textId="77777777" w:rsidR="000C67B8" w:rsidRDefault="000C67B8">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82383" w14:textId="77777777" w:rsidR="000C67B8" w:rsidRDefault="000C67B8">
    <w:pPr>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7A4B" w14:textId="77777777" w:rsidR="000C67B8" w:rsidRDefault="000C67B8">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1B862" w14:textId="77777777" w:rsidR="00D17C6A" w:rsidRDefault="00D17C6A">
      <w:pPr>
        <w:spacing w:after="0"/>
      </w:pPr>
      <w:r>
        <w:separator/>
      </w:r>
    </w:p>
  </w:footnote>
  <w:footnote w:type="continuationSeparator" w:id="0">
    <w:p w14:paraId="5671F995" w14:textId="77777777" w:rsidR="00D17C6A" w:rsidRDefault="00D17C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8FAC1" w14:textId="77777777" w:rsidR="000C67B8" w:rsidRDefault="000C67B8">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DC513" w14:textId="77777777" w:rsidR="000C67B8" w:rsidRDefault="000C67B8">
    <w:pPr>
      <w:pBdr>
        <w:top w:val="nil"/>
        <w:left w:val="nil"/>
        <w:bottom w:val="nil"/>
        <w:right w:val="nil"/>
        <w:between w:val="nil"/>
      </w:pBdr>
      <w:tabs>
        <w:tab w:val="center" w:pos="4153"/>
        <w:tab w:val="right" w:pos="830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690A" w14:textId="77777777" w:rsidR="000C67B8" w:rsidRDefault="000C67B8">
    <w:pPr>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4094C"/>
    <w:multiLevelType w:val="multilevel"/>
    <w:tmpl w:val="B74EE342"/>
    <w:lvl w:ilvl="0">
      <w:start w:val="1"/>
      <w:numFmt w:val="bullet"/>
      <w:pStyle w:val="Bulletedwinden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BBF25E1"/>
    <w:multiLevelType w:val="multilevel"/>
    <w:tmpl w:val="D8166B5C"/>
    <w:lvl w:ilvl="0">
      <w:start w:val="1"/>
      <w:numFmt w:val="decimal"/>
      <w:pStyle w:val="Bulletwoinden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7D700F9F"/>
    <w:multiLevelType w:val="multilevel"/>
    <w:tmpl w:val="F76E031C"/>
    <w:lvl w:ilvl="0">
      <w:start w:val="1"/>
      <w:numFmt w:val="decimal"/>
      <w:pStyle w:val="Number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04824053">
    <w:abstractNumId w:val="1"/>
  </w:num>
  <w:num w:numId="2" w16cid:durableId="48386888">
    <w:abstractNumId w:val="0"/>
  </w:num>
  <w:num w:numId="3" w16cid:durableId="1935625446">
    <w:abstractNumId w:val="2"/>
  </w:num>
  <w:num w:numId="4" w16cid:durableId="992104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AzNLOwNDMys7QwtTBW0lEKTi0uzszPAykwqgUAldztKywAAAA="/>
  </w:docVars>
  <w:rsids>
    <w:rsidRoot w:val="000C67B8"/>
    <w:rsid w:val="00073946"/>
    <w:rsid w:val="0007484F"/>
    <w:rsid w:val="000C0A9E"/>
    <w:rsid w:val="000C67B8"/>
    <w:rsid w:val="000F6E55"/>
    <w:rsid w:val="0010041B"/>
    <w:rsid w:val="0010481E"/>
    <w:rsid w:val="00257870"/>
    <w:rsid w:val="002D18FD"/>
    <w:rsid w:val="002E336C"/>
    <w:rsid w:val="003B6F01"/>
    <w:rsid w:val="003D319F"/>
    <w:rsid w:val="004B72FD"/>
    <w:rsid w:val="005415A7"/>
    <w:rsid w:val="005C4D4D"/>
    <w:rsid w:val="006C6311"/>
    <w:rsid w:val="007162F6"/>
    <w:rsid w:val="007345C9"/>
    <w:rsid w:val="00757672"/>
    <w:rsid w:val="007774D5"/>
    <w:rsid w:val="00782783"/>
    <w:rsid w:val="007F7DE4"/>
    <w:rsid w:val="00835BF5"/>
    <w:rsid w:val="008A02E9"/>
    <w:rsid w:val="008E3C1B"/>
    <w:rsid w:val="008E777D"/>
    <w:rsid w:val="009A00AA"/>
    <w:rsid w:val="00A10ECF"/>
    <w:rsid w:val="00A768C0"/>
    <w:rsid w:val="00AA5DF2"/>
    <w:rsid w:val="00B2016E"/>
    <w:rsid w:val="00B5635E"/>
    <w:rsid w:val="00BE3464"/>
    <w:rsid w:val="00C04BFB"/>
    <w:rsid w:val="00CE07C4"/>
    <w:rsid w:val="00CF5A24"/>
    <w:rsid w:val="00D17C6A"/>
    <w:rsid w:val="00D40D71"/>
    <w:rsid w:val="00DA5B3C"/>
    <w:rsid w:val="00DB7A1F"/>
    <w:rsid w:val="00DD7C79"/>
    <w:rsid w:val="00E107B4"/>
    <w:rsid w:val="00E51794"/>
    <w:rsid w:val="00F90762"/>
    <w:rsid w:val="00FA1C66"/>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3FD4F"/>
  <w15:docId w15:val="{A407CE22-3968-49BA-A6A7-E2628E7A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CA" w:bidi="ar-SA"/>
      </w:rPr>
    </w:rPrDefault>
    <w:pPrDefault>
      <w:pPr>
        <w:spacing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58F"/>
  </w:style>
  <w:style w:type="paragraph" w:styleId="Heading1">
    <w:name w:val="heading 1"/>
    <w:basedOn w:val="Normal"/>
    <w:next w:val="Normal"/>
    <w:link w:val="Heading1Char"/>
    <w:uiPriority w:val="9"/>
    <w:qFormat/>
    <w:rsid w:val="00D14088"/>
    <w:pPr>
      <w:keepNext/>
      <w:spacing w:before="60"/>
      <w:jc w:val="left"/>
      <w:outlineLvl w:val="0"/>
    </w:pPr>
    <w:rPr>
      <w:b/>
      <w:kern w:val="28"/>
      <w:sz w:val="24"/>
    </w:rPr>
  </w:style>
  <w:style w:type="paragraph" w:styleId="Heading2">
    <w:name w:val="heading 2"/>
    <w:basedOn w:val="Normal"/>
    <w:next w:val="Normal"/>
    <w:uiPriority w:val="9"/>
    <w:unhideWhenUsed/>
    <w:qFormat/>
    <w:rsid w:val="00D14088"/>
    <w:pPr>
      <w:keepNext/>
      <w:jc w:val="left"/>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E3F78"/>
    <w:pPr>
      <w:spacing w:after="0" w:line="280" w:lineRule="exact"/>
      <w:jc w:val="center"/>
      <w:outlineLvl w:val="0"/>
    </w:pPr>
    <w:rPr>
      <w:b/>
      <w:kern w:val="28"/>
      <w:sz w:val="24"/>
    </w:rPr>
  </w:style>
  <w:style w:type="paragraph" w:styleId="Header">
    <w:name w:val="header"/>
    <w:basedOn w:val="Normal"/>
    <w:rsid w:val="00D611C6"/>
    <w:pPr>
      <w:tabs>
        <w:tab w:val="center" w:pos="4153"/>
        <w:tab w:val="right" w:pos="8306"/>
      </w:tabs>
    </w:pPr>
  </w:style>
  <w:style w:type="paragraph" w:styleId="Footer">
    <w:name w:val="footer"/>
    <w:basedOn w:val="Normal"/>
    <w:rsid w:val="00D611C6"/>
    <w:pPr>
      <w:tabs>
        <w:tab w:val="center" w:pos="4153"/>
        <w:tab w:val="right" w:pos="8306"/>
      </w:tabs>
    </w:pPr>
  </w:style>
  <w:style w:type="paragraph" w:customStyle="1" w:styleId="Body">
    <w:name w:val="Body"/>
    <w:link w:val="BodyChar"/>
    <w:rsid w:val="00D611C6"/>
    <w:pPr>
      <w:spacing w:before="60"/>
    </w:pPr>
    <w:rPr>
      <w:noProof/>
    </w:rPr>
  </w:style>
  <w:style w:type="paragraph" w:customStyle="1" w:styleId="Bodywindent">
    <w:name w:val="Body w/ indent"/>
    <w:basedOn w:val="Body"/>
    <w:rsid w:val="00D611C6"/>
    <w:pPr>
      <w:ind w:left="340"/>
    </w:pPr>
  </w:style>
  <w:style w:type="paragraph" w:customStyle="1" w:styleId="Bulletwoindent">
    <w:name w:val="Bullet w/o indent"/>
    <w:basedOn w:val="Body"/>
    <w:link w:val="BulletwoindentChar"/>
    <w:rsid w:val="00D611C6"/>
    <w:pPr>
      <w:numPr>
        <w:numId w:val="1"/>
      </w:numPr>
      <w:tabs>
        <w:tab w:val="left" w:pos="340"/>
      </w:tabs>
      <w:spacing w:line="240" w:lineRule="exact"/>
      <w:ind w:left="340" w:hanging="340"/>
    </w:pPr>
  </w:style>
  <w:style w:type="paragraph" w:customStyle="1" w:styleId="Bulletedwindent">
    <w:name w:val="Bulleted w/indent"/>
    <w:basedOn w:val="Body"/>
    <w:rsid w:val="00D611C6"/>
    <w:pPr>
      <w:numPr>
        <w:numId w:val="2"/>
      </w:numPr>
      <w:tabs>
        <w:tab w:val="left" w:pos="340"/>
      </w:tabs>
      <w:spacing w:line="240" w:lineRule="exact"/>
      <w:ind w:left="680" w:hanging="340"/>
    </w:pPr>
  </w:style>
  <w:style w:type="paragraph" w:customStyle="1" w:styleId="Figures">
    <w:name w:val="Figure #s"/>
    <w:basedOn w:val="Normal"/>
    <w:rsid w:val="00D611C6"/>
    <w:pPr>
      <w:tabs>
        <w:tab w:val="left" w:pos="910"/>
      </w:tabs>
      <w:spacing w:line="240" w:lineRule="exact"/>
      <w:jc w:val="center"/>
    </w:pPr>
    <w:rPr>
      <w:i/>
    </w:rPr>
  </w:style>
  <w:style w:type="paragraph" w:customStyle="1" w:styleId="Numbering">
    <w:name w:val="Numbering"/>
    <w:basedOn w:val="Normal"/>
    <w:rsid w:val="00D611C6"/>
    <w:pPr>
      <w:numPr>
        <w:numId w:val="3"/>
      </w:numPr>
      <w:tabs>
        <w:tab w:val="left" w:pos="340"/>
        <w:tab w:val="left" w:pos="680"/>
      </w:tabs>
      <w:spacing w:before="60" w:line="240" w:lineRule="exact"/>
      <w:ind w:left="340" w:hanging="340"/>
    </w:pPr>
    <w:rPr>
      <w:noProof/>
    </w:rPr>
  </w:style>
  <w:style w:type="paragraph" w:customStyle="1" w:styleId="References">
    <w:name w:val="References"/>
    <w:basedOn w:val="Body"/>
    <w:link w:val="ReferencesChar"/>
    <w:rsid w:val="00D611C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line="240" w:lineRule="exact"/>
      <w:ind w:left="360" w:hanging="360"/>
    </w:pPr>
  </w:style>
  <w:style w:type="paragraph" w:customStyle="1" w:styleId="SmallSpace">
    <w:name w:val="Small Space"/>
    <w:basedOn w:val="Body"/>
    <w:rsid w:val="00D611C6"/>
    <w:pPr>
      <w:spacing w:line="60" w:lineRule="exact"/>
    </w:pPr>
    <w:rPr>
      <w:sz w:val="6"/>
    </w:rPr>
  </w:style>
  <w:style w:type="paragraph" w:customStyle="1" w:styleId="TableMainHead">
    <w:name w:val="Table Main Head"/>
    <w:basedOn w:val="Title"/>
    <w:rsid w:val="00D611C6"/>
    <w:pPr>
      <w:spacing w:line="220" w:lineRule="exact"/>
    </w:pPr>
    <w:rPr>
      <w:sz w:val="18"/>
    </w:rPr>
  </w:style>
  <w:style w:type="paragraph" w:customStyle="1" w:styleId="TableText">
    <w:name w:val="Table Text"/>
    <w:basedOn w:val="Title"/>
    <w:link w:val="TableTextChar"/>
    <w:rsid w:val="00D611C6"/>
    <w:pPr>
      <w:spacing w:line="220" w:lineRule="exact"/>
      <w:jc w:val="left"/>
    </w:pPr>
    <w:rPr>
      <w:b w:val="0"/>
      <w:caps/>
      <w:sz w:val="18"/>
    </w:rPr>
  </w:style>
  <w:style w:type="paragraph" w:customStyle="1" w:styleId="TableTitle">
    <w:name w:val="Table Title"/>
    <w:basedOn w:val="TableText"/>
    <w:rsid w:val="00D611C6"/>
    <w:pPr>
      <w:spacing w:line="240" w:lineRule="exact"/>
      <w:jc w:val="center"/>
    </w:pPr>
    <w:rPr>
      <w:i/>
      <w:sz w:val="20"/>
    </w:rPr>
  </w:style>
  <w:style w:type="paragraph" w:customStyle="1" w:styleId="Authors">
    <w:name w:val="Authors"/>
    <w:basedOn w:val="Normal"/>
    <w:qFormat/>
    <w:rsid w:val="005E3F78"/>
    <w:pPr>
      <w:spacing w:after="0" w:line="280" w:lineRule="exact"/>
      <w:jc w:val="center"/>
    </w:pPr>
    <w:rPr>
      <w:bCs/>
      <w:sz w:val="24"/>
    </w:rPr>
  </w:style>
  <w:style w:type="character" w:styleId="LineNumber">
    <w:name w:val="line number"/>
    <w:basedOn w:val="DefaultParagraphFont"/>
    <w:rsid w:val="00D611C6"/>
  </w:style>
  <w:style w:type="paragraph" w:styleId="BalloonText">
    <w:name w:val="Balloon Text"/>
    <w:basedOn w:val="Normal"/>
    <w:link w:val="BalloonTextChar"/>
    <w:rsid w:val="00531831"/>
    <w:rPr>
      <w:rFonts w:ascii="Tahoma" w:hAnsi="Tahoma" w:cs="Tahoma"/>
      <w:sz w:val="16"/>
      <w:szCs w:val="16"/>
    </w:rPr>
  </w:style>
  <w:style w:type="character" w:customStyle="1" w:styleId="BalloonTextChar">
    <w:name w:val="Balloon Text Char"/>
    <w:basedOn w:val="DefaultParagraphFont"/>
    <w:link w:val="BalloonText"/>
    <w:rsid w:val="00531831"/>
    <w:rPr>
      <w:rFonts w:ascii="Tahoma" w:hAnsi="Tahoma" w:cs="Tahoma"/>
      <w:sz w:val="16"/>
      <w:szCs w:val="16"/>
      <w:lang w:val="en-GB"/>
    </w:rPr>
  </w:style>
  <w:style w:type="character" w:styleId="PlaceholderText">
    <w:name w:val="Placeholder Text"/>
    <w:basedOn w:val="DefaultParagraphFont"/>
    <w:uiPriority w:val="99"/>
    <w:semiHidden/>
    <w:rsid w:val="00854D80"/>
    <w:rPr>
      <w:color w:val="808080"/>
    </w:rPr>
  </w:style>
  <w:style w:type="table" w:styleId="TableGrid">
    <w:name w:val="Table Grid"/>
    <w:basedOn w:val="TableNormal"/>
    <w:rsid w:val="00DA49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14088"/>
    <w:rPr>
      <w:b/>
      <w:kern w:val="28"/>
      <w:sz w:val="24"/>
      <w:lang w:val="en-GB"/>
    </w:rPr>
  </w:style>
  <w:style w:type="paragraph" w:styleId="DocumentMap">
    <w:name w:val="Document Map"/>
    <w:basedOn w:val="Normal"/>
    <w:link w:val="DocumentMapChar"/>
    <w:semiHidden/>
    <w:unhideWhenUsed/>
    <w:rsid w:val="004A2AB7"/>
    <w:rPr>
      <w:sz w:val="24"/>
      <w:szCs w:val="24"/>
    </w:rPr>
  </w:style>
  <w:style w:type="character" w:customStyle="1" w:styleId="DocumentMapChar">
    <w:name w:val="Document Map Char"/>
    <w:basedOn w:val="DefaultParagraphFont"/>
    <w:link w:val="DocumentMap"/>
    <w:semiHidden/>
    <w:rsid w:val="004A2AB7"/>
    <w:rPr>
      <w:sz w:val="24"/>
      <w:szCs w:val="24"/>
      <w:lang w:val="en-GB"/>
    </w:rPr>
  </w:style>
  <w:style w:type="character" w:styleId="CommentReference">
    <w:name w:val="annotation reference"/>
    <w:basedOn w:val="DefaultParagraphFont"/>
    <w:semiHidden/>
    <w:unhideWhenUsed/>
    <w:rsid w:val="00D82A4F"/>
    <w:rPr>
      <w:sz w:val="16"/>
      <w:szCs w:val="16"/>
    </w:rPr>
  </w:style>
  <w:style w:type="paragraph" w:styleId="CommentText">
    <w:name w:val="annotation text"/>
    <w:basedOn w:val="Normal"/>
    <w:link w:val="CommentTextChar"/>
    <w:semiHidden/>
    <w:unhideWhenUsed/>
    <w:rsid w:val="00D82A4F"/>
  </w:style>
  <w:style w:type="character" w:customStyle="1" w:styleId="CommentTextChar">
    <w:name w:val="Comment Text Char"/>
    <w:basedOn w:val="DefaultParagraphFont"/>
    <w:link w:val="CommentText"/>
    <w:semiHidden/>
    <w:rsid w:val="00D82A4F"/>
    <w:rPr>
      <w:lang w:val="en-GB"/>
    </w:rPr>
  </w:style>
  <w:style w:type="paragraph" w:styleId="CommentSubject">
    <w:name w:val="annotation subject"/>
    <w:basedOn w:val="CommentText"/>
    <w:next w:val="CommentText"/>
    <w:link w:val="CommentSubjectChar"/>
    <w:semiHidden/>
    <w:unhideWhenUsed/>
    <w:rsid w:val="00D82A4F"/>
    <w:rPr>
      <w:b/>
      <w:bCs/>
    </w:rPr>
  </w:style>
  <w:style w:type="character" w:customStyle="1" w:styleId="CommentSubjectChar">
    <w:name w:val="Comment Subject Char"/>
    <w:basedOn w:val="CommentTextChar"/>
    <w:link w:val="CommentSubject"/>
    <w:semiHidden/>
    <w:rsid w:val="00D82A4F"/>
    <w:rPr>
      <w:b/>
      <w:bCs/>
      <w:lang w:val="en-GB"/>
    </w:rPr>
  </w:style>
  <w:style w:type="paragraph" w:customStyle="1" w:styleId="Reference">
    <w:name w:val="Reference"/>
    <w:basedOn w:val="References"/>
    <w:link w:val="ReferenceChar"/>
    <w:qFormat/>
    <w:rsid w:val="00133330"/>
    <w:pPr>
      <w:ind w:left="284" w:hanging="284"/>
    </w:pPr>
  </w:style>
  <w:style w:type="paragraph" w:customStyle="1" w:styleId="Equation">
    <w:name w:val="Equation"/>
    <w:basedOn w:val="Body"/>
    <w:next w:val="Body"/>
    <w:qFormat/>
    <w:rsid w:val="003A7FD3"/>
    <w:pPr>
      <w:tabs>
        <w:tab w:val="center" w:pos="2268"/>
        <w:tab w:val="right" w:pos="4536"/>
      </w:tabs>
      <w:jc w:val="left"/>
    </w:pPr>
  </w:style>
  <w:style w:type="character" w:customStyle="1" w:styleId="BodyChar">
    <w:name w:val="Body Char"/>
    <w:basedOn w:val="DefaultParagraphFont"/>
    <w:link w:val="Body"/>
    <w:rsid w:val="00F101A7"/>
    <w:rPr>
      <w:noProof/>
    </w:rPr>
  </w:style>
  <w:style w:type="character" w:customStyle="1" w:styleId="ReferencesChar">
    <w:name w:val="References Char"/>
    <w:basedOn w:val="BodyChar"/>
    <w:link w:val="References"/>
    <w:rsid w:val="00F101A7"/>
    <w:rPr>
      <w:noProof/>
    </w:rPr>
  </w:style>
  <w:style w:type="character" w:customStyle="1" w:styleId="ReferenceChar">
    <w:name w:val="Reference Char"/>
    <w:basedOn w:val="ReferencesChar"/>
    <w:link w:val="Reference"/>
    <w:rsid w:val="00133330"/>
    <w:rPr>
      <w:noProof/>
    </w:rPr>
  </w:style>
  <w:style w:type="character" w:styleId="BookTitle">
    <w:name w:val="Book Title"/>
    <w:basedOn w:val="DefaultParagraphFont"/>
    <w:uiPriority w:val="33"/>
    <w:rsid w:val="00BC4767"/>
    <w:rPr>
      <w:b/>
      <w:bCs/>
      <w:i/>
      <w:iCs/>
      <w:spacing w:val="5"/>
    </w:rPr>
  </w:style>
  <w:style w:type="paragraph" w:styleId="ListParagraph">
    <w:name w:val="List Paragraph"/>
    <w:basedOn w:val="Normal"/>
    <w:uiPriority w:val="34"/>
    <w:rsid w:val="00BC4767"/>
    <w:pPr>
      <w:ind w:left="720"/>
      <w:contextualSpacing/>
    </w:pPr>
  </w:style>
  <w:style w:type="paragraph" w:styleId="NoSpacing">
    <w:name w:val="No Spacing"/>
    <w:uiPriority w:val="1"/>
    <w:rsid w:val="00BC4767"/>
  </w:style>
  <w:style w:type="paragraph" w:customStyle="1" w:styleId="StyleEquationCambriaMath">
    <w:name w:val="Style Equation + Cambria Math"/>
    <w:basedOn w:val="Equation"/>
    <w:next w:val="Body"/>
    <w:rsid w:val="00374EC8"/>
  </w:style>
  <w:style w:type="paragraph" w:customStyle="1" w:styleId="StyleStyleEquationCambriaMathCambriaMath">
    <w:name w:val="Style Style Equation + Cambria Math + Cambria Math"/>
    <w:basedOn w:val="StyleEquationCambriaMath"/>
    <w:rsid w:val="005F7342"/>
  </w:style>
  <w:style w:type="paragraph" w:customStyle="1" w:styleId="Listbulleted">
    <w:name w:val="List (bulleted)"/>
    <w:basedOn w:val="Bulletwoindent"/>
    <w:link w:val="ListbulletedChar"/>
    <w:qFormat/>
    <w:rsid w:val="00C77029"/>
    <w:pPr>
      <w:spacing w:before="0" w:after="0"/>
      <w:ind w:left="284" w:hanging="284"/>
    </w:pPr>
  </w:style>
  <w:style w:type="paragraph" w:customStyle="1" w:styleId="Figure">
    <w:name w:val="Figure"/>
    <w:basedOn w:val="Normal"/>
    <w:link w:val="FigureChar"/>
    <w:qFormat/>
    <w:rsid w:val="007E27A2"/>
    <w:pPr>
      <w:spacing w:before="60"/>
      <w:jc w:val="center"/>
    </w:pPr>
  </w:style>
  <w:style w:type="character" w:customStyle="1" w:styleId="BulletwoindentChar">
    <w:name w:val="Bullet w/o indent Char"/>
    <w:basedOn w:val="BodyChar"/>
    <w:link w:val="Bulletwoindent"/>
    <w:rsid w:val="00C77029"/>
    <w:rPr>
      <w:noProof/>
    </w:rPr>
  </w:style>
  <w:style w:type="character" w:customStyle="1" w:styleId="ListbulletedChar">
    <w:name w:val="List (bulleted) Char"/>
    <w:basedOn w:val="BulletwoindentChar"/>
    <w:link w:val="Listbulleted"/>
    <w:rsid w:val="00C77029"/>
    <w:rPr>
      <w:noProof/>
    </w:rPr>
  </w:style>
  <w:style w:type="paragraph" w:customStyle="1" w:styleId="Captions">
    <w:name w:val="Captions"/>
    <w:basedOn w:val="Normal"/>
    <w:link w:val="CaptionsChar"/>
    <w:qFormat/>
    <w:rsid w:val="007E27A2"/>
    <w:pPr>
      <w:jc w:val="center"/>
    </w:pPr>
    <w:rPr>
      <w:i/>
    </w:rPr>
  </w:style>
  <w:style w:type="character" w:customStyle="1" w:styleId="FigureChar">
    <w:name w:val="Figure Char"/>
    <w:basedOn w:val="DefaultParagraphFont"/>
    <w:link w:val="Figure"/>
    <w:rsid w:val="007E27A2"/>
    <w:rPr>
      <w:lang w:val="en-GB"/>
    </w:rPr>
  </w:style>
  <w:style w:type="paragraph" w:customStyle="1" w:styleId="Listnumbered">
    <w:name w:val="List (numbered)"/>
    <w:basedOn w:val="Listbulleted"/>
    <w:link w:val="ListnumberedChar"/>
    <w:qFormat/>
    <w:rsid w:val="00BD02F1"/>
    <w:pPr>
      <w:numPr>
        <w:numId w:val="0"/>
      </w:numPr>
      <w:tabs>
        <w:tab w:val="num" w:pos="720"/>
      </w:tabs>
      <w:ind w:left="720" w:hanging="720"/>
    </w:pPr>
  </w:style>
  <w:style w:type="character" w:customStyle="1" w:styleId="CaptionsChar">
    <w:name w:val="Captions Char"/>
    <w:basedOn w:val="DefaultParagraphFont"/>
    <w:link w:val="Captions"/>
    <w:rsid w:val="007E27A2"/>
    <w:rPr>
      <w:i/>
      <w:lang w:val="en-GB"/>
    </w:rPr>
  </w:style>
  <w:style w:type="paragraph" w:customStyle="1" w:styleId="Tables">
    <w:name w:val="Tables"/>
    <w:basedOn w:val="TableText"/>
    <w:link w:val="TablesChar"/>
    <w:qFormat/>
    <w:rsid w:val="006913D1"/>
    <w:pPr>
      <w:jc w:val="center"/>
    </w:pPr>
    <w:rPr>
      <w:caps w:val="0"/>
    </w:rPr>
  </w:style>
  <w:style w:type="character" w:customStyle="1" w:styleId="ListnumberedChar">
    <w:name w:val="List (numbered) Char"/>
    <w:basedOn w:val="ListbulletedChar"/>
    <w:link w:val="Listnumbered"/>
    <w:rsid w:val="00BD02F1"/>
    <w:rPr>
      <w:noProof/>
    </w:rPr>
  </w:style>
  <w:style w:type="character" w:customStyle="1" w:styleId="TitleChar">
    <w:name w:val="Title Char"/>
    <w:basedOn w:val="DefaultParagraphFont"/>
    <w:link w:val="Title"/>
    <w:rsid w:val="006913D1"/>
    <w:rPr>
      <w:b/>
      <w:kern w:val="28"/>
      <w:sz w:val="24"/>
      <w:lang w:val="en-GB"/>
    </w:rPr>
  </w:style>
  <w:style w:type="character" w:customStyle="1" w:styleId="TableTextChar">
    <w:name w:val="Table Text Char"/>
    <w:basedOn w:val="TitleChar"/>
    <w:link w:val="TableText"/>
    <w:rsid w:val="006913D1"/>
    <w:rPr>
      <w:b w:val="0"/>
      <w:caps/>
      <w:kern w:val="28"/>
      <w:sz w:val="18"/>
      <w:lang w:val="en-GB"/>
    </w:rPr>
  </w:style>
  <w:style w:type="character" w:customStyle="1" w:styleId="TablesChar">
    <w:name w:val="Tables Char"/>
    <w:basedOn w:val="TableTextChar"/>
    <w:link w:val="Tables"/>
    <w:rsid w:val="006913D1"/>
    <w:rPr>
      <w:b w:val="0"/>
      <w:caps w:val="0"/>
      <w:kern w:val="28"/>
      <w:sz w:val="18"/>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customStyle="1" w:styleId="elementtoproof">
    <w:name w:val="elementtoproof"/>
    <w:basedOn w:val="Normal"/>
    <w:rsid w:val="007F7DE4"/>
    <w:pPr>
      <w:spacing w:after="0"/>
      <w:jc w:val="left"/>
    </w:pPr>
    <w:rPr>
      <w:rFonts w:ascii="SimSun" w:eastAsia="SimSun" w:hAnsi="SimSun" w:cs="SimSu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6041">
      <w:bodyDiv w:val="1"/>
      <w:marLeft w:val="0"/>
      <w:marRight w:val="0"/>
      <w:marTop w:val="0"/>
      <w:marBottom w:val="0"/>
      <w:divBdr>
        <w:top w:val="none" w:sz="0" w:space="0" w:color="auto"/>
        <w:left w:val="none" w:sz="0" w:space="0" w:color="auto"/>
        <w:bottom w:val="none" w:sz="0" w:space="0" w:color="auto"/>
        <w:right w:val="none" w:sz="0" w:space="0" w:color="auto"/>
      </w:divBdr>
    </w:div>
    <w:div w:id="138545768">
      <w:bodyDiv w:val="1"/>
      <w:marLeft w:val="0"/>
      <w:marRight w:val="0"/>
      <w:marTop w:val="0"/>
      <w:marBottom w:val="0"/>
      <w:divBdr>
        <w:top w:val="none" w:sz="0" w:space="0" w:color="auto"/>
        <w:left w:val="none" w:sz="0" w:space="0" w:color="auto"/>
        <w:bottom w:val="none" w:sz="0" w:space="0" w:color="auto"/>
        <w:right w:val="none" w:sz="0" w:space="0" w:color="auto"/>
      </w:divBdr>
    </w:div>
    <w:div w:id="425157727">
      <w:bodyDiv w:val="1"/>
      <w:marLeft w:val="0"/>
      <w:marRight w:val="0"/>
      <w:marTop w:val="0"/>
      <w:marBottom w:val="0"/>
      <w:divBdr>
        <w:top w:val="none" w:sz="0" w:space="0" w:color="auto"/>
        <w:left w:val="none" w:sz="0" w:space="0" w:color="auto"/>
        <w:bottom w:val="none" w:sz="0" w:space="0" w:color="auto"/>
        <w:right w:val="none" w:sz="0" w:space="0" w:color="auto"/>
      </w:divBdr>
    </w:div>
    <w:div w:id="653532900">
      <w:bodyDiv w:val="1"/>
      <w:marLeft w:val="0"/>
      <w:marRight w:val="0"/>
      <w:marTop w:val="0"/>
      <w:marBottom w:val="0"/>
      <w:divBdr>
        <w:top w:val="none" w:sz="0" w:space="0" w:color="auto"/>
        <w:left w:val="none" w:sz="0" w:space="0" w:color="auto"/>
        <w:bottom w:val="none" w:sz="0" w:space="0" w:color="auto"/>
        <w:right w:val="none" w:sz="0" w:space="0" w:color="auto"/>
      </w:divBdr>
    </w:div>
    <w:div w:id="895319150">
      <w:bodyDiv w:val="1"/>
      <w:marLeft w:val="0"/>
      <w:marRight w:val="0"/>
      <w:marTop w:val="0"/>
      <w:marBottom w:val="0"/>
      <w:divBdr>
        <w:top w:val="none" w:sz="0" w:space="0" w:color="auto"/>
        <w:left w:val="none" w:sz="0" w:space="0" w:color="auto"/>
        <w:bottom w:val="none" w:sz="0" w:space="0" w:color="auto"/>
        <w:right w:val="none" w:sz="0" w:space="0" w:color="auto"/>
      </w:divBdr>
    </w:div>
    <w:div w:id="902982891">
      <w:bodyDiv w:val="1"/>
      <w:marLeft w:val="0"/>
      <w:marRight w:val="0"/>
      <w:marTop w:val="0"/>
      <w:marBottom w:val="0"/>
      <w:divBdr>
        <w:top w:val="none" w:sz="0" w:space="0" w:color="auto"/>
        <w:left w:val="none" w:sz="0" w:space="0" w:color="auto"/>
        <w:bottom w:val="none" w:sz="0" w:space="0" w:color="auto"/>
        <w:right w:val="none" w:sz="0" w:space="0" w:color="auto"/>
      </w:divBdr>
    </w:div>
    <w:div w:id="1012604520">
      <w:bodyDiv w:val="1"/>
      <w:marLeft w:val="0"/>
      <w:marRight w:val="0"/>
      <w:marTop w:val="0"/>
      <w:marBottom w:val="0"/>
      <w:divBdr>
        <w:top w:val="none" w:sz="0" w:space="0" w:color="auto"/>
        <w:left w:val="none" w:sz="0" w:space="0" w:color="auto"/>
        <w:bottom w:val="none" w:sz="0" w:space="0" w:color="auto"/>
        <w:right w:val="none" w:sz="0" w:space="0" w:color="auto"/>
      </w:divBdr>
    </w:div>
    <w:div w:id="1050420886">
      <w:bodyDiv w:val="1"/>
      <w:marLeft w:val="0"/>
      <w:marRight w:val="0"/>
      <w:marTop w:val="0"/>
      <w:marBottom w:val="0"/>
      <w:divBdr>
        <w:top w:val="none" w:sz="0" w:space="0" w:color="auto"/>
        <w:left w:val="none" w:sz="0" w:space="0" w:color="auto"/>
        <w:bottom w:val="none" w:sz="0" w:space="0" w:color="auto"/>
        <w:right w:val="none" w:sz="0" w:space="0" w:color="auto"/>
      </w:divBdr>
      <w:divsChild>
        <w:div w:id="1591502216">
          <w:marLeft w:val="640"/>
          <w:marRight w:val="0"/>
          <w:marTop w:val="0"/>
          <w:marBottom w:val="0"/>
          <w:divBdr>
            <w:top w:val="none" w:sz="0" w:space="0" w:color="auto"/>
            <w:left w:val="none" w:sz="0" w:space="0" w:color="auto"/>
            <w:bottom w:val="none" w:sz="0" w:space="0" w:color="auto"/>
            <w:right w:val="none" w:sz="0" w:space="0" w:color="auto"/>
          </w:divBdr>
        </w:div>
        <w:div w:id="1276446821">
          <w:marLeft w:val="640"/>
          <w:marRight w:val="0"/>
          <w:marTop w:val="0"/>
          <w:marBottom w:val="0"/>
          <w:divBdr>
            <w:top w:val="none" w:sz="0" w:space="0" w:color="auto"/>
            <w:left w:val="none" w:sz="0" w:space="0" w:color="auto"/>
            <w:bottom w:val="none" w:sz="0" w:space="0" w:color="auto"/>
            <w:right w:val="none" w:sz="0" w:space="0" w:color="auto"/>
          </w:divBdr>
        </w:div>
        <w:div w:id="952633413">
          <w:marLeft w:val="640"/>
          <w:marRight w:val="0"/>
          <w:marTop w:val="0"/>
          <w:marBottom w:val="0"/>
          <w:divBdr>
            <w:top w:val="none" w:sz="0" w:space="0" w:color="auto"/>
            <w:left w:val="none" w:sz="0" w:space="0" w:color="auto"/>
            <w:bottom w:val="none" w:sz="0" w:space="0" w:color="auto"/>
            <w:right w:val="none" w:sz="0" w:space="0" w:color="auto"/>
          </w:divBdr>
        </w:div>
        <w:div w:id="1779568173">
          <w:marLeft w:val="640"/>
          <w:marRight w:val="0"/>
          <w:marTop w:val="0"/>
          <w:marBottom w:val="0"/>
          <w:divBdr>
            <w:top w:val="none" w:sz="0" w:space="0" w:color="auto"/>
            <w:left w:val="none" w:sz="0" w:space="0" w:color="auto"/>
            <w:bottom w:val="none" w:sz="0" w:space="0" w:color="auto"/>
            <w:right w:val="none" w:sz="0" w:space="0" w:color="auto"/>
          </w:divBdr>
        </w:div>
        <w:div w:id="1366557870">
          <w:marLeft w:val="640"/>
          <w:marRight w:val="0"/>
          <w:marTop w:val="0"/>
          <w:marBottom w:val="0"/>
          <w:divBdr>
            <w:top w:val="none" w:sz="0" w:space="0" w:color="auto"/>
            <w:left w:val="none" w:sz="0" w:space="0" w:color="auto"/>
            <w:bottom w:val="none" w:sz="0" w:space="0" w:color="auto"/>
            <w:right w:val="none" w:sz="0" w:space="0" w:color="auto"/>
          </w:divBdr>
        </w:div>
        <w:div w:id="1542940394">
          <w:marLeft w:val="640"/>
          <w:marRight w:val="0"/>
          <w:marTop w:val="0"/>
          <w:marBottom w:val="0"/>
          <w:divBdr>
            <w:top w:val="none" w:sz="0" w:space="0" w:color="auto"/>
            <w:left w:val="none" w:sz="0" w:space="0" w:color="auto"/>
            <w:bottom w:val="none" w:sz="0" w:space="0" w:color="auto"/>
            <w:right w:val="none" w:sz="0" w:space="0" w:color="auto"/>
          </w:divBdr>
        </w:div>
        <w:div w:id="1354382216">
          <w:marLeft w:val="640"/>
          <w:marRight w:val="0"/>
          <w:marTop w:val="0"/>
          <w:marBottom w:val="0"/>
          <w:divBdr>
            <w:top w:val="none" w:sz="0" w:space="0" w:color="auto"/>
            <w:left w:val="none" w:sz="0" w:space="0" w:color="auto"/>
            <w:bottom w:val="none" w:sz="0" w:space="0" w:color="auto"/>
            <w:right w:val="none" w:sz="0" w:space="0" w:color="auto"/>
          </w:divBdr>
        </w:div>
        <w:div w:id="1379236952">
          <w:marLeft w:val="640"/>
          <w:marRight w:val="0"/>
          <w:marTop w:val="0"/>
          <w:marBottom w:val="0"/>
          <w:divBdr>
            <w:top w:val="none" w:sz="0" w:space="0" w:color="auto"/>
            <w:left w:val="none" w:sz="0" w:space="0" w:color="auto"/>
            <w:bottom w:val="none" w:sz="0" w:space="0" w:color="auto"/>
            <w:right w:val="none" w:sz="0" w:space="0" w:color="auto"/>
          </w:divBdr>
        </w:div>
        <w:div w:id="516194038">
          <w:marLeft w:val="640"/>
          <w:marRight w:val="0"/>
          <w:marTop w:val="0"/>
          <w:marBottom w:val="0"/>
          <w:divBdr>
            <w:top w:val="none" w:sz="0" w:space="0" w:color="auto"/>
            <w:left w:val="none" w:sz="0" w:space="0" w:color="auto"/>
            <w:bottom w:val="none" w:sz="0" w:space="0" w:color="auto"/>
            <w:right w:val="none" w:sz="0" w:space="0" w:color="auto"/>
          </w:divBdr>
        </w:div>
        <w:div w:id="190189041">
          <w:marLeft w:val="640"/>
          <w:marRight w:val="0"/>
          <w:marTop w:val="0"/>
          <w:marBottom w:val="0"/>
          <w:divBdr>
            <w:top w:val="none" w:sz="0" w:space="0" w:color="auto"/>
            <w:left w:val="none" w:sz="0" w:space="0" w:color="auto"/>
            <w:bottom w:val="none" w:sz="0" w:space="0" w:color="auto"/>
            <w:right w:val="none" w:sz="0" w:space="0" w:color="auto"/>
          </w:divBdr>
        </w:div>
        <w:div w:id="390005357">
          <w:marLeft w:val="640"/>
          <w:marRight w:val="0"/>
          <w:marTop w:val="0"/>
          <w:marBottom w:val="0"/>
          <w:divBdr>
            <w:top w:val="none" w:sz="0" w:space="0" w:color="auto"/>
            <w:left w:val="none" w:sz="0" w:space="0" w:color="auto"/>
            <w:bottom w:val="none" w:sz="0" w:space="0" w:color="auto"/>
            <w:right w:val="none" w:sz="0" w:space="0" w:color="auto"/>
          </w:divBdr>
        </w:div>
        <w:div w:id="990475544">
          <w:marLeft w:val="640"/>
          <w:marRight w:val="0"/>
          <w:marTop w:val="0"/>
          <w:marBottom w:val="0"/>
          <w:divBdr>
            <w:top w:val="none" w:sz="0" w:space="0" w:color="auto"/>
            <w:left w:val="none" w:sz="0" w:space="0" w:color="auto"/>
            <w:bottom w:val="none" w:sz="0" w:space="0" w:color="auto"/>
            <w:right w:val="none" w:sz="0" w:space="0" w:color="auto"/>
          </w:divBdr>
        </w:div>
        <w:div w:id="1206715109">
          <w:marLeft w:val="640"/>
          <w:marRight w:val="0"/>
          <w:marTop w:val="0"/>
          <w:marBottom w:val="0"/>
          <w:divBdr>
            <w:top w:val="none" w:sz="0" w:space="0" w:color="auto"/>
            <w:left w:val="none" w:sz="0" w:space="0" w:color="auto"/>
            <w:bottom w:val="none" w:sz="0" w:space="0" w:color="auto"/>
            <w:right w:val="none" w:sz="0" w:space="0" w:color="auto"/>
          </w:divBdr>
        </w:div>
        <w:div w:id="518814735">
          <w:marLeft w:val="640"/>
          <w:marRight w:val="0"/>
          <w:marTop w:val="0"/>
          <w:marBottom w:val="0"/>
          <w:divBdr>
            <w:top w:val="none" w:sz="0" w:space="0" w:color="auto"/>
            <w:left w:val="none" w:sz="0" w:space="0" w:color="auto"/>
            <w:bottom w:val="none" w:sz="0" w:space="0" w:color="auto"/>
            <w:right w:val="none" w:sz="0" w:space="0" w:color="auto"/>
          </w:divBdr>
        </w:div>
        <w:div w:id="380250174">
          <w:marLeft w:val="640"/>
          <w:marRight w:val="0"/>
          <w:marTop w:val="0"/>
          <w:marBottom w:val="0"/>
          <w:divBdr>
            <w:top w:val="none" w:sz="0" w:space="0" w:color="auto"/>
            <w:left w:val="none" w:sz="0" w:space="0" w:color="auto"/>
            <w:bottom w:val="none" w:sz="0" w:space="0" w:color="auto"/>
            <w:right w:val="none" w:sz="0" w:space="0" w:color="auto"/>
          </w:divBdr>
        </w:div>
        <w:div w:id="1319924638">
          <w:marLeft w:val="640"/>
          <w:marRight w:val="0"/>
          <w:marTop w:val="0"/>
          <w:marBottom w:val="0"/>
          <w:divBdr>
            <w:top w:val="none" w:sz="0" w:space="0" w:color="auto"/>
            <w:left w:val="none" w:sz="0" w:space="0" w:color="auto"/>
            <w:bottom w:val="none" w:sz="0" w:space="0" w:color="auto"/>
            <w:right w:val="none" w:sz="0" w:space="0" w:color="auto"/>
          </w:divBdr>
        </w:div>
        <w:div w:id="1154298908">
          <w:marLeft w:val="640"/>
          <w:marRight w:val="0"/>
          <w:marTop w:val="0"/>
          <w:marBottom w:val="0"/>
          <w:divBdr>
            <w:top w:val="none" w:sz="0" w:space="0" w:color="auto"/>
            <w:left w:val="none" w:sz="0" w:space="0" w:color="auto"/>
            <w:bottom w:val="none" w:sz="0" w:space="0" w:color="auto"/>
            <w:right w:val="none" w:sz="0" w:space="0" w:color="auto"/>
          </w:divBdr>
        </w:div>
        <w:div w:id="1832479403">
          <w:marLeft w:val="640"/>
          <w:marRight w:val="0"/>
          <w:marTop w:val="0"/>
          <w:marBottom w:val="0"/>
          <w:divBdr>
            <w:top w:val="none" w:sz="0" w:space="0" w:color="auto"/>
            <w:left w:val="none" w:sz="0" w:space="0" w:color="auto"/>
            <w:bottom w:val="none" w:sz="0" w:space="0" w:color="auto"/>
            <w:right w:val="none" w:sz="0" w:space="0" w:color="auto"/>
          </w:divBdr>
        </w:div>
      </w:divsChild>
    </w:div>
    <w:div w:id="1582566164">
      <w:bodyDiv w:val="1"/>
      <w:marLeft w:val="0"/>
      <w:marRight w:val="0"/>
      <w:marTop w:val="0"/>
      <w:marBottom w:val="0"/>
      <w:divBdr>
        <w:top w:val="none" w:sz="0" w:space="0" w:color="auto"/>
        <w:left w:val="none" w:sz="0" w:space="0" w:color="auto"/>
        <w:bottom w:val="none" w:sz="0" w:space="0" w:color="auto"/>
        <w:right w:val="none" w:sz="0" w:space="0" w:color="auto"/>
      </w:divBdr>
      <w:divsChild>
        <w:div w:id="2032561862">
          <w:marLeft w:val="480"/>
          <w:marRight w:val="0"/>
          <w:marTop w:val="0"/>
          <w:marBottom w:val="0"/>
          <w:divBdr>
            <w:top w:val="none" w:sz="0" w:space="0" w:color="auto"/>
            <w:left w:val="none" w:sz="0" w:space="0" w:color="auto"/>
            <w:bottom w:val="none" w:sz="0" w:space="0" w:color="auto"/>
            <w:right w:val="none" w:sz="0" w:space="0" w:color="auto"/>
          </w:divBdr>
        </w:div>
        <w:div w:id="1613632402">
          <w:marLeft w:val="480"/>
          <w:marRight w:val="0"/>
          <w:marTop w:val="0"/>
          <w:marBottom w:val="0"/>
          <w:divBdr>
            <w:top w:val="none" w:sz="0" w:space="0" w:color="auto"/>
            <w:left w:val="none" w:sz="0" w:space="0" w:color="auto"/>
            <w:bottom w:val="none" w:sz="0" w:space="0" w:color="auto"/>
            <w:right w:val="none" w:sz="0" w:space="0" w:color="auto"/>
          </w:divBdr>
        </w:div>
        <w:div w:id="1014384299">
          <w:marLeft w:val="480"/>
          <w:marRight w:val="0"/>
          <w:marTop w:val="0"/>
          <w:marBottom w:val="0"/>
          <w:divBdr>
            <w:top w:val="none" w:sz="0" w:space="0" w:color="auto"/>
            <w:left w:val="none" w:sz="0" w:space="0" w:color="auto"/>
            <w:bottom w:val="none" w:sz="0" w:space="0" w:color="auto"/>
            <w:right w:val="none" w:sz="0" w:space="0" w:color="auto"/>
          </w:divBdr>
        </w:div>
        <w:div w:id="392044940">
          <w:marLeft w:val="480"/>
          <w:marRight w:val="0"/>
          <w:marTop w:val="0"/>
          <w:marBottom w:val="0"/>
          <w:divBdr>
            <w:top w:val="none" w:sz="0" w:space="0" w:color="auto"/>
            <w:left w:val="none" w:sz="0" w:space="0" w:color="auto"/>
            <w:bottom w:val="none" w:sz="0" w:space="0" w:color="auto"/>
            <w:right w:val="none" w:sz="0" w:space="0" w:color="auto"/>
          </w:divBdr>
        </w:div>
        <w:div w:id="1872062303">
          <w:marLeft w:val="480"/>
          <w:marRight w:val="0"/>
          <w:marTop w:val="0"/>
          <w:marBottom w:val="0"/>
          <w:divBdr>
            <w:top w:val="none" w:sz="0" w:space="0" w:color="auto"/>
            <w:left w:val="none" w:sz="0" w:space="0" w:color="auto"/>
            <w:bottom w:val="none" w:sz="0" w:space="0" w:color="auto"/>
            <w:right w:val="none" w:sz="0" w:space="0" w:color="auto"/>
          </w:divBdr>
        </w:div>
        <w:div w:id="1718431317">
          <w:marLeft w:val="480"/>
          <w:marRight w:val="0"/>
          <w:marTop w:val="0"/>
          <w:marBottom w:val="0"/>
          <w:divBdr>
            <w:top w:val="none" w:sz="0" w:space="0" w:color="auto"/>
            <w:left w:val="none" w:sz="0" w:space="0" w:color="auto"/>
            <w:bottom w:val="none" w:sz="0" w:space="0" w:color="auto"/>
            <w:right w:val="none" w:sz="0" w:space="0" w:color="auto"/>
          </w:divBdr>
        </w:div>
        <w:div w:id="498010402">
          <w:marLeft w:val="480"/>
          <w:marRight w:val="0"/>
          <w:marTop w:val="0"/>
          <w:marBottom w:val="0"/>
          <w:divBdr>
            <w:top w:val="none" w:sz="0" w:space="0" w:color="auto"/>
            <w:left w:val="none" w:sz="0" w:space="0" w:color="auto"/>
            <w:bottom w:val="none" w:sz="0" w:space="0" w:color="auto"/>
            <w:right w:val="none" w:sz="0" w:space="0" w:color="auto"/>
          </w:divBdr>
        </w:div>
        <w:div w:id="1228421128">
          <w:marLeft w:val="480"/>
          <w:marRight w:val="0"/>
          <w:marTop w:val="0"/>
          <w:marBottom w:val="0"/>
          <w:divBdr>
            <w:top w:val="none" w:sz="0" w:space="0" w:color="auto"/>
            <w:left w:val="none" w:sz="0" w:space="0" w:color="auto"/>
            <w:bottom w:val="none" w:sz="0" w:space="0" w:color="auto"/>
            <w:right w:val="none" w:sz="0" w:space="0" w:color="auto"/>
          </w:divBdr>
        </w:div>
        <w:div w:id="1545172815">
          <w:marLeft w:val="480"/>
          <w:marRight w:val="0"/>
          <w:marTop w:val="0"/>
          <w:marBottom w:val="0"/>
          <w:divBdr>
            <w:top w:val="none" w:sz="0" w:space="0" w:color="auto"/>
            <w:left w:val="none" w:sz="0" w:space="0" w:color="auto"/>
            <w:bottom w:val="none" w:sz="0" w:space="0" w:color="auto"/>
            <w:right w:val="none" w:sz="0" w:space="0" w:color="auto"/>
          </w:divBdr>
        </w:div>
        <w:div w:id="1678801359">
          <w:marLeft w:val="480"/>
          <w:marRight w:val="0"/>
          <w:marTop w:val="0"/>
          <w:marBottom w:val="0"/>
          <w:divBdr>
            <w:top w:val="none" w:sz="0" w:space="0" w:color="auto"/>
            <w:left w:val="none" w:sz="0" w:space="0" w:color="auto"/>
            <w:bottom w:val="none" w:sz="0" w:space="0" w:color="auto"/>
            <w:right w:val="none" w:sz="0" w:space="0" w:color="auto"/>
          </w:divBdr>
        </w:div>
        <w:div w:id="910968128">
          <w:marLeft w:val="480"/>
          <w:marRight w:val="0"/>
          <w:marTop w:val="0"/>
          <w:marBottom w:val="0"/>
          <w:divBdr>
            <w:top w:val="none" w:sz="0" w:space="0" w:color="auto"/>
            <w:left w:val="none" w:sz="0" w:space="0" w:color="auto"/>
            <w:bottom w:val="none" w:sz="0" w:space="0" w:color="auto"/>
            <w:right w:val="none" w:sz="0" w:space="0" w:color="auto"/>
          </w:divBdr>
        </w:div>
        <w:div w:id="1662418347">
          <w:marLeft w:val="480"/>
          <w:marRight w:val="0"/>
          <w:marTop w:val="0"/>
          <w:marBottom w:val="0"/>
          <w:divBdr>
            <w:top w:val="none" w:sz="0" w:space="0" w:color="auto"/>
            <w:left w:val="none" w:sz="0" w:space="0" w:color="auto"/>
            <w:bottom w:val="none" w:sz="0" w:space="0" w:color="auto"/>
            <w:right w:val="none" w:sz="0" w:space="0" w:color="auto"/>
          </w:divBdr>
        </w:div>
        <w:div w:id="266543048">
          <w:marLeft w:val="480"/>
          <w:marRight w:val="0"/>
          <w:marTop w:val="0"/>
          <w:marBottom w:val="0"/>
          <w:divBdr>
            <w:top w:val="none" w:sz="0" w:space="0" w:color="auto"/>
            <w:left w:val="none" w:sz="0" w:space="0" w:color="auto"/>
            <w:bottom w:val="none" w:sz="0" w:space="0" w:color="auto"/>
            <w:right w:val="none" w:sz="0" w:space="0" w:color="auto"/>
          </w:divBdr>
        </w:div>
        <w:div w:id="178394537">
          <w:marLeft w:val="480"/>
          <w:marRight w:val="0"/>
          <w:marTop w:val="0"/>
          <w:marBottom w:val="0"/>
          <w:divBdr>
            <w:top w:val="none" w:sz="0" w:space="0" w:color="auto"/>
            <w:left w:val="none" w:sz="0" w:space="0" w:color="auto"/>
            <w:bottom w:val="none" w:sz="0" w:space="0" w:color="auto"/>
            <w:right w:val="none" w:sz="0" w:space="0" w:color="auto"/>
          </w:divBdr>
        </w:div>
        <w:div w:id="1273132325">
          <w:marLeft w:val="480"/>
          <w:marRight w:val="0"/>
          <w:marTop w:val="0"/>
          <w:marBottom w:val="0"/>
          <w:divBdr>
            <w:top w:val="none" w:sz="0" w:space="0" w:color="auto"/>
            <w:left w:val="none" w:sz="0" w:space="0" w:color="auto"/>
            <w:bottom w:val="none" w:sz="0" w:space="0" w:color="auto"/>
            <w:right w:val="none" w:sz="0" w:space="0" w:color="auto"/>
          </w:divBdr>
        </w:div>
        <w:div w:id="966394404">
          <w:marLeft w:val="480"/>
          <w:marRight w:val="0"/>
          <w:marTop w:val="0"/>
          <w:marBottom w:val="0"/>
          <w:divBdr>
            <w:top w:val="none" w:sz="0" w:space="0" w:color="auto"/>
            <w:left w:val="none" w:sz="0" w:space="0" w:color="auto"/>
            <w:bottom w:val="none" w:sz="0" w:space="0" w:color="auto"/>
            <w:right w:val="none" w:sz="0" w:space="0" w:color="auto"/>
          </w:divBdr>
        </w:div>
        <w:div w:id="32115578">
          <w:marLeft w:val="480"/>
          <w:marRight w:val="0"/>
          <w:marTop w:val="0"/>
          <w:marBottom w:val="0"/>
          <w:divBdr>
            <w:top w:val="none" w:sz="0" w:space="0" w:color="auto"/>
            <w:left w:val="none" w:sz="0" w:space="0" w:color="auto"/>
            <w:bottom w:val="none" w:sz="0" w:space="0" w:color="auto"/>
            <w:right w:val="none" w:sz="0" w:space="0" w:color="auto"/>
          </w:divBdr>
        </w:div>
        <w:div w:id="46270684">
          <w:marLeft w:val="480"/>
          <w:marRight w:val="0"/>
          <w:marTop w:val="0"/>
          <w:marBottom w:val="0"/>
          <w:divBdr>
            <w:top w:val="none" w:sz="0" w:space="0" w:color="auto"/>
            <w:left w:val="none" w:sz="0" w:space="0" w:color="auto"/>
            <w:bottom w:val="none" w:sz="0" w:space="0" w:color="auto"/>
            <w:right w:val="none" w:sz="0" w:space="0" w:color="auto"/>
          </w:divBdr>
        </w:div>
      </w:divsChild>
    </w:div>
    <w:div w:id="1764910376">
      <w:bodyDiv w:val="1"/>
      <w:marLeft w:val="0"/>
      <w:marRight w:val="0"/>
      <w:marTop w:val="0"/>
      <w:marBottom w:val="0"/>
      <w:divBdr>
        <w:top w:val="none" w:sz="0" w:space="0" w:color="auto"/>
        <w:left w:val="none" w:sz="0" w:space="0" w:color="auto"/>
        <w:bottom w:val="none" w:sz="0" w:space="0" w:color="auto"/>
        <w:right w:val="none" w:sz="0" w:space="0" w:color="auto"/>
      </w:divBdr>
      <w:divsChild>
        <w:div w:id="50542565">
          <w:marLeft w:val="0"/>
          <w:marRight w:val="0"/>
          <w:marTop w:val="0"/>
          <w:marBottom w:val="0"/>
          <w:divBdr>
            <w:top w:val="none" w:sz="0" w:space="0" w:color="auto"/>
            <w:left w:val="none" w:sz="0" w:space="0" w:color="auto"/>
            <w:bottom w:val="none" w:sz="0" w:space="0" w:color="auto"/>
            <w:right w:val="none" w:sz="0" w:space="0" w:color="auto"/>
          </w:divBdr>
        </w:div>
        <w:div w:id="279653036">
          <w:marLeft w:val="0"/>
          <w:marRight w:val="0"/>
          <w:marTop w:val="0"/>
          <w:marBottom w:val="0"/>
          <w:divBdr>
            <w:top w:val="none" w:sz="0" w:space="0" w:color="auto"/>
            <w:left w:val="none" w:sz="0" w:space="0" w:color="auto"/>
            <w:bottom w:val="none" w:sz="0" w:space="0" w:color="auto"/>
            <w:right w:val="none" w:sz="0" w:space="0" w:color="auto"/>
          </w:divBdr>
        </w:div>
        <w:div w:id="332880078">
          <w:marLeft w:val="0"/>
          <w:marRight w:val="0"/>
          <w:marTop w:val="0"/>
          <w:marBottom w:val="0"/>
          <w:divBdr>
            <w:top w:val="none" w:sz="0" w:space="0" w:color="auto"/>
            <w:left w:val="none" w:sz="0" w:space="0" w:color="auto"/>
            <w:bottom w:val="none" w:sz="0" w:space="0" w:color="auto"/>
            <w:right w:val="none" w:sz="0" w:space="0" w:color="auto"/>
          </w:divBdr>
        </w:div>
        <w:div w:id="78455254">
          <w:marLeft w:val="0"/>
          <w:marRight w:val="0"/>
          <w:marTop w:val="0"/>
          <w:marBottom w:val="0"/>
          <w:divBdr>
            <w:top w:val="none" w:sz="0" w:space="0" w:color="auto"/>
            <w:left w:val="none" w:sz="0" w:space="0" w:color="auto"/>
            <w:bottom w:val="none" w:sz="0" w:space="0" w:color="auto"/>
            <w:right w:val="none" w:sz="0" w:space="0" w:color="auto"/>
          </w:divBdr>
        </w:div>
        <w:div w:id="900798531">
          <w:marLeft w:val="0"/>
          <w:marRight w:val="0"/>
          <w:marTop w:val="0"/>
          <w:marBottom w:val="0"/>
          <w:divBdr>
            <w:top w:val="none" w:sz="0" w:space="0" w:color="auto"/>
            <w:left w:val="none" w:sz="0" w:space="0" w:color="auto"/>
            <w:bottom w:val="none" w:sz="0" w:space="0" w:color="auto"/>
            <w:right w:val="none" w:sz="0" w:space="0" w:color="auto"/>
          </w:divBdr>
        </w:div>
        <w:div w:id="515924189">
          <w:marLeft w:val="0"/>
          <w:marRight w:val="0"/>
          <w:marTop w:val="0"/>
          <w:marBottom w:val="0"/>
          <w:divBdr>
            <w:top w:val="none" w:sz="0" w:space="0" w:color="auto"/>
            <w:left w:val="none" w:sz="0" w:space="0" w:color="auto"/>
            <w:bottom w:val="none" w:sz="0" w:space="0" w:color="auto"/>
            <w:right w:val="none" w:sz="0" w:space="0" w:color="auto"/>
          </w:divBdr>
        </w:div>
        <w:div w:id="1500079140">
          <w:marLeft w:val="0"/>
          <w:marRight w:val="0"/>
          <w:marTop w:val="0"/>
          <w:marBottom w:val="0"/>
          <w:divBdr>
            <w:top w:val="none" w:sz="0" w:space="0" w:color="auto"/>
            <w:left w:val="none" w:sz="0" w:space="0" w:color="auto"/>
            <w:bottom w:val="none" w:sz="0" w:space="0" w:color="auto"/>
            <w:right w:val="none" w:sz="0" w:space="0" w:color="auto"/>
          </w:divBdr>
        </w:div>
        <w:div w:id="1730379531">
          <w:marLeft w:val="0"/>
          <w:marRight w:val="0"/>
          <w:marTop w:val="0"/>
          <w:marBottom w:val="0"/>
          <w:divBdr>
            <w:top w:val="none" w:sz="0" w:space="0" w:color="auto"/>
            <w:left w:val="none" w:sz="0" w:space="0" w:color="auto"/>
            <w:bottom w:val="none" w:sz="0" w:space="0" w:color="auto"/>
            <w:right w:val="none" w:sz="0" w:space="0" w:color="auto"/>
          </w:divBdr>
        </w:div>
        <w:div w:id="975067824">
          <w:marLeft w:val="0"/>
          <w:marRight w:val="0"/>
          <w:marTop w:val="0"/>
          <w:marBottom w:val="0"/>
          <w:divBdr>
            <w:top w:val="none" w:sz="0" w:space="0" w:color="auto"/>
            <w:left w:val="none" w:sz="0" w:space="0" w:color="auto"/>
            <w:bottom w:val="none" w:sz="0" w:space="0" w:color="auto"/>
            <w:right w:val="none" w:sz="0" w:space="0" w:color="auto"/>
          </w:divBdr>
        </w:div>
        <w:div w:id="1898320668">
          <w:marLeft w:val="0"/>
          <w:marRight w:val="0"/>
          <w:marTop w:val="0"/>
          <w:marBottom w:val="0"/>
          <w:divBdr>
            <w:top w:val="none" w:sz="0" w:space="0" w:color="auto"/>
            <w:left w:val="none" w:sz="0" w:space="0" w:color="auto"/>
            <w:bottom w:val="none" w:sz="0" w:space="0" w:color="auto"/>
            <w:right w:val="none" w:sz="0" w:space="0" w:color="auto"/>
          </w:divBdr>
        </w:div>
        <w:div w:id="1771780747">
          <w:marLeft w:val="0"/>
          <w:marRight w:val="0"/>
          <w:marTop w:val="0"/>
          <w:marBottom w:val="0"/>
          <w:divBdr>
            <w:top w:val="none" w:sz="0" w:space="0" w:color="auto"/>
            <w:left w:val="none" w:sz="0" w:space="0" w:color="auto"/>
            <w:bottom w:val="none" w:sz="0" w:space="0" w:color="auto"/>
            <w:right w:val="none" w:sz="0" w:space="0" w:color="auto"/>
          </w:divBdr>
        </w:div>
        <w:div w:id="871189223">
          <w:marLeft w:val="0"/>
          <w:marRight w:val="0"/>
          <w:marTop w:val="0"/>
          <w:marBottom w:val="0"/>
          <w:divBdr>
            <w:top w:val="none" w:sz="0" w:space="0" w:color="auto"/>
            <w:left w:val="none" w:sz="0" w:space="0" w:color="auto"/>
            <w:bottom w:val="none" w:sz="0" w:space="0" w:color="auto"/>
            <w:right w:val="none" w:sz="0" w:space="0" w:color="auto"/>
          </w:divBdr>
        </w:div>
        <w:div w:id="703409629">
          <w:marLeft w:val="0"/>
          <w:marRight w:val="0"/>
          <w:marTop w:val="0"/>
          <w:marBottom w:val="0"/>
          <w:divBdr>
            <w:top w:val="none" w:sz="0" w:space="0" w:color="auto"/>
            <w:left w:val="none" w:sz="0" w:space="0" w:color="auto"/>
            <w:bottom w:val="none" w:sz="0" w:space="0" w:color="auto"/>
            <w:right w:val="none" w:sz="0" w:space="0" w:color="auto"/>
          </w:divBdr>
        </w:div>
        <w:div w:id="237134111">
          <w:marLeft w:val="0"/>
          <w:marRight w:val="0"/>
          <w:marTop w:val="0"/>
          <w:marBottom w:val="0"/>
          <w:divBdr>
            <w:top w:val="none" w:sz="0" w:space="0" w:color="auto"/>
            <w:left w:val="none" w:sz="0" w:space="0" w:color="auto"/>
            <w:bottom w:val="none" w:sz="0" w:space="0" w:color="auto"/>
            <w:right w:val="none" w:sz="0" w:space="0" w:color="auto"/>
          </w:divBdr>
        </w:div>
        <w:div w:id="1072316896">
          <w:marLeft w:val="0"/>
          <w:marRight w:val="0"/>
          <w:marTop w:val="0"/>
          <w:marBottom w:val="0"/>
          <w:divBdr>
            <w:top w:val="none" w:sz="0" w:space="0" w:color="auto"/>
            <w:left w:val="none" w:sz="0" w:space="0" w:color="auto"/>
            <w:bottom w:val="none" w:sz="0" w:space="0" w:color="auto"/>
            <w:right w:val="none" w:sz="0" w:space="0" w:color="auto"/>
          </w:divBdr>
        </w:div>
        <w:div w:id="679890431">
          <w:marLeft w:val="0"/>
          <w:marRight w:val="0"/>
          <w:marTop w:val="0"/>
          <w:marBottom w:val="0"/>
          <w:divBdr>
            <w:top w:val="none" w:sz="0" w:space="0" w:color="auto"/>
            <w:left w:val="none" w:sz="0" w:space="0" w:color="auto"/>
            <w:bottom w:val="none" w:sz="0" w:space="0" w:color="auto"/>
            <w:right w:val="none" w:sz="0" w:space="0" w:color="auto"/>
          </w:divBdr>
        </w:div>
        <w:div w:id="1278415918">
          <w:marLeft w:val="0"/>
          <w:marRight w:val="0"/>
          <w:marTop w:val="0"/>
          <w:marBottom w:val="0"/>
          <w:divBdr>
            <w:top w:val="none" w:sz="0" w:space="0" w:color="auto"/>
            <w:left w:val="none" w:sz="0" w:space="0" w:color="auto"/>
            <w:bottom w:val="none" w:sz="0" w:space="0" w:color="auto"/>
            <w:right w:val="none" w:sz="0" w:space="0" w:color="auto"/>
          </w:divBdr>
        </w:div>
        <w:div w:id="220672586">
          <w:marLeft w:val="0"/>
          <w:marRight w:val="0"/>
          <w:marTop w:val="0"/>
          <w:marBottom w:val="0"/>
          <w:divBdr>
            <w:top w:val="none" w:sz="0" w:space="0" w:color="auto"/>
            <w:left w:val="none" w:sz="0" w:space="0" w:color="auto"/>
            <w:bottom w:val="none" w:sz="0" w:space="0" w:color="auto"/>
            <w:right w:val="none" w:sz="0" w:space="0" w:color="auto"/>
          </w:divBdr>
        </w:div>
      </w:divsChild>
    </w:div>
    <w:div w:id="1797719830">
      <w:bodyDiv w:val="1"/>
      <w:marLeft w:val="0"/>
      <w:marRight w:val="0"/>
      <w:marTop w:val="0"/>
      <w:marBottom w:val="0"/>
      <w:divBdr>
        <w:top w:val="none" w:sz="0" w:space="0" w:color="auto"/>
        <w:left w:val="none" w:sz="0" w:space="0" w:color="auto"/>
        <w:bottom w:val="none" w:sz="0" w:space="0" w:color="auto"/>
        <w:right w:val="none" w:sz="0" w:space="0" w:color="auto"/>
      </w:divBdr>
    </w:div>
    <w:div w:id="1874999029">
      <w:bodyDiv w:val="1"/>
      <w:marLeft w:val="0"/>
      <w:marRight w:val="0"/>
      <w:marTop w:val="0"/>
      <w:marBottom w:val="0"/>
      <w:divBdr>
        <w:top w:val="none" w:sz="0" w:space="0" w:color="auto"/>
        <w:left w:val="none" w:sz="0" w:space="0" w:color="auto"/>
        <w:bottom w:val="none" w:sz="0" w:space="0" w:color="auto"/>
        <w:right w:val="none" w:sz="0" w:space="0" w:color="auto"/>
      </w:divBdr>
      <w:divsChild>
        <w:div w:id="1994291306">
          <w:marLeft w:val="0"/>
          <w:marRight w:val="0"/>
          <w:marTop w:val="0"/>
          <w:marBottom w:val="0"/>
          <w:divBdr>
            <w:top w:val="none" w:sz="0" w:space="0" w:color="auto"/>
            <w:left w:val="none" w:sz="0" w:space="0" w:color="auto"/>
            <w:bottom w:val="none" w:sz="0" w:space="0" w:color="auto"/>
            <w:right w:val="none" w:sz="0" w:space="0" w:color="auto"/>
          </w:divBdr>
        </w:div>
        <w:div w:id="1238319732">
          <w:marLeft w:val="0"/>
          <w:marRight w:val="0"/>
          <w:marTop w:val="0"/>
          <w:marBottom w:val="0"/>
          <w:divBdr>
            <w:top w:val="none" w:sz="0" w:space="0" w:color="auto"/>
            <w:left w:val="none" w:sz="0" w:space="0" w:color="auto"/>
            <w:bottom w:val="none" w:sz="0" w:space="0" w:color="auto"/>
            <w:right w:val="none" w:sz="0" w:space="0" w:color="auto"/>
          </w:divBdr>
        </w:div>
        <w:div w:id="462119291">
          <w:marLeft w:val="0"/>
          <w:marRight w:val="0"/>
          <w:marTop w:val="0"/>
          <w:marBottom w:val="0"/>
          <w:divBdr>
            <w:top w:val="none" w:sz="0" w:space="0" w:color="auto"/>
            <w:left w:val="none" w:sz="0" w:space="0" w:color="auto"/>
            <w:bottom w:val="none" w:sz="0" w:space="0" w:color="auto"/>
            <w:right w:val="none" w:sz="0" w:space="0" w:color="auto"/>
          </w:divBdr>
        </w:div>
        <w:div w:id="1096168235">
          <w:marLeft w:val="0"/>
          <w:marRight w:val="0"/>
          <w:marTop w:val="0"/>
          <w:marBottom w:val="0"/>
          <w:divBdr>
            <w:top w:val="none" w:sz="0" w:space="0" w:color="auto"/>
            <w:left w:val="none" w:sz="0" w:space="0" w:color="auto"/>
            <w:bottom w:val="none" w:sz="0" w:space="0" w:color="auto"/>
            <w:right w:val="none" w:sz="0" w:space="0" w:color="auto"/>
          </w:divBdr>
        </w:div>
        <w:div w:id="353926508">
          <w:marLeft w:val="0"/>
          <w:marRight w:val="0"/>
          <w:marTop w:val="0"/>
          <w:marBottom w:val="0"/>
          <w:divBdr>
            <w:top w:val="none" w:sz="0" w:space="0" w:color="auto"/>
            <w:left w:val="none" w:sz="0" w:space="0" w:color="auto"/>
            <w:bottom w:val="none" w:sz="0" w:space="0" w:color="auto"/>
            <w:right w:val="none" w:sz="0" w:space="0" w:color="auto"/>
          </w:divBdr>
        </w:div>
        <w:div w:id="427577983">
          <w:marLeft w:val="0"/>
          <w:marRight w:val="0"/>
          <w:marTop w:val="0"/>
          <w:marBottom w:val="0"/>
          <w:divBdr>
            <w:top w:val="none" w:sz="0" w:space="0" w:color="auto"/>
            <w:left w:val="none" w:sz="0" w:space="0" w:color="auto"/>
            <w:bottom w:val="none" w:sz="0" w:space="0" w:color="auto"/>
            <w:right w:val="none" w:sz="0" w:space="0" w:color="auto"/>
          </w:divBdr>
        </w:div>
        <w:div w:id="1456487358">
          <w:marLeft w:val="0"/>
          <w:marRight w:val="0"/>
          <w:marTop w:val="0"/>
          <w:marBottom w:val="0"/>
          <w:divBdr>
            <w:top w:val="none" w:sz="0" w:space="0" w:color="auto"/>
            <w:left w:val="none" w:sz="0" w:space="0" w:color="auto"/>
            <w:bottom w:val="none" w:sz="0" w:space="0" w:color="auto"/>
            <w:right w:val="none" w:sz="0" w:space="0" w:color="auto"/>
          </w:divBdr>
        </w:div>
        <w:div w:id="583221756">
          <w:marLeft w:val="0"/>
          <w:marRight w:val="0"/>
          <w:marTop w:val="0"/>
          <w:marBottom w:val="0"/>
          <w:divBdr>
            <w:top w:val="none" w:sz="0" w:space="0" w:color="auto"/>
            <w:left w:val="none" w:sz="0" w:space="0" w:color="auto"/>
            <w:bottom w:val="none" w:sz="0" w:space="0" w:color="auto"/>
            <w:right w:val="none" w:sz="0" w:space="0" w:color="auto"/>
          </w:divBdr>
        </w:div>
        <w:div w:id="488903745">
          <w:marLeft w:val="0"/>
          <w:marRight w:val="0"/>
          <w:marTop w:val="0"/>
          <w:marBottom w:val="0"/>
          <w:divBdr>
            <w:top w:val="none" w:sz="0" w:space="0" w:color="auto"/>
            <w:left w:val="none" w:sz="0" w:space="0" w:color="auto"/>
            <w:bottom w:val="none" w:sz="0" w:space="0" w:color="auto"/>
            <w:right w:val="none" w:sz="0" w:space="0" w:color="auto"/>
          </w:divBdr>
        </w:div>
        <w:div w:id="446972301">
          <w:marLeft w:val="0"/>
          <w:marRight w:val="0"/>
          <w:marTop w:val="0"/>
          <w:marBottom w:val="0"/>
          <w:divBdr>
            <w:top w:val="none" w:sz="0" w:space="0" w:color="auto"/>
            <w:left w:val="none" w:sz="0" w:space="0" w:color="auto"/>
            <w:bottom w:val="none" w:sz="0" w:space="0" w:color="auto"/>
            <w:right w:val="none" w:sz="0" w:space="0" w:color="auto"/>
          </w:divBdr>
        </w:div>
        <w:div w:id="1272709815">
          <w:marLeft w:val="0"/>
          <w:marRight w:val="0"/>
          <w:marTop w:val="0"/>
          <w:marBottom w:val="0"/>
          <w:divBdr>
            <w:top w:val="none" w:sz="0" w:space="0" w:color="auto"/>
            <w:left w:val="none" w:sz="0" w:space="0" w:color="auto"/>
            <w:bottom w:val="none" w:sz="0" w:space="0" w:color="auto"/>
            <w:right w:val="none" w:sz="0" w:space="0" w:color="auto"/>
          </w:divBdr>
        </w:div>
        <w:div w:id="2134247871">
          <w:marLeft w:val="0"/>
          <w:marRight w:val="0"/>
          <w:marTop w:val="0"/>
          <w:marBottom w:val="0"/>
          <w:divBdr>
            <w:top w:val="none" w:sz="0" w:space="0" w:color="auto"/>
            <w:left w:val="none" w:sz="0" w:space="0" w:color="auto"/>
            <w:bottom w:val="none" w:sz="0" w:space="0" w:color="auto"/>
            <w:right w:val="none" w:sz="0" w:space="0" w:color="auto"/>
          </w:divBdr>
        </w:div>
        <w:div w:id="676007590">
          <w:marLeft w:val="0"/>
          <w:marRight w:val="0"/>
          <w:marTop w:val="0"/>
          <w:marBottom w:val="0"/>
          <w:divBdr>
            <w:top w:val="none" w:sz="0" w:space="0" w:color="auto"/>
            <w:left w:val="none" w:sz="0" w:space="0" w:color="auto"/>
            <w:bottom w:val="none" w:sz="0" w:space="0" w:color="auto"/>
            <w:right w:val="none" w:sz="0" w:space="0" w:color="auto"/>
          </w:divBdr>
        </w:div>
        <w:div w:id="1228029413">
          <w:marLeft w:val="0"/>
          <w:marRight w:val="0"/>
          <w:marTop w:val="0"/>
          <w:marBottom w:val="0"/>
          <w:divBdr>
            <w:top w:val="none" w:sz="0" w:space="0" w:color="auto"/>
            <w:left w:val="none" w:sz="0" w:space="0" w:color="auto"/>
            <w:bottom w:val="none" w:sz="0" w:space="0" w:color="auto"/>
            <w:right w:val="none" w:sz="0" w:space="0" w:color="auto"/>
          </w:divBdr>
        </w:div>
        <w:div w:id="627518390">
          <w:marLeft w:val="0"/>
          <w:marRight w:val="0"/>
          <w:marTop w:val="0"/>
          <w:marBottom w:val="0"/>
          <w:divBdr>
            <w:top w:val="none" w:sz="0" w:space="0" w:color="auto"/>
            <w:left w:val="none" w:sz="0" w:space="0" w:color="auto"/>
            <w:bottom w:val="none" w:sz="0" w:space="0" w:color="auto"/>
            <w:right w:val="none" w:sz="0" w:space="0" w:color="auto"/>
          </w:divBdr>
        </w:div>
        <w:div w:id="1111970248">
          <w:marLeft w:val="0"/>
          <w:marRight w:val="0"/>
          <w:marTop w:val="0"/>
          <w:marBottom w:val="0"/>
          <w:divBdr>
            <w:top w:val="none" w:sz="0" w:space="0" w:color="auto"/>
            <w:left w:val="none" w:sz="0" w:space="0" w:color="auto"/>
            <w:bottom w:val="none" w:sz="0" w:space="0" w:color="auto"/>
            <w:right w:val="none" w:sz="0" w:space="0" w:color="auto"/>
          </w:divBdr>
        </w:div>
        <w:div w:id="433482597">
          <w:marLeft w:val="0"/>
          <w:marRight w:val="0"/>
          <w:marTop w:val="0"/>
          <w:marBottom w:val="0"/>
          <w:divBdr>
            <w:top w:val="none" w:sz="0" w:space="0" w:color="auto"/>
            <w:left w:val="none" w:sz="0" w:space="0" w:color="auto"/>
            <w:bottom w:val="none" w:sz="0" w:space="0" w:color="auto"/>
            <w:right w:val="none" w:sz="0" w:space="0" w:color="auto"/>
          </w:divBdr>
        </w:div>
        <w:div w:id="148404976">
          <w:marLeft w:val="0"/>
          <w:marRight w:val="0"/>
          <w:marTop w:val="0"/>
          <w:marBottom w:val="0"/>
          <w:divBdr>
            <w:top w:val="none" w:sz="0" w:space="0" w:color="auto"/>
            <w:left w:val="none" w:sz="0" w:space="0" w:color="auto"/>
            <w:bottom w:val="none" w:sz="0" w:space="0" w:color="auto"/>
            <w:right w:val="none" w:sz="0" w:space="0" w:color="auto"/>
          </w:divBdr>
        </w:div>
      </w:divsChild>
    </w:div>
    <w:div w:id="19799924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57A9F88DAB214EB3CC4AB992F6BE63"/>
        <w:category>
          <w:name w:val="General"/>
          <w:gallery w:val="placeholder"/>
        </w:category>
        <w:types>
          <w:type w:val="bbPlcHdr"/>
        </w:types>
        <w:behaviors>
          <w:behavior w:val="content"/>
        </w:behaviors>
        <w:guid w:val="{BC67C1DC-64A2-E34E-B0B5-2EF3A9A25C90}"/>
      </w:docPartPr>
      <w:docPartBody>
        <w:p w:rsidR="00565F91" w:rsidRDefault="00565F91" w:rsidP="00565F91">
          <w:pPr>
            <w:pStyle w:val="B157A9F88DAB214EB3CC4AB992F6BE63"/>
          </w:pPr>
          <w:r w:rsidRPr="00BE55EA">
            <w:rPr>
              <w:rStyle w:val="PlaceholderText"/>
            </w:rPr>
            <w:t>Click or tap here to enter text.</w:t>
          </w:r>
        </w:p>
      </w:docPartBody>
    </w:docPart>
    <w:docPart>
      <w:docPartPr>
        <w:name w:val="5E485630A64EFC4EB90CD4FE29C9DBD9"/>
        <w:category>
          <w:name w:val="General"/>
          <w:gallery w:val="placeholder"/>
        </w:category>
        <w:types>
          <w:type w:val="bbPlcHdr"/>
        </w:types>
        <w:behaviors>
          <w:behavior w:val="content"/>
        </w:behaviors>
        <w:guid w:val="{1843D26C-573A-D347-8133-E7202B55DBB1}"/>
      </w:docPartPr>
      <w:docPartBody>
        <w:p w:rsidR="00565F91" w:rsidRDefault="00565F91" w:rsidP="00565F91">
          <w:pPr>
            <w:pStyle w:val="5E485630A64EFC4EB90CD4FE29C9DBD9"/>
          </w:pPr>
          <w:r w:rsidRPr="00BE55EA">
            <w:rPr>
              <w:rStyle w:val="PlaceholderText"/>
            </w:rPr>
            <w:t>Click or tap here to enter text.</w:t>
          </w:r>
        </w:p>
      </w:docPartBody>
    </w:docPart>
    <w:docPart>
      <w:docPartPr>
        <w:name w:val="549B1244EE9D374F8866ADD921804C63"/>
        <w:category>
          <w:name w:val="General"/>
          <w:gallery w:val="placeholder"/>
        </w:category>
        <w:types>
          <w:type w:val="bbPlcHdr"/>
        </w:types>
        <w:behaviors>
          <w:behavior w:val="content"/>
        </w:behaviors>
        <w:guid w:val="{0C29B0B1-FAED-0E4E-BF45-B3E8D0F260DA}"/>
      </w:docPartPr>
      <w:docPartBody>
        <w:p w:rsidR="00565F91" w:rsidRDefault="00565F91" w:rsidP="00565F91">
          <w:pPr>
            <w:pStyle w:val="549B1244EE9D374F8866ADD921804C63"/>
          </w:pPr>
          <w:r w:rsidRPr="00BE55EA">
            <w:rPr>
              <w:rStyle w:val="PlaceholderText"/>
            </w:rPr>
            <w:t>Click or tap here to enter text.</w:t>
          </w:r>
        </w:p>
      </w:docPartBody>
    </w:docPart>
    <w:docPart>
      <w:docPartPr>
        <w:name w:val="792AED426F9FC241A6DF64D79D3463E7"/>
        <w:category>
          <w:name w:val="General"/>
          <w:gallery w:val="placeholder"/>
        </w:category>
        <w:types>
          <w:type w:val="bbPlcHdr"/>
        </w:types>
        <w:behaviors>
          <w:behavior w:val="content"/>
        </w:behaviors>
        <w:guid w:val="{76B8885E-7263-E447-8737-56758ECB8213}"/>
      </w:docPartPr>
      <w:docPartBody>
        <w:p w:rsidR="00565F91" w:rsidRDefault="00565F91" w:rsidP="00565F91">
          <w:pPr>
            <w:pStyle w:val="792AED426F9FC241A6DF64D79D3463E7"/>
          </w:pPr>
          <w:r w:rsidRPr="00BE55E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1B34112-4D9C-0D4B-9F03-161FA3C2DE63}"/>
      </w:docPartPr>
      <w:docPartBody>
        <w:p w:rsidR="00565F91" w:rsidRDefault="00565F91">
          <w:r w:rsidRPr="005C75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91"/>
    <w:rsid w:val="00565F91"/>
    <w:rsid w:val="00E107B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5F91"/>
    <w:rPr>
      <w:color w:val="808080"/>
    </w:rPr>
  </w:style>
  <w:style w:type="paragraph" w:customStyle="1" w:styleId="EF33FD48E9DE594895B11C399282EFE3">
    <w:name w:val="EF33FD48E9DE594895B11C399282EFE3"/>
    <w:rsid w:val="00565F91"/>
  </w:style>
  <w:style w:type="paragraph" w:customStyle="1" w:styleId="B157A9F88DAB214EB3CC4AB992F6BE63">
    <w:name w:val="B157A9F88DAB214EB3CC4AB992F6BE63"/>
    <w:rsid w:val="00565F91"/>
  </w:style>
  <w:style w:type="paragraph" w:customStyle="1" w:styleId="5E485630A64EFC4EB90CD4FE29C9DBD9">
    <w:name w:val="5E485630A64EFC4EB90CD4FE29C9DBD9"/>
    <w:rsid w:val="00565F91"/>
  </w:style>
  <w:style w:type="paragraph" w:customStyle="1" w:styleId="549B1244EE9D374F8866ADD921804C63">
    <w:name w:val="549B1244EE9D374F8866ADD921804C63"/>
    <w:rsid w:val="00565F91"/>
  </w:style>
  <w:style w:type="paragraph" w:customStyle="1" w:styleId="792AED426F9FC241A6DF64D79D3463E7">
    <w:name w:val="792AED426F9FC241A6DF64D79D3463E7"/>
    <w:rsid w:val="00565F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043086-0D65-0A42-9B19-BDE6FA79E734}">
  <we:reference id="f78a3046-9e99-4300-aa2b-5814002b01a2" version="1.55.1.0" store="EXCatalog" storeType="EXCatalog"/>
  <we:alternateReferences>
    <we:reference id="WA104382081" version="1.55.1.0" store="en-CA" storeType="OMEX"/>
  </we:alternateReferences>
  <we:properties>
    <we:property name="MENDELEY_BIBLIOGRAPHY_IS_DIRTY" value="false"/>
    <we:property name="MENDELEY_BIBLIOGRAPHY_LAST_MODIFIED" value="1772208936399"/>
    <we:property name="MENDELEY_CITATIONS" value="[{&quot;citationID&quot;:&quot;MENDELEY_CITATION_c85d9fdc-30d8-4bbd-ab51-67558ea52a26&quot;,&quot;properties&quot;:{&quot;noteIndex&quot;:0},&quot;isEdited&quot;:false,&quot;manualOverride&quot;:{&quot;isManuallyOverridden&quot;:false,&quot;citeprocText&quot;:&quot;(Turley &lt;i&gt;et al.&lt;/i&gt;, 2020)&quot;,&quot;manualOverrideText&quot;:&quot;&quot;},&quot;citationTag&quot;:&quot;MENDELEY_CITATION_v3_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&quot;,&quot;citationItems&quot;:[{&quot;id&quot;:&quot;e91c1d4b-09d0-38ae-9d4c-f8d7000cbbe2&quot;,&quot;itemData&quot;:{&quot;type&quot;:&quot;article-journal&quot;,&quot;id&quot;:&quot;e91c1d4b-09d0-38ae-9d4c-f8d7000cbbe2&quot;,&quot;title&quot;:&quot;Development and Evaluation of Occupancy-Aware HVAC Control for Residential Building Energy Efficiency and Occupant Comfort&quot;,&quot;author&quot;:[{&quot;family&quot;:&quot;Turley&quot;,&quot;given&quot;:&quot;Christina&quot;,&quot;parse-names&quot;:false,&quot;dropping-particle&quot;:&quot;&quot;,&quot;non-dropping-particle&quot;:&quot;&quot;},{&quot;family&quot;:&quot;Jacoby&quot;,&quot;given&quot;:&quot;Margarite&quot;,&quot;parse-names&quot;:false,&quot;dropping-particle&quot;:&quot;&quot;,&quot;non-dropping-particle&quot;:&quot;&quot;},{&quot;family&quot;:&quot;Pavlak&quot;,&quot;given&quot;:&quot;Gregory&quot;,&quot;parse-names&quot;:false,&quot;dropping-particle&quot;:&quot;&quot;,&quot;non-dropping-particle&quot;:&quot;&quot;},{&quot;family&quot;:&quot;Henze&quot;,&quot;given&quot;:&quot;Gregor&quot;,&quot;parse-names&quot;:false,&quot;dropping-particle&quot;:&quot;&quot;,&quot;non-dropping-particle&quot;:&quot;&quot;}],&quot;container-title&quot;:&quot;Energies&quot;,&quot;container-title-short&quot;:&quot;Energies (Basel).&quot;,&quot;DOI&quot;:&quot;10.3390/en13205396&quot;,&quot;ISSN&quot;:&quot;1996-1073&quot;,&quot;URL&quot;:&quot;https://www.mdpi.com/1996-1073/13/20/5396&quot;,&quot;issued&quot;:{&quot;date-parts&quot;:[[2020]]},&quot;abstract&quot;:&quot;Occupancy-aware heating, ventilation, and air conditioning (HVAC) control offers the opportunity to reduce energy use without sacrificing thermal comfort. Residential HVAC systems often use manually-adjusted or constant setpoint temperatures, which heat and cool the house regardless of whether it is needed. By incorporating occupancy-awareness into HVAC control, heating and cooling can be used for only those time periods it is needed. Yet, bringing this technology to fruition is dependent on accurately predicting occupancy. Non-probabilistic prediction models offer an opportunity to use collected occupancy data to predict future occupancy profiles. Smart devices, such as a connected thermostat, which already include occupancy sensors, can be used to provide a continually growing collection of data that can then be harnessed for short-term occupancy prediction by compiling and creating a binary occupancy prediction. Real occupancy data from six homes located in Colorado is analyzed and investigated using this occupancy prediction model. Results show that non-probabilistic occupancy models in combination with occupancy sensors can be combined to provide a hybrid HVAC control with savings on average of 5.0% and without degradation of thermal comfort. Model predictive control provides further opportunities, with the ability to adjust the relative importance between thermal comfort and energy savings to achieve savings between 1% and 13.3% depending on the relative weighting between thermal comfort and energy savings. In all cases, occupancy prediction allows the opportunity for a more intelligent and optimized strategy to residential HVAC control.&quot;,&quot;issue&quot;:&quot;20&quot;,&quot;volume&quot;:&quot;13&quot;},&quot;isTemporary&quot;:false}]},{&quot;citationID&quot;:&quot;MENDELEY_CITATION_60b428f0-75e3-4f47-8cf8-eddbc841cb59&quot;,&quot;properties&quot;:{&quot;noteIndex&quot;:0},&quot;isEdited&quot;:false,&quot;manualOverride&quot;:{&quot;isManuallyOverridden&quot;:false,&quot;citeprocText&quot;:&quot;(Hong &lt;i&gt;et al.&lt;/i&gt;, 2017; Mahdavi &lt;i&gt;et al.&lt;/i&gt;, 2021)&quot;,&quot;manualOverrideText&quot;:&quot;&quot;},&quot;citationTag&quot;:&quot;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&quot;,&quot;citationItems&quot;:[{&quot;id&quot;:&quot;8c4c9c6c-a1c2-3f1b-911f-5274232073da&quot;,&quot;itemData&quot;:{&quot;type&quot;:&quot;article-journal&quot;,&quot;id&quot;:&quot;8c4c9c6c-a1c2-3f1b-911f-5274232073da&quot;,&quot;title&quot;:&quot;The Role of Occupants in Buildings’ Energy Performance Gap: Myth or Reality?&quot;,&quot;author&quot;:[{&quot;family&quot;:&quot;Mahdavi&quot;,&quot;given&quot;:&quot;Ardeshir&quot;,&quot;parse-names&quot;:false,&quot;dropping-particle&quot;:&quot;&quot;,&quot;non-dropping-particle&quot;:&quot;&quot;},{&quot;family&quot;:&quot;Berger&quot;,&quot;given&quot;:&quot;Christiane&quot;,&quot;parse-names&quot;:false,&quot;dropping-particle&quot;:&quot;&quot;,&quot;non-dropping-particle&quot;:&quot;&quot;},{&quot;family&quot;:&quot;Amin&quot;,&quot;given&quot;:&quot;Hadeer&quot;,&quot;parse-names&quot;:false,&quot;dropping-particle&quot;:&quot;&quot;,&quot;non-dropping-particle&quot;:&quot;&quot;},{&quot;family&quot;:&quot;Ampatzi&quot;,&quot;given&quot;:&quot;Eleni&quot;,&quot;parse-names&quot;:false,&quot;dropping-particle&quot;:&quot;&quot;,&quot;non-dropping-particle&quot;:&quot;&quot;},{&quot;family&quot;:&quot;Andersen&quot;,&quot;given&quot;:&quot;Rune Korsholm&quot;,&quot;parse-names&quot;:false,&quot;dropping-particle&quot;:&quot;&quot;,&quot;non-dropping-particle&quot;:&quot;&quot;},{&quot;family&quot;:&quot;Azar&quot;,&quot;given&quot;:&quot;Elie&quot;,&quot;parse-names&quot;:false,&quot;dropping-particle&quot;:&quot;&quot;,&quot;non-dropping-particle&quot;:&quot;&quot;},{&quot;family&quot;:&quot;Barthelmes&quot;,&quot;given&quot;:&quot;Verena M&quot;,&quot;parse-names&quot;:false,&quot;dropping-particle&quot;:&quot;&quot;,&quot;non-dropping-particle&quot;:&quot;&quot;},{&quot;family&quot;:&quot;Favero&quot;,&quot;given&quot;:&quot;Matteo&quot;,&quot;parse-names&quot;:false,&quot;dropping-particle&quot;:&quot;&quot;,&quot;non-dropping-particle&quot;:&quot;&quot;},{&quot;family&quot;:&quot;Hahn&quot;,&quot;given&quot;:&quot;Jakob&quot;,&quot;parse-names&quot;:false,&quot;dropping-particle&quot;:&quot;&quot;,&quot;non-dropping-particle&quot;:&quot;&quot;},{&quot;family&quot;:&quot;Khovalyg&quot;,&quot;given&quot;:&quot;Dolaana&quot;,&quot;parse-names&quot;:false,&quot;dropping-particle&quot;:&quot;&quot;,&quot;non-dropping-particle&quot;:&quot;&quot;},{&quot;family&quot;:&quot;Knudsen&quot;,&quot;given&quot;:&quot;Henrik N&quot;,&quot;parse-names&quot;:false,&quot;dropping-particle&quot;:&quot;&quot;,&quot;non-dropping-particle&quot;:&quot;&quot;},{&quot;family&quot;:&quot;Luna-Navarro&quot;,&quot;given&quot;:&quot;Alessandra&quot;,&quot;parse-names&quot;:false,&quot;dropping-particle&quot;:&quot;&quot;,&quot;non-dropping-particle&quot;:&quot;&quot;},{&quot;family&quot;:&quot;Roetzel&quot;,&quot;given&quot;:&quot;Astrid&quot;,&quot;parse-names&quot;:false,&quot;dropping-particle&quot;:&quot;&quot;,&quot;non-dropping-particle&quot;:&quot;&quot;},{&quot;family&quot;:&quot;Sangogboye&quot;,&quot;given&quot;:&quot;Fisayo C&quot;,&quot;parse-names&quot;:false,&quot;dropping-particle&quot;:&quot;&quot;,&quot;non-dropping-particle&quot;:&quot;&quot;},{&quot;family&quot;:&quot;Schweiker&quot;,&quot;given&quot;:&quot;Marcel&quot;,&quot;parse-names&quot;:false,&quot;dropping-particle&quot;:&quot;&quot;,&quot;non-dropping-particle&quot;:&quot;&quot;},{&quot;family&quot;:&quot;Taheri&quot;,&quot;given&quot;:&quot;Mahnameh&quot;,&quot;parse-names&quot;:false,&quot;dropping-particle&quot;:&quot;&quot;,&quot;non-dropping-particle&quot;:&quot;&quot;},{&quot;family&quot;:&quot;Teli&quot;,&quot;given&quot;:&quot;Despoina&quot;,&quot;parse-names&quot;:false,&quot;dropping-particle&quot;:&quot;&quot;,&quot;non-dropping-particle&quot;:&quot;&quot;},{&quot;family&quot;:&quot;Touchie&quot;,&quot;given&quot;:&quot;Marianne&quot;,&quot;parse-names&quot;:false,&quot;dropping-particle&quot;:&quot;&quot;,&quot;non-dropping-particle&quot;:&quot;&quot;},{&quot;family&quot;:&quot;Verbruggen&quot;,&quot;given&quot;:&quot;Silke&quot;,&quot;parse-names&quot;:false,&quot;dropping-particle&quot;:&quot;&quot;,&quot;non-dropping-particle&quot;:&quot;&quot;}],&quot;container-title&quot;:&quot;Sustainability&quot;,&quot;container-title-short&quot;:&quot;Sustainability&quot;,&quot;DOI&quot;:&quot;10.3390/su13063146&quot;,&quot;ISSN&quot;:&quot;2071-1050&quot;,&quot;URL&quot;:&quot;https://www.mdpi.com/2071-1050/13/6/3146&quot;,&quot;issued&quot;:{&quot;date-parts&quot;:[[2021]]},&quot;abstract&quot;:&quot;Buildings’ expected (projected, simulated) energy use frequently does not match actual observations. This is commonly referred to as the energy performance gap. As such, many factors can contribute to the disagreement between expectations and observations. These include, for instance, uncertainty about buildings’ geometry, construction, systems, and weather conditions. However, the role of occupants in the energy performance gap has recently attracted much attention. It has even been suggested that occupants are the main cause of the energy performance gap. This, in turn, has led to suggestions that better models of occupant behavior can reduce the energy performance gap. The present effort aims at the review and evaluation of the evidence for such claims. To this end, a systematic literature search was conducted and relevant publications were identified and reviewed in detail. The review entailed the categorization of the studies according to the scope and strength of the evidence for occupants’ role in the energy performance gap. Moreover, deployed calculation and monitoring methods, normalization procedures, and reported causes and magnitudes of the energy performance gap were documented and evaluated. The results suggest that the role of occupants as significant or exclusive contributors to the energy performance gap is not sufficiently substantiated by evidence.&quot;,&quot;issue&quot;:&quot;6&quot;,&quot;volume&quot;:&quot;13&quot;},&quot;isTemporary&quot;:false},{&quot;id&quot;:&quot;a899428a-f57f-36d9-962e-2d916001c351&quot;,&quot;itemData&quot;:{&quot;type&quot;:&quot;article-journal&quot;,&quot;id&quot;:&quot;a899428a-f57f-36d9-962e-2d916001c351&quot;,&quot;title&quot;:&quot;Ten questions concerning occupant behavior in buildings: The big picture&quot;,&quot;author&quot;:[{&quot;family&quot;:&quot;Hong&quot;,&quot;given&quot;:&quot;Tianzhen&quot;,&quot;parse-names&quot;:false,&quot;dropping-particle&quot;:&quot;&quot;,&quot;non-dropping-particle&quot;:&quot;&quot;},{&quot;family&quot;:&quot;Yan&quot;,&quot;given&quot;:&quot;Da&quot;,&quot;parse-names&quot;:false,&quot;dropping-particle&quot;:&quot;&quot;,&quot;non-dropping-particle&quot;:&quot;&quot;},{&quot;family&quot;:&quot;D'Oca&quot;,&quot;given&quot;:&quot;Simona&quot;,&quot;parse-names&quot;:false,&quot;dropping-particle&quot;:&quot;&quot;,&quot;non-dropping-particle&quot;:&quot;&quot;},{&quot;family&quot;:&quot;Chen&quot;,&quot;given&quot;:&quot;Chien-fei&quot;,&quot;parse-names&quot;:false,&quot;dropping-particle&quot;:&quot;&quot;,&quot;non-dropping-particle&quot;:&quot;&quot;}],&quot;container-title&quot;:&quot;Building and Environment&quot;,&quot;container-title-short&quot;:&quot;Build. Environ.&quot;,&quot;DOI&quot;:&quot;https://doi.org/10.1016/j.buildenv.2016.12.006&quot;,&quot;ISSN&quot;:&quot;0360-1323&quot;,&quot;URL&quot;:&quot;https://www.sciencedirect.com/science/article/pii/S0360132316304851&quot;,&quot;issued&quot;:{&quot;date-parts&quot;:[[2017]]},&quot;page&quot;:&quot;518-530&quot;,&quot;abstract&quot;:&quot;Occupant behavior has significant impacts on building energy performance and occupant comfort. However, occupant behavior is not well understood and is often oversimplified in the building life cycle, due to its stochastic, diverse, complex, and interdisciplinary nature. The use of simplified methods or tools to quantify the impacts of occupant behavior in building performance simulations significantly contributes to performance gaps between simulated models and actual building energy consumption. Therefore, it is crucial to understand occupant behavior in a comprehensive way, integrating qualitative approaches and data- and model-driven quantitative approaches, and employing appropriate tools to guide the design and operation of low-energy residential and commercial buildings that integrate technological and human dimensions. This paper presents ten questions, highlighting some of the most important issues regarding concepts, applications, and methodologies in occupant behavior research. The proposed questions and answers aim to provide insights into occupant behavior for current and future researchers, designers, and policy makers, and most importantly, to inspire innovative research and applications to increase energy efficiency and reduce energy use in buildings.&quot;,&quot;volume&quot;:&quot;114&quot;},&quot;isTemporary&quot;:false}]},{&quot;citationID&quot;:&quot;MENDELEY_CITATION_befd4981-d536-4579-aaa7-ca7323f9de86&quot;,&quot;properties&quot;:{&quot;noteIndex&quot;:0},&quot;isEdited&quot;:false,&quot;manualOverride&quot;:{&quot;isManuallyOverridden&quot;:false,&quot;citeprocText&quot;:&quot;(Pérez-Lombard, Ortiz and Pout, 2008)&quot;,&quot;manualOverrideText&quot;:&quot;&quot;},&quot;citationTag&quot;:&quot;MENDELEY_CITATION_v3_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&quot;,&quot;citationItems&quot;:[{&quot;id&quot;:&quot;2ac06383-28b9-31c1-8e83-15fee7ce9bb9&quot;,&quot;itemData&quot;:{&quot;type&quot;:&quot;article-journal&quot;,&quot;id&quot;:&quot;2ac06383-28b9-31c1-8e83-15fee7ce9bb9&quot;,&quot;title&quot;:&quot;A review on buildings energy consumption information&quot;,&quot;author&quot;:[{&quot;family&quot;:&quot;Pérez-Lombard&quot;,&quot;given&quot;:&quot;Luis&quot;,&quot;parse-names&quot;:false,&quot;dropping-particle&quot;:&quot;&quot;,&quot;non-dropping-particle&quot;:&quot;&quot;},{&quot;family&quot;:&quot;Ortiz&quot;,&quot;given&quot;:&quot;José&quot;,&quot;parse-names&quot;:false,&quot;dropping-particle&quot;:&quot;&quot;,&quot;non-dropping-particle&quot;:&quot;&quot;},{&quot;family&quot;:&quot;Pout&quot;,&quot;given&quot;:&quot;Christine&quot;,&quot;parse-names&quot;:false,&quot;dropping-particle&quot;:&quot;&quot;,&quot;non-dropping-particle&quot;:&quot;&quot;}],&quot;container-title&quot;:&quot;Energy and Buildings&quot;,&quot;container-title-short&quot;:&quot;Energy Build.&quot;,&quot;DOI&quot;:&quot;https://doi.org/10.1016/j.enbuild.2007.03.007&quot;,&quot;ISSN&quot;:&quot;0378-7788&quot;,&quot;URL&quot;:&quot;https://www.sciencedirect.com/science/article/pii/S0378778807001016&quot;,&quot;issued&quot;:{&quot;date-parts&quot;:[[2008]]},&quot;page&quot;:&quot;394-398&quot;,&quot;abstract&quot;:&quot;The rapidly growing world energy use has already raised concerns over supply difficulties, exhaustion of energy resources and heavy environmental impacts (ozone layer depletion, global warming, climate change, etc.). The global contribution from buildings towards energy consumption, both residential and commercial, has steadily increased reaching figures between 20% and 40% in developed countries, and has exceeded the other major sectors: industrial and transportation. Growth in population, increasing demand for building services and comfort levels, together with the rise in time spent inside buildings, assure the upward trend in energy demand will continue in the future. For this reason, energy efficiency in buildings is today a prime objective for energy policy at regional, national and international levels. Among building services, the growth in HVAC systems energy use is particularly significant (50% of building consumption and 20% of total consumption in the USA). This paper analyses available information concerning energy consumption in buildings, and particularly related to HVAC systems. Many questions arise: Is the necessary information available? Which are the main building types? What end uses should be considered in the breakdown? Comparisons between different countries are presented specially for commercial buildings. The case of offices is analysed in deeper detail.&quot;,&quot;issue&quot;:&quot;3&quot;,&quot;volume&quot;:&quot;40&quot;},&quot;isTemporary&quot;:false}]},{&quot;citationID&quot;:&quot;MENDELEY_CITATION_80458dc7-69a8-4c09-9e80-c08bc124ddc2&quot;,&quot;properties&quot;:{&quot;noteIndex&quot;:0},&quot;isEdited&quot;:false,&quot;manualOverride&quot;:{&quot;isManuallyOverridden&quot;:false,&quot;citeprocText&quot;:&quot;(Wilke, Haldi and Robinson, 2011; Lu &lt;i&gt;et al.&lt;/i&gt;, 2021)&quot;,&quot;manualOverrideText&quot;:&quot;&quot;},&quot;citationTag&quot;:&quot;MENDELEY_CITATION_v3_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&quot;,&quot;citationItems&quot;:[{&quot;id&quot;:&quot;922dc101-7b79-3693-873f-f701d03daedf&quot;,&quot;itemData&quot;:{&quot;type&quot;:&quot;paper-conference&quot;,&quot;id&quot;:&quot;922dc101-7b79-3693-873f-f701d03daedf&quot;,&quot;title&quot;:&quot;A model of occupant' activities based on time use survey data&quot;,&quot;author&quot;:[{&quot;family&quot;:&quot;Wilke&quot;,&quot;given&quot;:&quot;Urs&quot;,&quot;parse-names&quot;:false,&quot;dropping-particle&quot;:&quot;&quot;,&quot;non-dropping-particle&quot;:&quot;&quot;},{&quot;family&quot;:&quot;Haldi&quot;,&quot;given&quot;:&quot;Frédéric&quot;,&quot;parse-names&quot;:false,&quot;dropping-particle&quot;:&quot;&quot;,&quot;non-dropping-particle&quot;:&quot;&quot;},{&quot;family&quot;:&quot;Robinson&quot;,&quot;given&quot;:&quot;Darren&quot;,&quot;parse-names&quot;:false,&quot;dropping-particle&quot;:&quot;&quot;,&quot;non-dropping-particle&quot;:&quot;&quot;}],&quot;container-title&quot;:&quot;Proceedings of Building Simulation 2011: 12th Conference of International Building Performance Simulation Association&quot;,&quot;issued&quot;:{&quot;date-parts&quot;:[[2011,2]]},&quot;container-title-short&quot;:&quot;&quot;},&quot;isTemporary&quot;:false},{&quot;id&quot;:&quot;f94fba45-e78d-35cf-8237-a9406a19496a&quot;,&quot;itemData&quot;:{&quot;type&quot;:&quot;article-journal&quot;,&quot;id&quot;:&quot;f94fba45-e78d-35cf-8237-a9406a19496a&quot;,&quot;title&quot;:&quot;Extracting typical occupancy schedules from social media (TOSSM) and its integration with building energy modeling&quot;,&quot;author&quot;:[{&quot;family&quot;:&quot;Lu&quot;,&quot;given&quot;:&quot;Xing&quot;,&quot;parse-names&quot;:false,&quot;dropping-particle&quot;:&quot;&quot;,&quot;non-dropping-particle&quot;:&quot;&quot;},{&quot;family&quot;:&quot;Feng&quot;,&quot;given&quot;:&quot;Fan&quot;,&quot;parse-names&quot;:false,&quot;dropping-particle&quot;:&quot;&quot;,&quot;non-dropping-particle&quot;:&quot;&quot;},{&quot;family&quot;:&quot;Pang&quot;,&quot;given&quot;:&quot;Zhihong&quot;,&quot;parse-names&quot;:false,&quot;dropping-particle&quot;:&quot;&quot;,&quot;non-dropping-particle&quot;:&quot;&quot;},{&quot;family&quot;:&quot;Yang&quot;,&quot;given&quot;:&quot;Tao&quot;,&quot;parse-names&quot;:false,&quot;dropping-particle&quot;:&quot;&quot;,&quot;non-dropping-particle&quot;:&quot;&quot;},{&quot;family&quot;:&quot;O’Neill&quot;,&quot;given&quot;:&quot;Zheng&quot;,&quot;parse-names&quot;:false,&quot;dropping-particle&quot;:&quot;&quot;,&quot;non-dropping-particle&quot;:&quot;&quot;}],&quot;container-title&quot;:&quot;Building Simulation&quot;,&quot;container-title-short&quot;:&quot;Build. Simul.&quot;,&quot;DOI&quot;:&quot;10.1007/s12273-020-0637-y&quot;,&quot;ISSN&quot;:&quot;1996-8744&quot;,&quot;URL&quot;:&quot;https://doi.org/10.1007/s12273-020-0637-y&quot;,&quot;issued&quot;:{&quot;date-parts&quot;:[[2021]]},&quot;page&quot;:&quot;25-41&quot;,&quot;abstract&quot;:&quot;Building occupancy, one of the most important consequences of occupant behaviors, is a driving influencer for building energy consumption and has been receiving increasing attention in the building energy modeling community. With the vast development of information technologies in the era of the internet-of-things, occupant sensing and data acquisition are not limited to a single node or traditional approaches. The prevalence of social networks provides a myriad of publically available social media data that might contain occupancy information in the space for a given time. In this paper, we explore two approaches to extract the typical occupancy schedules for the input to the building energy simulation based on the data from social networks. The first approach uses text classification algorithms to identify whether people are present in the space where they are posting on social media. On top of that, the typical building occupancy schedules are extracted with assumed people counting rules. The second approach utilizes the processed Global Positioning System (GPS) tracking data provided by social networking service companies such as Facebook and Google Maps. Web scraping techniques are used to obtain and post-process the raw data to extract the typical building occupancy schedules. The results show that the extracted building occupancy schedules from different data sources (Twitter, Facebook, and Google Maps) share a similar trend but are slightly distinct from each other and hence may require further validation and corrections. To further demonstrate the application of the extracted Typical Occupancy Schedules from Social Media (TOSSM), data-driven models for predicting hourly energy usage prediction of a university museum are developed with the integration of TOSSM. The results indicate that the incorporation of TOSSM could improve the hourly energy usage prediction accuracy to a small extent regarding the four adopted evaluation metrics for this museum building.&quot;,&quot;issue&quot;:&quot;1&quot;,&quot;volume&quot;:&quot;14&quot;},&quot;isTemporary&quot;:false}]},{&quot;citationID&quot;:&quot;MENDELEY_CITATION_4c8004b8-9921-493e-a2ca-1b04d95ceb0f&quot;,&quot;properties&quot;:{&quot;noteIndex&quot;:0},&quot;isEdited&quot;:false,&quot;manualOverride&quot;:{&quot;isManuallyOverridden&quot;:false,&quot;citeprocText&quot;:&quot;(Richardson, Thomson and Infield, 2008; Mitra, Chu and Cetin, 2020)&quot;,&quot;manualOverrideText&quot;:&quot;&quot;},&quot;citationTag&quot;:&quot;MENDELEY_CITATION_v3_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&quot;,&quot;citationItems&quot;:[{&quot;id&quot;:&quot;c64704f9-8f05-39a6-b7d3-83958706dfd5&quot;,&quot;itemData&quot;:{&quot;type&quot;:&quot;paper-conference&quot;,&quot;id&quot;:&quot;c64704f9-8f05-39a6-b7d3-83958706dfd5&quot;,&quot;title&quot;:&quot;Activity Profiles of Occupants in Residential Buildings Using the American Time Use Survey Data&quot;,&quot;author&quot;:[{&quot;family&quot;:&quot;Mitra&quot;,&quot;given&quot;:&quot;Debrudra&quot;,&quot;parse-names&quot;:false,&quot;dropping-particle&quot;:&quot;&quot;,&quot;non-dropping-particle&quot;:&quot;&quot;},{&quot;family&quot;:&quot;Chu&quot;,&quot;given&quot;:&quot;Yiyi&quot;,&quot;parse-names&quot;:false,&quot;dropping-particle&quot;:&quot;&quot;,&quot;non-dropping-particle&quot;:&quot;&quot;},{&quot;family&quot;:&quot;Cetin&quot;,&quot;given&quot;:&quot;Kristen&quot;,&quot;parse-names&quot;:false,&quot;dropping-particle&quot;:&quot;&quot;,&quot;non-dropping-particle&quot;:&quot;&quot;}],&quot;DOI&quot;:&quot;10.1061/9780784482865.113&quot;,&quot;issued&quot;:{&quot;date-parts&quot;:[[2020,2]]},&quot;container-title-short&quot;:&quot;&quot;},&quot;isTemporary&quot;:false},{&quot;id&quot;:&quot;7c519228-f979-3753-836d-29fe1c01ebf7&quot;,&quot;itemData&quot;:{&quot;type&quot;:&quot;article-journal&quot;,&quot;id&quot;:&quot;7c519228-f979-3753-836d-29fe1c01ebf7&quot;,&quot;title&quot;:&quot;A high-resolution domestic building occupancy model for energy demand simulations&quot;,&quot;author&quot;:[{&quot;family&quot;:&quot;Richardson&quot;,&quot;given&quot;:&quot;Ian&quot;,&quot;parse-names&quot;:false,&quot;dropping-particle&quot;:&quot;&quot;,&quot;non-dropping-particle&quot;:&quot;&quot;},{&quot;family&quot;:&quot;Thomson&quot;,&quot;given&quot;:&quot;Murray&quot;,&quot;parse-names&quot;:false,&quot;dropping-particle&quot;:&quot;&quot;,&quot;non-dropping-particle&quot;:&quot;&quot;},{&quot;family&quot;:&quot;Infield&quot;,&quot;given&quot;:&quot;David&quot;,&quot;parse-names&quot;:false,&quot;dropping-particle&quot;:&quot;&quot;,&quot;non-dropping-particle&quot;:&quot;&quot;}],&quot;container-title&quot;:&quot;Energy and Buildings&quot;,&quot;container-title-short&quot;:&quot;Energy Build.&quot;,&quot;DOI&quot;:&quot;https://doi.org/10.1016/j.enbuild.2008.02.006&quot;,&quot;ISSN&quot;:&quot;0378-7788&quot;,&quot;URL&quot;:&quot;https://www.sciencedirect.com/science/article/pii/S0378778808000467&quot;,&quot;issued&quot;:{&quot;date-parts&quot;:[[2008]]},&quot;page&quot;:&quot;1560-1566&quot;,&quot;abstract&quot;:&quot;Energy use in the home is a major source of carbon emissions and is highly dependent on the activities of the residents. More specifically, the timing of energy use, particularly electricity, is highly dependent on the timing of the occupants’ activities. Thus, in order to model domestic demand profiles with high temporal resolution, for example, in the context of designing and assessing demand side management systems (including the time-shifting of demand), it is of great benefit to take account of residents’ behaviour in terms of when they are likely to be using household appliances, lighting and heating. This paper presents a thorough and detailed method for generating realistic occupancy data for UK households, based upon surveyed time-use data describing what people do and when. The approach presented generates statistical occupancy time-series data at a ten-minute resolution and takes account of differences between weekdays and weekends. The model also indicates the number of occupants that are active within a house at a given time, which is important for example in order to model the sharing of energy use (shared use of appliances, etc.) The data from the model can be used as input to any domestic energy model that uses occupancy time-series as a base variable, or any other application that requires detailed occupancy data. The model has been implemented in Excel and is available for free download.&quot;,&quot;issue&quot;:&quot;8&quot;,&quot;volume&quot;:&quot;40&quot;},&quot;isTemporary&quot;:false}]},{&quot;citationID&quot;:&quot;MENDELEY_CITATION_018b0468-c51d-4ab9-be7f-0268b1058c6a&quot;,&quot;properties&quot;:{&quot;noteIndex&quot;:0},&quot;isEdited&quot;:false,&quot;manualOverride&quot;:{&quot;isManuallyOverridden&quot;:false,&quot;citeprocText&quot;:&quot;(Duan, He and Yu, 2015)&quot;,&quot;manualOverrideText&quot;:&quot;&quot;},&quot;citationTag&quot;:&quot;MENDELEY_CITATION_v3_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&quot;,&quot;citationItems&quot;:[{&quot;id&quot;:&quot;e1b457ba-cb9b-3f6d-8154-1d57cb4d5e5e&quot;,&quot;itemData&quot;:{&quot;type&quot;:&quot;article-journal&quot;,&quot;id&quot;:&quot;e1b457ba-cb9b-3f6d-8154-1d57cb4d5e5e&quot;,&quot;title&quot;:&quot;A brief review of modelling methods for occupants’ behaviours in residential buildings&quot;,&quot;author&quot;:[{&quot;family&quot;:&quot;Duan&quot;,&quot;given&quot;:&quot;Jiaojiao&quot;,&quot;parse-names&quot;:false,&quot;dropping-particle&quot;:&quot;&quot;,&quot;non-dropping-particle&quot;:&quot;&quot;},{&quot;family&quot;:&quot;He&quot;,&quot;given&quot;:&quot;Jinyu&quot;,&quot;parse-names&quot;:false,&quot;dropping-particle&quot;:&quot;&quot;,&quot;non-dropping-particle&quot;:&quot;&quot;},{&quot;family&quot;:&quot;Yu&quot;,&quot;given&quot;:&quot;Chuck Wah&quot;,&quot;parse-names&quot;:false,&quot;dropping-particle&quot;:&quot;&quot;,&quot;non-dropping-particle&quot;:&quot;&quot;}],&quot;container-title&quot;:&quot;Indoor and Built Environment&quot;,&quot;DOI&quot;:&quot;10.1177/1420326X251396163&quot;,&quot;URL&quot;:&quot;https://doi.org/10.1177/1420326X251396163&quot;,&quot;issued&quot;:{&quot;date-parts&quot;:[[2015]]},&quot;page&quot;:&quot;1420326X251396163&quot;,&quot;abstract&quot;:&quot; Occupants’ behaviour is a critical factor influencing building energy consumption, characterized by its complexity, variability and stochastic nature. Residential buildings pose unique challenges due to more diverse and privacy-sensitive patterns of occupants’ behaviours compared to offices. Traditional building performance simulations often rely on fixed schedules or simplified assumptions, leading to significant deviations from actual energy usage. Notably, behavioural differences can cause energy consumption in households to vary by as much as 50–80%. The use of calibrated occupants’ behaviours models has been shown to reduce simulation errors by 10–20%. This study presents a systematic review from three key perspectives: data collection methods, occupants’ behaviours modelling approaches and energy simulation tools. Data acquisition techniques are evaluated in terms of their advantages, limitations and application scenarios. Behaviour models are classified into fixed schedule, data-driven and stochastic process types, addressing both occupants’ movement and energy-use behaviours. Additionally, a comparative analysis of mainstream energy simulation software has been conducted, focusing on their suitability for occupant-integrated modelling. This review aims to provide a theoretical foundation and practical reference for improving the accuracy of occupants’ behaviour representation in building energy simulations. &quot;,&quot;issue&quot;:&quot;0&quot;,&quot;volume&quot;:&quot;0&quot;,&quot;container-title-short&quot;:&quot;&quot;},&quot;isTemporary&quot;:false}]},{&quot;citationID&quot;:&quot;MENDELEY_CITATION_39943c10-74e7-496f-9e3f-0ea285e4aa47&quot;,&quot;properties&quot;:{&quot;noteIndex&quot;:0},&quot;isEdited&quot;:false,&quot;manualOverride&quot;:{&quot;isManuallyOverridden&quot;:false,&quot;citeprocText&quot;:&quot;(Fischer, Härtl and Wille-Haussmann, 2015; Iseri, Dino and Kalkan, 2026)&quot;,&quot;manualOverrideText&quot;:&quot;&quot;},&quot;citationTag&quot;:&quot;MENDELEY_CITATION_v3_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&quot;,&quot;citationItems&quot;:[{&quot;id&quot;:&quot;3af28f18-c4aa-3e11-9914-edc090836cfc&quot;,&quot;itemData&quot;:{&quot;type&quot;:&quot;article-journal&quot;,&quot;id&quot;:&quot;3af28f18-c4aa-3e11-9914-edc090836cfc&quot;,&quot;title&quot;:&quot;Occupancy modeling using population statistics and machine learning for urban residential built environment&quot;,&quot;author&quot;:[{&quot;family&quot;:&quot;Iseri&quot;,&quot;given&quot;:&quot;Orcun Koral&quot;,&quot;parse-names&quot;:false,&quot;dropping-particle&quot;:&quot;&quot;,&quot;non-dropping-particle&quot;:&quot;&quot;},{&quot;family&quot;:&quot;Dino&quot;,&quot;given&quot;:&quot;Ipek Gursel&quot;,&quot;parse-names&quot;:false,&quot;dropping-particle&quot;:&quot;&quot;,&quot;non-dropping-particle&quot;:&quot;&quot;},{&quot;family&quot;:&quot;Kalkan&quot;,&quot;given&quot;:&quot;Sinan&quot;,&quot;parse-names&quot;:false,&quot;dropping-particle&quot;:&quot;&quot;,&quot;non-dropping-particle&quot;:&quot;&quot;}],&quot;container-title&quot;:&quot;Energy and Buildings&quot;,&quot;container-title-short&quot;:&quot;Energy Build.&quot;,&quot;DOI&quot;:&quot;https://doi.org/10.1016/j.enbuild.2026.117155&quot;,&quot;ISSN&quot;:&quot;0378-7788&quot;,&quot;URL&quot;:&quot;https://www.sciencedirect.com/science/article/pii/S037877882600215X&quot;,&quot;issued&quot;:{&quot;date-parts&quot;:[[2026]]},&quot;page&quot;:&quot;117155&quot;,&quot;abstract&quot;:&quot;Occupancy modeling aims to represent the diversity of occupant behavior in buildings, thus, accurate modeling of occupancy is essential for understanding household dynamics and energy-related interactions in residential buildings, as well as for their use in building performance applications. The central contribution of this research is a novel, data-driven methodology for generating high-fidelity occupancy data called CENTUS. Our approach synthesizes official population statistics from ISTAT with nuanced behavioral patterns analyzed using advanced deep learning architectures (LSTM and Transformer). This framework enables the comprehensive, year-long classification of household occupancy across both temporal and non-temporal attributes. Through unified multitask learning that integrates sequential columns with demographic attributes, these models can simultaneously classify multiple occupancy attributes with superior accuracy and broader coverage compared to traditional deterministic and stochastic approaches. Our approach delivers three key advantages: ensures privacy protection through ethically sourced public institutional data; enables cross-national compatibility; and supports flexible scaling from individual residential units to neighborhood-level analysis via multiple modeling strategies including Argmax classification, SoftMax distributions, and temperature-controlled sampling.&quot;},&quot;isTemporary&quot;:false},{&quot;id&quot;:&quot;74ba7fdb-9f58-3df8-8788-e50f009cf083&quot;,&quot;itemData&quot;:{&quot;type&quot;:&quot;article-journal&quot;,&quot;id&quot;:&quot;74ba7fdb-9f58-3df8-8788-e50f009cf083&quot;,&quot;title&quot;:&quot;Model for electric load profiles with high time resolution for German households&quot;,&quot;author&quot;:[{&quot;family&quot;:&quot;Fischer&quot;,&quot;given&quot;:&quot;David&quot;,&quot;parse-names&quot;:false,&quot;dropping-particle&quot;:&quot;&quot;,&quot;non-dropping-particle&quot;:&quot;&quot;},{&quot;family&quot;:&quot;Härtl&quot;,&quot;given&quot;:&quot;Andreas&quot;,&quot;parse-names&quot;:false,&quot;dropping-particle&quot;:&quot;&quot;,&quot;non-dropping-particle&quot;:&quot;&quot;},{&quot;family&quot;:&quot;Wille-Haussmann&quot;,&quot;given&quot;:&quot;Bernhard&quot;,&quot;parse-names&quot;:false,&quot;dropping-particle&quot;:&quot;&quot;,&quot;non-dropping-particle&quot;:&quot;&quot;}],&quot;container-title&quot;:&quot;Energy and Buildings&quot;,&quot;container-title-short&quot;:&quot;Energy Build.&quot;,&quot;DOI&quot;:&quot;https://doi.org/10.1016/j.enbuild.2015.01.058&quot;,&quot;ISSN&quot;:&quot;0378-7788&quot;,&quot;URL&quot;:&quot;https://www.sciencedirect.com/science/article/pii/S0378778815000845&quot;,&quot;issued&quot;:{&quot;date-parts&quot;:[[2015]]},&quot;page&quot;:&quot;170-179&quot;,&quot;abstract&quot;:&quot;Approximately 27% of the European energy consumption is caused by the domestic sector, where 19% of the end use energy demand is caused by electric devices. To investigate the factors at play, a stochastic bottom-up model for the generation of electric load profiles is introduced in this paper. The model is designed for investigating the effects of occupant behaviour, appliance stock and efficiency on the electric load profile of an individual household. For each activity of a person in the household, an electric appliance is used, and its electricity consumption is linked to measured electric load traces with a time resolution of 10s. Probability distributions are incorporated for when and how often an appliance is operated. Duration of operation is given as probability density conditional on the start time. Shared use of an appliance by multiple persons is included in the model. Seasonal effects are considered by using changing probability sets during the course of the year. For validation, seven subgroups, which reflect typical household configurations, were formed and tested against measured field data from 430 households in 9 different cities across Germany. The results showed an accuracy of 91% and a correlation of up to 0.98.&quot;,&quot;volume&quot;:&quot;92&quot;},&quot;isTemporary&quot;:false}]},{&quot;citationID&quot;:&quot;MENDELEY_CITATION_de538152-e31e-47dc-9037-47187b232b8a&quot;,&quot;properties&quot;:{&quot;noteIndex&quot;:0},&quot;isEdited&quot;:false,&quot;manualOverride&quot;:{&quot;isManuallyOverridden&quot;:false,&quot;citeprocText&quot;:&quot;(Statistics Canada, 2012, 2022)&quot;,&quot;manualOverrideText&quot;:&quot;&quot;},&quot;citationTag&quot;:&quot;MENDELEY_CITATION_v3_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&quot;,&quot;citationItems&quot;:[{&quot;id&quot;:&quot;bdc9fb59-3332-3299-9d57-3ca8f2196bb3&quot;,&quot;itemData&quot;:{&quot;type&quot;:&quot;report&quot;,&quot;id&quot;:&quot;bdc9fb59-3332-3299-9d57-3ca8f2196bb3&quot;,&quot;title&quot;:&quot;2011 National Household Survey&quot;,&quot;author&quot;:[{&quot;family&quot;:&quot;Statistics Canada&quot;,&quot;given&quot;:&quot;&quot;,&quot;parse-names&quot;:false,&quot;dropping-particle&quot;:&quot;&quot;,&quot;non-dropping-particle&quot;:&quot;&quot;}],&quot;accessed&quot;:{&quot;date-parts&quot;:[[2026,2,15]]},&quot;URL&quot;:&quot;https://www12.statcan.gc.ca/nhs-enm/index-eng.cfm&quot;,&quot;issued&quot;:{&quot;date-parts&quot;:[[2012]]},&quot;container-title-short&quot;:&quot;&quot;},&quot;isTemporary&quot;:false},{&quot;id&quot;:&quot;d84598d5-ffe4-3bfb-bf5a-ceccb0cfa0e9&quot;,&quot;itemData&quot;:{&quot;type&quot;:&quot;report&quot;,&quot;id&quot;:&quot;d84598d5-ffe4-3bfb-bf5a-ceccb0cfa0e9&quot;,&quot;title&quot;:&quot;General Social Survey – Time Use (GSS)&quot;,&quot;author&quot;:[{&quot;family&quot;:&quot;Statistics Canada&quot;,&quot;given&quot;:&quot;&quot;,&quot;parse-names&quot;:false,&quot;dropping-particle&quot;:&quot;&quot;,&quot;non-dropping-particle&quot;:&quot;&quot;}],&quot;accessed&quot;:{&quot;date-parts&quot;:[[2026,2,15]]},&quot;URL&quot;:&quot;https://www150.statcan.gc.ca/n1/pub/45-25-0001/index-eng.htm&quot;,&quot;issued&quot;:{&quot;date-parts&quot;:[[2022]]},&quot;container-title-short&quot;:&quot;&quot;},&quot;isTemporary&quot;:false}]},{&quot;citationID&quot;:&quot;MENDELEY_CITATION_409a375f-1030-436e-a117-e2d40c8f4e06&quot;,&quot;properties&quot;:{&quot;noteIndex&quot;:0},&quot;isEdited&quot;:false,&quot;manualOverride&quot;:{&quot;isManuallyOverridden&quot;:false,&quot;citeprocText&quot;:&quot;(Statistics Canada, 2021)&quot;,&quot;manualOverrideText&quot;:&quot;&quot;},&quot;citationTag&quot;:&quot;MENDELEY_CITATION_v3_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&quot;,&quot;citationItems&quot;:[{&quot;id&quot;:&quot;ddc4eab7-7f4e-3385-a497-36f66eb00638&quot;,&quot;itemData&quot;:{&quot;type&quot;:&quot;report&quot;,&quot;id&quot;:&quot;ddc4eab7-7f4e-3385-a497-36f66eb00638&quot;,&quot;title&quot;:&quot;Guide to the Census of Population, 2021&quot;,&quot;author&quot;:[{&quot;family&quot;:&quot;Statistics Canada&quot;,&quot;given&quot;:&quot;&quot;,&quot;parse-names&quot;:false,&quot;dropping-particle&quot;:&quot;&quot;,&quot;non-dropping-particle&quot;:&quot;&quot;}],&quot;accessed&quot;:{&quot;date-parts&quot;:[[2026,2,15]]},&quot;URL&quot;:&quot;https://www12.statcan.gc.ca/census-recensement/2021/ref/98-304/98-304-x2021001-eng.pdf&quot;,&quot;issued&quot;:{&quot;date-parts&quot;:[[2021]]},&quot;container-title-short&quot;:&quot;&quot;},&quot;isTemporary&quot;:false}]},{&quot;citationID&quot;:&quot;MENDELEY_CITATION_88416988-8cdd-45b8-981e-2f4894e22adf&quot;,&quot;properties&quot;:{&quot;noteIndex&quot;:0},&quot;isEdited&quot;:false,&quot;manualOverride&quot;:{&quot;isManuallyOverridden&quot;:false,&quot;citeprocText&quot;:&quot;(Statistics Canada, 2022)&quot;,&quot;manualOverrideText&quot;:&quot;&quot;},&quot;citationTag&quot;:&quot;MENDELEY_CITATION_v3_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&quot;,&quot;citationItems&quot;:[{&quot;id&quot;:&quot;d84598d5-ffe4-3bfb-bf5a-ceccb0cfa0e9&quot;,&quot;itemData&quot;:{&quot;type&quot;:&quot;report&quot;,&quot;id&quot;:&quot;d84598d5-ffe4-3bfb-bf5a-ceccb0cfa0e9&quot;,&quot;title&quot;:&quot;General Social Survey – Time Use (GSS)&quot;,&quot;author&quot;:[{&quot;family&quot;:&quot;Statistics Canada&quot;,&quot;given&quot;:&quot;&quot;,&quot;parse-names&quot;:false,&quot;dropping-particle&quot;:&quot;&quot;,&quot;non-dropping-particle&quot;:&quot;&quot;}],&quot;accessed&quot;:{&quot;date-parts&quot;:[[2026,2,15]]},&quot;URL&quot;:&quot;https://www150.statcan.gc.ca/n1/pub/45-25-0001/index-eng.htm&quot;,&quot;issued&quot;:{&quot;date-parts&quot;:[[2022]]},&quot;container-title-short&quot;:&quot;&quot;},&quot;isTemporary&quot;:false}]},{&quot;citationID&quot;:&quot;MENDELEY_CITATION_2167bc64-c3c2-40f5-bb53-ba6c68c16579&quot;,&quot;properties&quot;:{&quot;noteIndex&quot;:0},&quot;isEdited&quot;:false,&quot;manualOverride&quot;:{&quot;isManuallyOverridden&quot;:false,&quot;citeprocText&quot;:&quot;(U.S. Department of Energy, 2022; Building Energy Codes Program, 2025)&quot;,&quot;manualOverrideText&quot;:&quot;&quot;},&quot;citationTag&quot;:&quot;MENDELEY_CITATION_v3_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&quot;,&quot;citationItems&quot;:[{&quot;id&quot;:&quot;0bf1c529-d96a-3078-ac28-3df2a2ffa22f&quot;,&quot;itemData&quot;:{&quot;type&quot;:&quot;report&quot;,&quot;id&quot;:&quot;0bf1c529-d96a-3078-ac28-3df2a2ffa22f&quot;,&quot;title&quot;:&quot;Commercial Reference Buildings. 16 common building types. Developed to comply with ASHRAE Standard 90.1 (2004, 2010, 2013, 2016, 2019)&quot;,&quot;author&quot;:[{&quot;family&quot;:&quot;U.S. Department of Energy&quot;,&quot;given&quot;:&quot;&quot;,&quot;parse-names&quot;:false,&quot;dropping-particle&quot;:&quot;&quot;,&quot;non-dropping-particle&quot;:&quot;&quot;}],&quot;accessed&quot;:{&quot;date-parts&quot;:[[2026,2,15]]},&quot;URL&quot;:&quot;https://www.energy.gov/eere/buildings/commercial-reference-buildings&quot;,&quot;issued&quot;:{&quot;date-parts&quot;:[[2022]]},&quot;container-title-short&quot;:&quot;&quot;},&quot;isTemporary&quot;:false},{&quot;id&quot;:&quot;c623c497-e32a-3d87-8a35-35cb59b30e2e&quot;,&quot;itemData&quot;:{&quot;type&quot;:&quot;report&quot;,&quot;id&quot;:&quot;c623c497-e32a-3d87-8a35-35cb59b30e2e&quot;,&quot;title&quot;:&quot;Prototype Building Models — IECC Residential&quot;,&quot;author&quot;:[{&quot;family&quot;:&quot;Building Energy Codes Program&quot;,&quot;given&quot;:&quot;&quot;,&quot;parse-names&quot;:false,&quot;dropping-particle&quot;:&quot;&quot;,&quot;non-dropping-particle&quot;:&quot;&quot;}],&quot;accessed&quot;:{&quot;date-parts&quot;:[[2026,2,15]]},&quot;URL&quot;:&quot;https://www.energycodes.gov/prototype-building-models#Residential&quot;,&quot;issued&quot;:{&quot;date-parts&quot;:[[2025]]},&quot;container-title-short&quot;:&quot;&quot;},&quot;isTemporary&quot;:false}]},{&quot;citationID&quot;:&quot;MENDELEY_CITATION_3af593cf-6f4b-45fc-8d27-a5c467b14f3b&quot;,&quot;properties&quot;:{&quot;noteIndex&quot;:0},&quot;isEdited&quot;:false,&quot;manualOverride&quot;:{&quot;isManuallyOverridden&quot;:false,&quot;citeprocText&quot;:&quot;(Mostapha Sadeghipour Roudsari, 2025; National Renewable Energy Laboratory, 2025)&quot;,&quot;manualOverrideText&quot;:&quot;&quot;},&quot;citationTag&quot;:&quot;MENDELEY_CITATION_v3_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&quot;,&quot;citationItems&quot;:[{&quot;id&quot;:&quot;697bf8c4-723f-3dbd-93ed-4af2d8a03efa&quot;,&quot;itemData&quot;:{&quot;type&quot;:&quot;report&quot;,&quot;id&quot;:&quot;697bf8c4-723f-3dbd-93ed-4af2d8a03efa&quot;,&quot;title&quot;:&quot;OpenStudio Standards Gem&quot;,&quot;author&quot;:[{&quot;family&quot;:&quot;National Renewable Energy Laboratory&quot;,&quot;given&quot;:&quot;&quot;,&quot;parse-names&quot;:false,&quot;dropping-particle&quot;:&quot;&quot;,&quot;non-dropping-particle&quot;:&quot;&quot;}],&quot;accessed&quot;:{&quot;date-parts&quot;:[[2026,2,15]]},&quot;URL&quot;:&quot;https://github.com/NREL/openstudio-standards&quot;,&quot;issued&quot;:{&quot;date-parts&quot;:[[2025]]},&quot;container-title-short&quot;:&quot;&quot;},&quot;isTemporary&quot;:false},{&quot;id&quot;:&quot;07c1b6f6-384e-369f-98a7-3c0de91e9e6d&quot;,&quot;itemData&quot;:{&quot;type&quot;:&quot;report&quot;,&quot;id&quot;:&quot;07c1b6f6-384e-369f-98a7-3c0de91e9e6d&quot;,&quot;title&quot;:&quot;Honeybee Energy Standards — Schedule Library&quot;,&quot;author&quot;:[{&quot;family&quot;:&quot;Mostapha Sadeghipour Roudsari&quot;,&quot;given&quot;:&quot;Chris Mackey&quot;,&quot;parse-names&quot;:false,&quot;dropping-particle&quot;:&quot;&quot;,&quot;non-dropping-particle&quot;:&quot;&quot;}],&quot;accessed&quot;:{&quot;date-parts&quot;:[[2026,2,15]]},&quot;URL&quot;:&quot;https://github.com/ladybug-tools/honeybee-energy-standards&quot;,&quot;issued&quot;:{&quot;date-parts&quot;:[[2025]]},&quot;container-title-short&quot;:&quot;&quot;},&quot;isTemporary&quot;:false}]}]"/>
    <we:property name="MENDELEY_CITATIONS_LOCALE_CODE" value="&quot;en-US&quot;"/>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F7841E9E8056459E70E2B9ADEA6C2C" ma:contentTypeVersion="13" ma:contentTypeDescription="Crée un document." ma:contentTypeScope="" ma:versionID="f03af0a8fef96eb906a79074cc662704">
  <xsd:schema xmlns:xsd="http://www.w3.org/2001/XMLSchema" xmlns:xs="http://www.w3.org/2001/XMLSchema" xmlns:p="http://schemas.microsoft.com/office/2006/metadata/properties" xmlns:ns2="eb741997-e9b2-408a-ad24-bbce4d397e8a" xmlns:ns3="21dbe085-6a76-4379-8095-736e29d3a6cc" targetNamespace="http://schemas.microsoft.com/office/2006/metadata/properties" ma:root="true" ma:fieldsID="2a0c8c5f6e05d2e0871e2caf6cc18d9d" ns2:_="" ns3:_="">
    <xsd:import namespace="eb741997-e9b2-408a-ad24-bbce4d397e8a"/>
    <xsd:import namespace="21dbe085-6a76-4379-8095-736e29d3a6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41997-e9b2-408a-ad24-bbce4d397e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264a842-8adc-43f3-ad4e-91e5e271ce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dbe085-6a76-4379-8095-736e29d3a6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699cb47-6b1c-4130-8837-ba30912626d3}" ma:internalName="TaxCatchAll" ma:showField="CatchAllData" ma:web="21dbe085-6a76-4379-8095-736e29d3a6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b741997-e9b2-408a-ad24-bbce4d397e8a">
      <Terms xmlns="http://schemas.microsoft.com/office/infopath/2007/PartnerControls"/>
    </lcf76f155ced4ddcb4097134ff3c332f>
    <TaxCatchAll xmlns="21dbe085-6a76-4379-8095-736e29d3a6cc"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jy2RI1l15bak6auD75f8SVSooqWw==">AMUW2mWZAotBYOusERWO3yntorIOUY3Bptp3BMo3+hPVeaGs6LWmu65HYQ1H7lA8J6r3L8waTTyJVqay7IUI30q1HXEihaj7gRw5RW8+yREwGNUQLFIAdqY=</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CFCDA-8339-4893-AA6E-CA5560921C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741997-e9b2-408a-ad24-bbce4d397e8a"/>
    <ds:schemaRef ds:uri="21dbe085-6a76-4379-8095-736e29d3a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37CDDB-934F-444C-8BE7-2E856D50CBE4}">
  <ds:schemaRefs>
    <ds:schemaRef ds:uri="http://schemas.microsoft.com/sharepoint/v3/contenttype/forms"/>
  </ds:schemaRefs>
</ds:datastoreItem>
</file>

<file path=customXml/itemProps3.xml><?xml version="1.0" encoding="utf-8"?>
<ds:datastoreItem xmlns:ds="http://schemas.openxmlformats.org/officeDocument/2006/customXml" ds:itemID="{93C9C2D3-EB8B-4722-85EE-AC2570466F2D}">
  <ds:schemaRefs>
    <ds:schemaRef ds:uri="http://schemas.microsoft.com/office/2006/metadata/properties"/>
    <ds:schemaRef ds:uri="http://schemas.microsoft.com/office/infopath/2007/PartnerControls"/>
    <ds:schemaRef ds:uri="eb741997-e9b2-408a-ad24-bbce4d397e8a"/>
    <ds:schemaRef ds:uri="21dbe085-6a76-4379-8095-736e29d3a6c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42FFD294-5A8B-514D-B936-BA5387AA8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4864</Words>
  <Characters>27727</Characters>
  <Application>Microsoft Office Word</Application>
  <DocSecurity>0</DocSecurity>
  <Lines>231</Lines>
  <Paragraphs>65</Paragraphs>
  <ScaleCrop>false</ScaleCrop>
  <Company/>
  <LinksUpToDate>false</LinksUpToDate>
  <CharactersWithSpaces>32526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Charlie Shields</dc:creator>
  <cp:lastModifiedBy>Orçun Koral Iseri</cp:lastModifiedBy>
  <cp:revision>2</cp:revision>
  <dcterms:created xsi:type="dcterms:W3CDTF">2026-02-27T16:39:00Z</dcterms:created>
  <dcterms:modified xsi:type="dcterms:W3CDTF">2026-02-27T16:39:00Z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0x0101003DF7841E9E8056459E70E2B9ADEA6C2C</vt:lpwstr>
  </property>
</Properties>
</file>