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Table 4.</w:t>
      </w:r>
      <w:r>
        <w:t xml:space="preserve"> </w:t>
      </w:r>
      <w:r>
        <w:t xml:space="preserve">- Validation gate set.</w:t>
      </w:r>
    </w:p>
    <w:p>
      <w:pPr>
        <w:pStyle w:val="BodyText"/>
      </w:pPr>
      <w:r>
        <w:t xml:space="preserve">Gates applied across Steps 4-9 of the four-channel pipeline reported here. The Provenance column classifies</w:t>
      </w:r>
      <w:r>
        <w:t xml:space="preserve"> </w:t>
      </w:r>
      <w:r>
        <w:t xml:space="preserve">every threshold as exactly one of three kinds. This distinction is load-bearing for the paper’s</w:t>
      </w:r>
      <w:r>
        <w:t xml:space="preserve"> </w:t>
      </w:r>
      <w:r>
        <w:t xml:space="preserve">honesty: a project-chosen threshold is not literature, and must never be cited as if it were.</w:t>
      </w:r>
    </w:p>
    <w:bookmarkStart w:id="40" w:name="X85fdb11444a8eec7888fc04692e2a8796ca1ed5"/>
    <w:p>
      <w:pPr>
        <w:pStyle w:val="Heading2"/>
      </w:pPr>
      <w:r>
        <w:t xml:space="preserve">(a) Tiered gates - Tier 1 distributional / Tier 2 structural / Tier 3 ASHRAE G14</w:t>
      </w:r>
    </w:p>
    <w:p>
      <w:pPr>
        <w:pStyle w:val="FirstParagraph"/>
      </w:pPr>
      <w:r>
        <w:t xml:space="preserve">Applied per day-type, to AT_RETAIL exactly as to AT_WORK in the two-channel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Tier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Threshold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Provenance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 Distributional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KL divergence (arrival / departure)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&lt; 0.05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 Distributional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1-Wasserstein / EMD on hourly presence CDF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&lt; 0.05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 Distributional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Presence-rate RMS error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≤ 5 pp per day-type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 Structural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Transition-matrix Frobenius / MAE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&lt; 0.05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 Structural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Dwell-time KS test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 &gt; 0.05 (fail to reject H₀)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 Structural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Autocorrelation MAE, lags 1-24 h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&lt; 0.05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 Downstream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NMBE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monthly ±5 %, hourly ±10 %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ASHRAE Guideline 14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 Downstream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CV(RMSE)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monthly 15 %, hourly 30 %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ASHRAE Guideline 14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 Downstream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Peak demand magnitude + timing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magnitude ±15 %; timing ≤ 1 h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</w:tbl>
    <w:bookmarkEnd w:id="40"/>
    <w:bookmarkStart w:id="41" w:name="b-channel-specific-gates"/>
    <w:p>
      <w:pPr>
        <w:pStyle w:val="Heading2"/>
      </w:pPr>
      <w:r>
        <w:t xml:space="preserve">(b) Channel-specific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Layer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Check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Target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Provenance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 mapping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AT_RETAIL rate, weekday 12:00-14:00, per cycle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0.06-0.10 (central ≈ 0.079)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 mapping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Saturday peak rate, 13:00-16:00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0.09-0.12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 mapping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Sunday peak rate, per city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Calgary 0.06-0.10 / Montreal 0.04-0.07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 mapping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Night slots 00:00-05:00, all day-types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0.000-0.003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OR-rule leak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Online shopping, excluded from AT_RETAIL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rule fixed before training; cross-tab still reported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Transformer (JS)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JS(AT_WORK), JS(AT_RETAIL) per stratum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&lt; 0.02 each, paired with PR-AUC / F1 below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Transformer (Resolution)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PR-AUC and F1 on positive slots, AT_RETAIL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PR-AUC ≥ 0.15; F1 ≥ 0.25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heuristic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Transformer (Dynamics)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Midday (11-14 h) rate error and transitions/day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error ≤ 3.0 pp; transitions ≥ 0.05/day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Transformer (Regression)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Head 1 and Head 2 JS drift</w:t>
            </w:r>
          </w:p>
        </w:tc>
        <w:tc>
          <w:tcPr/>
          <w:p>
            <w:pPr>
              <w:spacing w:after="0" w:line="240" w:lineRule="auto"/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≤</m:t>
              </m:r>
              <m:r>
                <m:t>0.002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bits vs the two-channel baseline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Transformer (Exclusivity)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Impossible-State Rate (ISR), slots with more than one channel active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≤ 0.5 % raw; 0 % after projection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Hotel backcast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QC and AB monthly 2015-2019 vs reconstruction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MAE &lt; 0.05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Hotel COVID dip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2020-04 reconstruction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recovered without overshoot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BEM end-to-end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Default vs 2022, Montreal SuperTall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EUI delta positive; office and hotel dominant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Floor-area sanity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Per-channel EUI share vs parsed occupiable share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± 2 pp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</w:tbl>
    <w:bookmarkEnd w:id="41"/>
    <w:bookmarkStart w:id="42" w:name="c-wiring-and-differentiation-gates"/>
    <w:p>
      <w:pPr>
        <w:pStyle w:val="Heading2"/>
      </w:pPr>
      <w:r>
        <w:t xml:space="preserve">(c) Wiring and differentiation gates</w:t>
      </w:r>
    </w:p>
    <w:p>
      <w:pPr>
        <w:pStyle w:val="FirstParagraph"/>
      </w:pPr>
      <w:r>
        <w:t xml:space="preserve">Made mandatory because the two-channel stage’s occupancy-field wiring defect passed every input-side</w:t>
      </w:r>
      <w:r>
        <w:t xml:space="preserve"> </w:t>
      </w:r>
      <w:r>
        <w:t xml:space="preserve">check and was caught only on the output side (§3.5).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Layer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Check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Target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Provenance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Wiring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Post-injection field-reference assertion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100 % of modulated Spaces pass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Simulation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Scenario-differentiation probe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Outputs differ across ≥ 2 scenarios; byte-identical = FAIL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project-chosen</w:t>
            </w:r>
          </w:p>
        </w:tc>
      </w:tr>
    </w:tbl>
    <w:bookmarkEnd w:id="42"/>
    <w:bookmarkStart w:id="50" w:name="threshold-provenance"/>
    <w:p>
      <w:pPr>
        <w:pStyle w:val="Heading2"/>
      </w:pPr>
      <w:r>
        <w:t xml:space="preserve">Threshold provenance</w:t>
      </w:r>
    </w:p>
    <w:p>
      <w:pPr>
        <w:pStyle w:val="FirstParagraph"/>
      </w:pPr>
      <w:r>
        <w:t xml:space="preserve">Only two thresholds in this set are literature values, and only they may be cited as such: the NMBE</w:t>
      </w:r>
      <w:r>
        <w:t xml:space="preserve"> </w:t>
      </w:r>
      <w:r>
        <w:t xml:space="preserve">limits of 5 % monthly and 10 % hourly, and the CV(RMSE) limits of 15 % monthly and 30 % hourly, both</w:t>
      </w:r>
      <w:r>
        <w:t xml:space="preserve"> </w:t>
      </w:r>
      <w:r>
        <w:t xml:space="preserve">from ASHRAE Guideline 14. Two more are heuristic, the PR-AUC bar of 0.15 and the F1 bar of 0.25, adopted</w:t>
      </w:r>
      <w:r>
        <w:t xml:space="preserve"> </w:t>
      </w:r>
      <w:r>
        <w:t xml:space="preserve">to catch an all-zeros failure mode and flagged as heuristic rather than literature-derived by this</w:t>
      </w:r>
      <w:r>
        <w:t xml:space="preserve"> </w:t>
      </w:r>
      <w:r>
        <w:t xml:space="preserve">project’s own architecture and training reviews. Every other threshold above is project-chosen and was</w:t>
      </w:r>
      <w:r>
        <w:t xml:space="preserve"> </w:t>
      </w:r>
      <w:r>
        <w:t xml:space="preserve">set before any tuning: the family of 0.05 tolerances on divergence, transition-matrix and</w:t>
      </w:r>
      <w:r>
        <w:t xml:space="preserve"> </w:t>
      </w:r>
      <w:r>
        <w:t xml:space="preserve">autocorrelation error, the presence-rate limit of 5 percentage points, the dwell-time test level, the</w:t>
      </w:r>
      <w:r>
        <w:t xml:space="preserve"> </w:t>
      </w:r>
      <w:r>
        <w:t xml:space="preserve">peak magnitude and timing gate, the retail rate family, the OR-rule freeze, the Jensen-Shannon pairing</w:t>
      </w:r>
      <w:r>
        <w:t xml:space="preserve"> </w:t>
      </w:r>
      <w:r>
        <w:t xml:space="preserve">and drift gates, the midday-dynamics gate, the impossible-state bar, the hotel backcast and</w:t>
      </w:r>
      <w:r>
        <w:t xml:space="preserve"> </w:t>
      </w:r>
      <w:r>
        <w:t xml:space="preserve">COVID-recovery checks, the decode thresholds of 0.50, 0.40 and 0.15, the wiring and differentiation</w:t>
      </w:r>
      <w:r>
        <w:t xml:space="preserve"> </w:t>
      </w:r>
      <w:r>
        <w:t xml:space="preserve">gates, and the EUI-share gate of 2 percentage points. These are project acceptance bars, not literature</w:t>
      </w:r>
      <w:r>
        <w:t xml:space="preserve"> </w:t>
      </w:r>
      <w:r>
        <w:t xml:space="preserve">values.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- Sixteen limitations and bounding measurements.</w:t>
      </w:r>
    </w:p>
    <w:p>
      <w:pPr>
        <w:pStyle w:val="BodyText"/>
      </w:pPr>
      <w:r>
        <w:t xml:space="preserve">The Discussion carries the deciding statements in full; the wording here is condensed to fit a cell.</w:t>
      </w:r>
      <w:r>
        <w:t xml:space="preserve"> </w:t>
      </w:r>
      <w:r>
        <w:t xml:space="preserve">No verdict is paraphrased and every number is the source’s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Group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Statement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Bounding measurement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Frame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Hotel guests are outside the survey frame; the channel is driven by a tourism series.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survey observes 0 % of hotel occupancy: 3 of 4 channels time-use-driven, 1 series-driven.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L2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Frame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Retail sees customers only; staff are logged as at work.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0 % of retail staff presence enters the signal, and 0 % of retail plug load is modulated by it.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L3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Frame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Residential intra-household diversity is partial; the stronger claim of exactly zero is falsified.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3,499 of 16,367 multi-person households, 21.38 %, carry a slot value outside 0, 0.5 and 1.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L4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bands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office floor is contested and unsourced; the gate is a band-applicability finding.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uninjected control scores 85.45 against a floor of 100. Two mechanisms refuted; the source gives three floors for itself.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bands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hotel band is archetype- and city-mismatched.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284.44 and 299.28 kWh/m2/yr. FAIL on 28 of 56 cells, all Tall, all over the 300 ceiling; range 203.33-318.42.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L6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bands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stacked-channel explanation for low hotel EUI was tested and refuted; it is cited nowhere.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Wrong in sign and order in 56 of 56 cells. Exposure takes 2 values across the campaign, not 56.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L7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bands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Retail is validated on shape, not level; no time-of-day in-store reference exists.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Median 75.63 against a floor of 80, 5.47 % below, 44 of 56 cells under. The rate gate is informational.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L8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Reference bands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Residential has no as-modelled band; the survey high-rise figure is context only.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130.6 kWh/m2/yr over 113.9-147.2, never a pass criterion.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L9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Internal gains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Retail runs on the code’s office occupant density, not its retail figure.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24.97 against 29.97 m2/person, so retail is roughly 20 % over-crowded.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L10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Internal gains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Equipment power density is one blanket value; lighting is differentiated.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7.5028 W/m2 on every space type in both towers.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L11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Internal gains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retail peak of 0.95 has no source, and the code’s retail schedule was never loaded.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tower carries the office curve, peak 0.90 with a 0.50 lunch dip, times 0.95: 18.75 % hot on the wrong shape.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L12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Method conventions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minimum pool size of 15 is an analyst judgement, presented as one.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anchor previously cited gives 5. The gate is non-monotonic: fails at 10, passes at 11-20, fails at 30.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L13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Method conventions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Household aggregation is the mean, a decision rather than an inheritance.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Three construction stages, three implementations; this one verified against its own code.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L14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Method conventions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retail episode-time share declines across cycles; the earlier stable claim was a documentation defect.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2.00 %, 2.14 %, 1.66 %, 1.50 %, a 25 % decline that three other national series confirm as normal.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L15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Physical model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Ground-level weather on a supertall tower; the one item with no bounding measurement.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Not quantified. No altitudinal temperature or wind-speed gradient is represented.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L16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Physical model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The hotel hot-water plant is capacity-pinned on one object, and a global fix does not correct it.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Slope -0.98 against draw volume. A global factor of 6 moved that object’s share from 26.7 % to 65.4 % by reweighting alone.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A1.</w:t>
      </w:r>
      <w:r>
        <w:t xml:space="preserve"> </w:t>
      </w:r>
      <w:r>
        <w:t xml:space="preserve">- Model card, three-head Transformer.</w:t>
      </w:r>
    </w:p>
    <w:bookmarkStart w:id="43" w:name="a1.1-architecture"/>
    <w:p>
      <w:pPr>
        <w:pStyle w:val="Heading3"/>
      </w:pPr>
      <w:r>
        <w:t xml:space="preserve">A1.1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Component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Specification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Backbone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Shared multi-head Transformer encoder-decoder, kept from the two-channel stage with targeted upgrades rather than replaced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Encoder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6 layers, model width 256, 8 attention heads, approximately 29M parameters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Activity arm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Autoregressive decoder, 14 activity classes, 48 half-hour slots per day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Head 1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Residential presence, unchanged from the earlier stages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Head 2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Office presence, unchanged from the two-channel stage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Head 3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Retail presence, new in this study; mirrors Head 2 off the same fused representation, with the activity arm’s gradient barrier untouched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Co-presence head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9-channel co-presence, unmodified by the retail addition</w:t>
            </w:r>
          </w:p>
        </w:tc>
      </w:tr>
    </w:tbl>
    <w:bookmarkEnd w:id="43"/>
    <w:bookmarkStart w:id="44" w:name="a1.2-conditioning-vector-width-120"/>
    <w:p>
      <w:pPr>
        <w:pStyle w:val="Heading3"/>
      </w:pPr>
      <w:r>
        <w:t xml:space="preserve">A1.2 Conditioning vector (width 120)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Covariate group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Encoding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Demographics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One embedding per categorical field, concatenated and projected; 14 census fields plus the occupation, telework and work-schedule set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Day-type stratum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Embedding over three strata; drives diurnal shape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Cycle year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Continuous projection, never categorical, so the model extrapolates to an unseen 2030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Collection mode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Low-capacity embedding, deliberately too small to leak physical signal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Retail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No retail-specific conditioning is added: retail presence is population-behavioural, not occupation-gated</w:t>
            </w:r>
          </w:p>
        </w:tc>
      </w:tr>
    </w:tbl>
    <w:p>
      <w:pPr>
        <w:pStyle w:val="BodyText"/>
      </w:pPr>
      <w:r>
        <w:t xml:space="preserve">The width grew from 119 to 120 between the two stages because one demographic field gained a</w:t>
      </w:r>
      <w:r>
        <w:t xml:space="preserve"> </w:t>
      </w:r>
      <w:r>
        <w:t xml:space="preserve">missing-value category, an independent data-pipeline fix rather than part of the retail addition.</w:t>
      </w:r>
    </w:p>
    <w:bookmarkEnd w:id="44"/>
    <w:bookmarkStart w:id="45" w:name="a1.3-training-regimen"/>
    <w:p>
      <w:pPr>
        <w:pStyle w:val="Heading3"/>
      </w:pPr>
      <w:r>
        <w:t xml:space="preserve">A1.3 Training regimen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Item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Value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Loss weights, residential : office : retail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1.0 : 0.5 : 0.3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Scalarization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Fixed-weight; dynamic weighters rejected as unstable on a task with about 2 % positives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Gradient surgery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PCGrad, pairwise across the three tasks, joint phase only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Class imbalance, retail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Positive-class weight 49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Inference logit shift</w:t>
            </w:r>
          </w:p>
        </w:tc>
        <w:tc>
          <w:tcPr/>
          <w:p>
            <w:pPr>
              <w:spacing w:after="0" w:line="240" w:lineRule="auto"/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49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3.89</m:t>
              </m:r>
            </m:oMath>
            <w:r>
              <w:rPr>
                <w:sz w:val="20"/>
                <w:szCs w:val="20"/>
              </w:rPr>
              <w:t xml:space="preserve">, applied at decode only, never during training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Warmup phase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5 epochs, Head 3 only trainable, learning rate 1e-3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Joint phase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15 epochs, all parameters trainable, learning rate 1e-4, PCGrad on, early stopping on the gate set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Dropout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0.1, attention and residual only, never on output projections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Weight decay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1e-4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Label smoothing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Disabled; it distorts calibration on this task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Diary augmentation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None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Batch composition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Stratified 50 % weekday, 25 % Saturday, 25 % Sunday, inverse-cycle-frequency weighted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Survey weights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Applied inside the loss, clipped at the 99th percentile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Selection rule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Gate-first, then maximize retail F1 among survivors; no composite score. The shipped checkpoint deviates from this rule, as disclosed in §3.2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Shipped scorecard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147 PASS / 18 WARN / 1 FAIL; the single FAIL is a day-type ordering check pre-existing in the two-channel baseline, with no new failure introduced</w:t>
            </w:r>
          </w:p>
        </w:tc>
      </w:tr>
    </w:tbl>
    <w:p>
      <w:pPr>
        <w:pStyle w:val="BodyText"/>
      </w:pPr>
      <w:r>
        <w:t xml:space="preserve">The design value of the positive-class weight is 49; the training split’s measured positive rate implies</w:t>
      </w:r>
      <w:r>
        <w:t xml:space="preserve"> </w:t>
      </w:r>
      <w:r>
        <w:t xml:space="preserve">50.1056. The shipped model trains on 49.</w:t>
      </w:r>
    </w:p>
    <w:bookmarkEnd w:id="45"/>
    <w:bookmarkStart w:id="49" w:name="a1.4-decoding"/>
    <w:p>
      <w:pPr>
        <w:pStyle w:val="Heading3"/>
      </w:pPr>
      <w:r>
        <w:t xml:space="preserve">A1.4 Decoding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Item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Value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Sampling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Temperature 0.7 with nucleus sampling at 0.9; the two-channel stage used 0.8 with no nucleus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Minimum dwell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At least 2 slots, 60 minutes, for work and retail events, applied after the exclusivity projection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Decision thresholds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0.50 residential, 0.40 office, 0.15 retail, derived on validation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Exclusivity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Threshold-normalized argmax: a slot over threshold on more than one channel keeps only the channel with the largest threshold-normalized probability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Impossible-state rate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At most 0.5 % on raw output; 0 % on the injected schedules by construction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Rejected alternative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A categorical location head, which crushes the 2 % retail class and couples calibration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A2.</w:t>
      </w:r>
      <w:r>
        <w:t xml:space="preserve"> </w:t>
      </w:r>
      <w:r>
        <w:t xml:space="preserve">- AT_RETAIL codebook per GSS cycle.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GSS cycle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Raw variable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Codes mapped to the unified shopping location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Status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2005 (C19)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PLACE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06 grocery and 07 other store or mall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2010 (C24)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PLACE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06 and 07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2015 (C29)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306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2022 (GSSP)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LOCATION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3306</w:t>
            </w:r>
          </w:p>
        </w:tc>
        <w:tc>
          <w:tcPr/>
          <w:p>
            <w:pPr>
              <w:spacing w:after="0" w:line="240" w:lineRule="auto"/>
              <w:pStyle w:val="Compact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pStyle w:val="BodyText"/>
      </w:pPr>
      <w:r>
        <w:t xml:space="preserve">In 2005 and 2010 two source codes are combined into one unified value; in 2015 and 2022 the single code</w:t>
      </w:r>
      <w:r>
        <w:t xml:space="preserve"> </w:t>
      </w:r>
      <w:r>
        <w:t xml:space="preserve">is already a merged grocery and general-merchandise bucket at the source. Grocery and general</w:t>
      </w:r>
      <w:r>
        <w:t xml:space="preserve"> </w:t>
      </w:r>
      <w:r>
        <w:t xml:space="preserve">merchandise are therefore not separable in the two later cycles, which is why the retail channel uses a</w:t>
      </w:r>
      <w:r>
        <w:t xml:space="preserve"> </w:t>
      </w:r>
      <w:r>
        <w:t xml:space="preserve">single retail archetype.</w:t>
      </w:r>
    </w:p>
    <w:p>
      <w:pPr>
        <w:pStyle w:val="CaptionedFigure"/>
      </w:pPr>
      <w:r>
        <w:drawing>
          <wp:inline>
            <wp:extent cx="5334000" cy="2074333"/>
            <wp:effectExtent b="0" l="0" r="0" t="0"/>
            <wp:docPr descr="Figure S3" title="" id="47" name="Picture"/>
            <a:graphic>
              <a:graphicData uri="http://schemas.openxmlformats.org/drawingml/2006/picture">
                <pic:pic>
                  <pic:nvPicPr>
                    <pic:cNvPr descr="figures/SI/Figure_S03_leg2_pipe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</w:t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- Two-channel construction-stage pipeline.</w:t>
      </w:r>
    </w:p>
    <w:bookmarkEnd w:id="49"/>
    <w:bookmarkEnd w:id="50"/>
    <w:bookmarkEnd w:id="51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 w:line="240" w:lineRule="auto"/>
      <w:jc w:val="center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t>1</w:t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both"/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000000"/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color w:val="000000"/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000000"/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color w:val="000000"/>
      <w:rFonts w:cstheme="majorBidi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jc w:val="both"/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000000"/>
      <w:sz w:val="32"/>
      <w:szCs w:val="32"/>
      <w:rFonts w:ascii="Times New Roman" w:cs="Times New Roman" w:eastAsia="Times New Roman" w:hAnsi="Times New Roman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000000"/>
      <w:sz w:val="28"/>
      <w:szCs w:val="28"/>
      <w:rFonts w:ascii="Times New Roman" w:cs="Times New Roman" w:eastAsia="Times New Roman" w:hAnsi="Times New Roman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000000"/>
      <w:sz w:val="24"/>
      <w:szCs w:val="24"/>
      <w:rFonts w:ascii="Times New Roman" w:cs="Times New Roman" w:eastAsia="Times New Roman" w:hAnsi="Times New Roman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color w:val="000000"/>
      <w:sz w:val="22"/>
      <w:szCs w:val="22"/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color w:val="000000"/>
      <w:sz w:val="22"/>
      <w:szCs w:val="22"/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color w:val="000000"/>
      <w:sz w:val="22"/>
      <w:szCs w:val="22"/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color w:val="000000"/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color w:val="000000"/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color w:val="000000"/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color w:val="000000"/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color w:val="000000"/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color w:val="000000"/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jc w:val="both"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line="240" w:lineRule="auto"/>
      <w:jc w:val="center"/>
      <w:spacing w:after="120" w:before="0"/>
    </w:pPr>
    <w:rPr>
      <w:sz w:val="20"/>
      <w:szCs w:val="20"/>
      <w:i/>
    </w:rPr>
  </w:style>
  <w:style w:customStyle="1" w:styleId="TableCaption" w:type="paragraph">
    <w:name w:val="Table Caption"/>
    <w:basedOn w:val="Caption"/>
    <w:pPr>
      <w:spacing w:after="0" w:line="240" w:lineRule="auto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  <w:szCs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Relationship Id="rId31" Target="footer1.xml" Type="http://schemas.openxmlformats.org/officeDocument/2006/relationships/footer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2026-08-12T00:40:12Z</dcterms:created>
  <dcterms:modified xsi:type="dcterms:W3CDTF">2026-08-12T00:40:12Z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