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Table 4.</w:t>
      </w:r>
      <w:r>
        <w:t xml:space="preserve"> </w:t>
      </w:r>
      <w:r>
        <w:t xml:space="preserve">- Validation gate set.</w:t>
      </w:r>
    </w:p>
    <w:p>
      <w:pPr>
        <w:pStyle w:val="BodyText"/>
      </w:pPr>
      <w:r>
        <w:t xml:space="preserve">Gates applied across Steps 4-9 of the four-channel pipeline reported here. The Provenance column classifies</w:t>
      </w:r>
      <w:r>
        <w:t xml:space="preserve"> </w:t>
      </w:r>
      <w:r>
        <w:t xml:space="preserve">every threshold as exactly one of three kinds. This distinction is load-bearing for the paper’s</w:t>
      </w:r>
      <w:r>
        <w:t xml:space="preserve"> </w:t>
      </w:r>
      <w:r>
        <w:t xml:space="preserve">honesty: a project-chosen threshold is not literature, and must never be cited as if it were.</w:t>
      </w:r>
    </w:p>
    <w:bookmarkStart w:id="40" w:name="X85fdb11444a8eec7888fc04692e2a8796ca1ed5"/>
    <w:p>
      <w:pPr>
        <w:pStyle w:val="Heading2"/>
      </w:pPr>
      <w:r>
        <w:t xml:space="preserve">(a) Tiered gates - Tier 1 distributional / Tier 2 structural / Tier 3 ASHRAE G14</w:t>
      </w:r>
    </w:p>
    <w:p>
      <w:pPr>
        <w:pStyle w:val="FirstParagraph"/>
      </w:pPr>
      <w:r>
        <w:t xml:space="preserve">Applied per day-type, to AT_RETAIL exactly as to AT_WORK in the two-channel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Distributional</w:t>
            </w:r>
          </w:p>
        </w:tc>
        <w:tc>
          <w:tcPr/>
          <w:p>
            <w:pPr>
              <w:pStyle w:val="Compact"/>
            </w:pPr>
            <w:r>
              <w:t xml:space="preserve">KL divergence (arrival / departure)</w:t>
            </w:r>
          </w:p>
        </w:tc>
        <w:tc>
          <w:tcPr/>
          <w:p>
            <w:pPr>
              <w:pStyle w:val="Compact"/>
            </w:pPr>
            <w:r>
              <w:t xml:space="preserve">&lt; 0.05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Distributional</w:t>
            </w:r>
          </w:p>
        </w:tc>
        <w:tc>
          <w:tcPr/>
          <w:p>
            <w:pPr>
              <w:pStyle w:val="Compact"/>
            </w:pPr>
            <w:r>
              <w:t xml:space="preserve">1-Wasserstein / EMD on hourly presence CDF</w:t>
            </w:r>
          </w:p>
        </w:tc>
        <w:tc>
          <w:tcPr/>
          <w:p>
            <w:pPr>
              <w:pStyle w:val="Compact"/>
            </w:pPr>
            <w:r>
              <w:t xml:space="preserve">&lt; 0.05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Distributional</w:t>
            </w:r>
          </w:p>
        </w:tc>
        <w:tc>
          <w:tcPr/>
          <w:p>
            <w:pPr>
              <w:pStyle w:val="Compact"/>
            </w:pPr>
            <w:r>
              <w:t xml:space="preserve">Presence-rate RMS error</w:t>
            </w:r>
          </w:p>
        </w:tc>
        <w:tc>
          <w:tcPr/>
          <w:p>
            <w:pPr>
              <w:pStyle w:val="Compact"/>
            </w:pPr>
            <w:r>
              <w:t xml:space="preserve">≤ 5 pp per day-type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Structural</w:t>
            </w:r>
          </w:p>
        </w:tc>
        <w:tc>
          <w:tcPr/>
          <w:p>
            <w:pPr>
              <w:pStyle w:val="Compact"/>
            </w:pPr>
            <w:r>
              <w:t xml:space="preserve">Transition-matrix Frobenius / MAE</w:t>
            </w:r>
          </w:p>
        </w:tc>
        <w:tc>
          <w:tcPr/>
          <w:p>
            <w:pPr>
              <w:pStyle w:val="Compact"/>
            </w:pPr>
            <w:r>
              <w:t xml:space="preserve">&lt; 0.05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Structural</w:t>
            </w:r>
          </w:p>
        </w:tc>
        <w:tc>
          <w:tcPr/>
          <w:p>
            <w:pPr>
              <w:pStyle w:val="Compact"/>
            </w:pPr>
            <w:r>
              <w:t xml:space="preserve">Dwell-time KS test</w:t>
            </w:r>
          </w:p>
        </w:tc>
        <w:tc>
          <w:tcPr/>
          <w:p>
            <w:pPr>
              <w:pStyle w:val="Compact"/>
            </w:pPr>
            <w:r>
              <w:t xml:space="preserve">p &gt; 0.05 (fail to reject H₀)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Structural</w:t>
            </w:r>
          </w:p>
        </w:tc>
        <w:tc>
          <w:tcPr/>
          <w:p>
            <w:pPr>
              <w:pStyle w:val="Compact"/>
            </w:pPr>
            <w:r>
              <w:t xml:space="preserve">Autocorrelation MAE, lags 1-24 h</w:t>
            </w:r>
          </w:p>
        </w:tc>
        <w:tc>
          <w:tcPr/>
          <w:p>
            <w:pPr>
              <w:pStyle w:val="Compact"/>
            </w:pPr>
            <w:r>
              <w:t xml:space="preserve">&lt; 0.05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Downstream</w:t>
            </w:r>
          </w:p>
        </w:tc>
        <w:tc>
          <w:tcPr/>
          <w:p>
            <w:pPr>
              <w:pStyle w:val="Compact"/>
            </w:pPr>
            <w:r>
              <w:t xml:space="preserve">NMBE</w:t>
            </w:r>
          </w:p>
        </w:tc>
        <w:tc>
          <w:tcPr/>
          <w:p>
            <w:pPr>
              <w:pStyle w:val="Compact"/>
            </w:pPr>
            <w:r>
              <w:t xml:space="preserve">monthly ±5 %, hourly ±10 %</w:t>
            </w:r>
          </w:p>
        </w:tc>
        <w:tc>
          <w:tcPr/>
          <w:p>
            <w:pPr>
              <w:pStyle w:val="Compact"/>
            </w:pPr>
            <w:r>
              <w:t xml:space="preserve">ASHRAE Guideline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Downstream</w:t>
            </w:r>
          </w:p>
        </w:tc>
        <w:tc>
          <w:tcPr/>
          <w:p>
            <w:pPr>
              <w:pStyle w:val="Compact"/>
            </w:pPr>
            <w:r>
              <w:t xml:space="preserve">CV(RMSE)</w:t>
            </w:r>
          </w:p>
        </w:tc>
        <w:tc>
          <w:tcPr/>
          <w:p>
            <w:pPr>
              <w:pStyle w:val="Compact"/>
            </w:pPr>
            <w:r>
              <w:t xml:space="preserve">monthly 15 %, hourly 30 %</w:t>
            </w:r>
          </w:p>
        </w:tc>
        <w:tc>
          <w:tcPr/>
          <w:p>
            <w:pPr>
              <w:pStyle w:val="Compact"/>
            </w:pPr>
            <w:r>
              <w:t xml:space="preserve">ASHRAE Guideline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Downstream</w:t>
            </w:r>
          </w:p>
        </w:tc>
        <w:tc>
          <w:tcPr/>
          <w:p>
            <w:pPr>
              <w:pStyle w:val="Compact"/>
            </w:pPr>
            <w:r>
              <w:t xml:space="preserve">Peak demand magnitude + timing</w:t>
            </w:r>
          </w:p>
        </w:tc>
        <w:tc>
          <w:tcPr/>
          <w:p>
            <w:pPr>
              <w:pStyle w:val="Compact"/>
            </w:pPr>
            <w:r>
              <w:t xml:space="preserve">magnitude ±15 %; timing ≤ 1 h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</w:tbl>
    <w:bookmarkEnd w:id="40"/>
    <w:bookmarkStart w:id="41" w:name="b-channel-specific-gates"/>
    <w:p>
      <w:pPr>
        <w:pStyle w:val="Heading2"/>
      </w:pPr>
      <w:r>
        <w:t xml:space="preserve">(b) Channel-specific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mapping</w:t>
            </w:r>
          </w:p>
        </w:tc>
        <w:tc>
          <w:tcPr/>
          <w:p>
            <w:pPr>
              <w:pStyle w:val="Compact"/>
            </w:pPr>
            <w:r>
              <w:t xml:space="preserve">AT_RETAIL rate, weekday 12:00-14:00, per cycle</w:t>
            </w:r>
          </w:p>
        </w:tc>
        <w:tc>
          <w:tcPr/>
          <w:p>
            <w:pPr>
              <w:pStyle w:val="Compact"/>
            </w:pPr>
            <w:r>
              <w:t xml:space="preserve">0.06-0.10 (central ≈ 0.079)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mapping</w:t>
            </w:r>
          </w:p>
        </w:tc>
        <w:tc>
          <w:tcPr/>
          <w:p>
            <w:pPr>
              <w:pStyle w:val="Compact"/>
            </w:pPr>
            <w:r>
              <w:t xml:space="preserve">Saturday peak rate, 13:00-16:00</w:t>
            </w:r>
          </w:p>
        </w:tc>
        <w:tc>
          <w:tcPr/>
          <w:p>
            <w:pPr>
              <w:pStyle w:val="Compact"/>
            </w:pPr>
            <w:r>
              <w:t xml:space="preserve">0.09-0.12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mapping</w:t>
            </w:r>
          </w:p>
        </w:tc>
        <w:tc>
          <w:tcPr/>
          <w:p>
            <w:pPr>
              <w:pStyle w:val="Compact"/>
            </w:pPr>
            <w:r>
              <w:t xml:space="preserve">Sunday peak rate, per city</w:t>
            </w:r>
          </w:p>
        </w:tc>
        <w:tc>
          <w:tcPr/>
          <w:p>
            <w:pPr>
              <w:pStyle w:val="Compact"/>
            </w:pPr>
            <w:r>
              <w:t xml:space="preserve">Calgary 0.06-0.10 / Montreal 0.04-0.07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mapping</w:t>
            </w:r>
          </w:p>
        </w:tc>
        <w:tc>
          <w:tcPr/>
          <w:p>
            <w:pPr>
              <w:pStyle w:val="Compact"/>
            </w:pPr>
            <w:r>
              <w:t xml:space="preserve">Night slots 00:00-05:00, all day-types</w:t>
            </w:r>
          </w:p>
        </w:tc>
        <w:tc>
          <w:tcPr/>
          <w:p>
            <w:pPr>
              <w:pStyle w:val="Compact"/>
            </w:pPr>
            <w:r>
              <w:t xml:space="preserve">0.000-0.003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OR-rule leak</w:t>
            </w:r>
          </w:p>
        </w:tc>
        <w:tc>
          <w:tcPr/>
          <w:p>
            <w:pPr>
              <w:pStyle w:val="Compact"/>
            </w:pPr>
            <w:r>
              <w:t xml:space="preserve">Online shopping, excluded from AT_RETAIL</w:t>
            </w:r>
          </w:p>
        </w:tc>
        <w:tc>
          <w:tcPr/>
          <w:p>
            <w:pPr>
              <w:pStyle w:val="Compact"/>
            </w:pPr>
            <w:r>
              <w:t xml:space="preserve">rule fixed before training; cross-tab still reported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(JS)</w:t>
            </w:r>
          </w:p>
        </w:tc>
        <w:tc>
          <w:tcPr/>
          <w:p>
            <w:pPr>
              <w:pStyle w:val="Compact"/>
            </w:pPr>
            <w:r>
              <w:t xml:space="preserve">JS(AT_WORK), JS(AT_RETAIL) per stratum</w:t>
            </w:r>
          </w:p>
        </w:tc>
        <w:tc>
          <w:tcPr/>
          <w:p>
            <w:pPr>
              <w:pStyle w:val="Compact"/>
            </w:pPr>
            <w:r>
              <w:t xml:space="preserve">&lt; 0.02 each, paired with PR-AUC / F1 below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(Resolution)</w:t>
            </w:r>
          </w:p>
        </w:tc>
        <w:tc>
          <w:tcPr/>
          <w:p>
            <w:pPr>
              <w:pStyle w:val="Compact"/>
            </w:pPr>
            <w:r>
              <w:t xml:space="preserve">PR-AUC and F1 on positive slots, AT_RETAIL</w:t>
            </w:r>
          </w:p>
        </w:tc>
        <w:tc>
          <w:tcPr/>
          <w:p>
            <w:pPr>
              <w:pStyle w:val="Compact"/>
            </w:pPr>
            <w:r>
              <w:t xml:space="preserve">PR-AUC ≥ 0.15; F1 ≥ 0.25</w:t>
            </w:r>
          </w:p>
        </w:tc>
        <w:tc>
          <w:tcPr/>
          <w:p>
            <w:pPr>
              <w:pStyle w:val="Compact"/>
            </w:pPr>
            <w:r>
              <w:t xml:space="preserve">heuristic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(Dynamics)</w:t>
            </w:r>
          </w:p>
        </w:tc>
        <w:tc>
          <w:tcPr/>
          <w:p>
            <w:pPr>
              <w:pStyle w:val="Compact"/>
            </w:pPr>
            <w:r>
              <w:t xml:space="preserve">Midday (11-14 h) rate error and transitions/day</w:t>
            </w:r>
          </w:p>
        </w:tc>
        <w:tc>
          <w:tcPr/>
          <w:p>
            <w:pPr>
              <w:pStyle w:val="Compact"/>
            </w:pPr>
            <w:r>
              <w:t xml:space="preserve">error ≤ 3.0 pp; transitions ≥ 0.05/day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(Regression)</w:t>
            </w:r>
          </w:p>
        </w:tc>
        <w:tc>
          <w:tcPr/>
          <w:p>
            <w:pPr>
              <w:pStyle w:val="Compact"/>
            </w:pPr>
            <w:r>
              <w:t xml:space="preserve">Head 1 and Head 2 JS drift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≤</m:t>
              </m:r>
              <m:r>
                <m:t>0.002</m:t>
              </m:r>
            </m:oMath>
            <w:r>
              <w:t xml:space="preserve"> </w:t>
            </w:r>
            <w:r>
              <w:t xml:space="preserve">bits vs the two-channel baseline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(Exclusivity)</w:t>
            </w:r>
          </w:p>
        </w:tc>
        <w:tc>
          <w:tcPr/>
          <w:p>
            <w:pPr>
              <w:pStyle w:val="Compact"/>
            </w:pPr>
            <w:r>
              <w:t xml:space="preserve">Impossible-State Rate (ISR), slots with more than one channel active</w:t>
            </w:r>
          </w:p>
        </w:tc>
        <w:tc>
          <w:tcPr/>
          <w:p>
            <w:pPr>
              <w:pStyle w:val="Compact"/>
            </w:pPr>
            <w:r>
              <w:t xml:space="preserve">≤ 0.5 % raw; 0 % after projection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 backcast</w:t>
            </w:r>
          </w:p>
        </w:tc>
        <w:tc>
          <w:tcPr/>
          <w:p>
            <w:pPr>
              <w:pStyle w:val="Compact"/>
            </w:pPr>
            <w:r>
              <w:t xml:space="preserve">QC and AB monthly 2015-2019 vs reconstruction</w:t>
            </w:r>
          </w:p>
        </w:tc>
        <w:tc>
          <w:tcPr/>
          <w:p>
            <w:pPr>
              <w:pStyle w:val="Compact"/>
            </w:pPr>
            <w:r>
              <w:t xml:space="preserve">MAE &lt; 0.05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 COVID dip</w:t>
            </w:r>
          </w:p>
        </w:tc>
        <w:tc>
          <w:tcPr/>
          <w:p>
            <w:pPr>
              <w:pStyle w:val="Compact"/>
            </w:pPr>
            <w:r>
              <w:t xml:space="preserve">2020-04 reconstruction</w:t>
            </w:r>
          </w:p>
        </w:tc>
        <w:tc>
          <w:tcPr/>
          <w:p>
            <w:pPr>
              <w:pStyle w:val="Compact"/>
            </w:pPr>
            <w:r>
              <w:t xml:space="preserve">recovered without overshoot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BEM end-to-end</w:t>
            </w:r>
          </w:p>
        </w:tc>
        <w:tc>
          <w:tcPr/>
          <w:p>
            <w:pPr>
              <w:pStyle w:val="Compact"/>
            </w:pPr>
            <w:r>
              <w:t xml:space="preserve">Default vs 2022, Montreal SuperTall</w:t>
            </w:r>
          </w:p>
        </w:tc>
        <w:tc>
          <w:tcPr/>
          <w:p>
            <w:pPr>
              <w:pStyle w:val="Compact"/>
            </w:pPr>
            <w:r>
              <w:t xml:space="preserve">EUI delta positive; office and hotel dominant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Floor-area sanity</w:t>
            </w:r>
          </w:p>
        </w:tc>
        <w:tc>
          <w:tcPr/>
          <w:p>
            <w:pPr>
              <w:pStyle w:val="Compact"/>
            </w:pPr>
            <w:r>
              <w:t xml:space="preserve">Per-channel EUI share vs parsed occupiable share</w:t>
            </w:r>
          </w:p>
        </w:tc>
        <w:tc>
          <w:tcPr/>
          <w:p>
            <w:pPr>
              <w:pStyle w:val="Compact"/>
            </w:pPr>
            <w:r>
              <w:t xml:space="preserve">± 2 pp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</w:tbl>
    <w:bookmarkEnd w:id="41"/>
    <w:bookmarkStart w:id="42" w:name="c-wiring-and-differentiation-gates"/>
    <w:p>
      <w:pPr>
        <w:pStyle w:val="Heading2"/>
      </w:pPr>
      <w:r>
        <w:t xml:space="preserve">(c) Wiring and differentiation gates</w:t>
      </w:r>
    </w:p>
    <w:p>
      <w:pPr>
        <w:pStyle w:val="FirstParagraph"/>
      </w:pPr>
      <w:r>
        <w:t xml:space="preserve">Made mandatory because the two-channel stage’s occupancy-field wiring defect passed every input-side</w:t>
      </w:r>
      <w:r>
        <w:t xml:space="preserve"> </w:t>
      </w:r>
      <w:r>
        <w:t xml:space="preserve">check and was caught only on the output side (§3.5).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Post-injection field-reference assertion</w:t>
            </w:r>
          </w:p>
        </w:tc>
        <w:tc>
          <w:tcPr/>
          <w:p>
            <w:pPr>
              <w:pStyle w:val="Compact"/>
            </w:pPr>
            <w:r>
              <w:t xml:space="preserve">100 % of modulated Spaces pass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Scenario-differentiation probe</w:t>
            </w:r>
          </w:p>
        </w:tc>
        <w:tc>
          <w:tcPr/>
          <w:p>
            <w:pPr>
              <w:pStyle w:val="Compact"/>
            </w:pPr>
            <w:r>
              <w:t xml:space="preserve">Outputs differ across ≥ 2 scenarios; byte-identical = FAIL</w:t>
            </w:r>
          </w:p>
        </w:tc>
        <w:tc>
          <w:tcPr/>
          <w:p>
            <w:pPr>
              <w:pStyle w:val="Compact"/>
            </w:pPr>
            <w:r>
              <w:t xml:space="preserve">project-chosen</w:t>
            </w:r>
          </w:p>
        </w:tc>
      </w:tr>
    </w:tbl>
    <w:bookmarkEnd w:id="42"/>
    <w:bookmarkStart w:id="50" w:name="threshold-provenance"/>
    <w:p>
      <w:pPr>
        <w:pStyle w:val="Heading2"/>
      </w:pPr>
      <w:r>
        <w:t xml:space="preserve">Threshold provenance</w:t>
      </w:r>
    </w:p>
    <w:p>
      <w:pPr>
        <w:pStyle w:val="FirstParagraph"/>
      </w:pPr>
      <w:r>
        <w:t xml:space="preserve">Only two thresholds in this set are literature values, and only they may be cited as such: the NMBE</w:t>
      </w:r>
      <w:r>
        <w:t xml:space="preserve"> </w:t>
      </w:r>
      <w:r>
        <w:t xml:space="preserve">limits of 5 % monthly and 10 % hourly, and the CV(RMSE) limits of 15 % monthly and 30 % hourly, both</w:t>
      </w:r>
      <w:r>
        <w:t xml:space="preserve"> </w:t>
      </w:r>
      <w:r>
        <w:t xml:space="preserve">from ASHRAE Guideline 14. Two more are heuristic, the PR-AUC bar of 0.15 and the F1 bar of 0.25, adopted</w:t>
      </w:r>
      <w:r>
        <w:t xml:space="preserve"> </w:t>
      </w:r>
      <w:r>
        <w:t xml:space="preserve">to catch an all-zeros failure mode and flagged as heuristic rather than literature-derived by this</w:t>
      </w:r>
      <w:r>
        <w:t xml:space="preserve"> </w:t>
      </w:r>
      <w:r>
        <w:t xml:space="preserve">project’s own architecture and training reviews. Every other threshold above is project-chosen and was</w:t>
      </w:r>
      <w:r>
        <w:t xml:space="preserve"> </w:t>
      </w:r>
      <w:r>
        <w:t xml:space="preserve">set before any tuning: the family of 0.05 tolerances on divergence, transition-matrix and</w:t>
      </w:r>
      <w:r>
        <w:t xml:space="preserve"> </w:t>
      </w:r>
      <w:r>
        <w:t xml:space="preserve">autocorrelation error, the presence-rate limit of 5 percentage points, the dwell-time test level, the</w:t>
      </w:r>
      <w:r>
        <w:t xml:space="preserve"> </w:t>
      </w:r>
      <w:r>
        <w:t xml:space="preserve">peak magnitude and timing gate, the retail rate family, the OR-rule freeze, the Jensen-Shannon pairing</w:t>
      </w:r>
      <w:r>
        <w:t xml:space="preserve"> </w:t>
      </w:r>
      <w:r>
        <w:t xml:space="preserve">and drift gates, the midday-dynamics gate, the impossible-state bar, the hotel backcast and</w:t>
      </w:r>
      <w:r>
        <w:t xml:space="preserve"> </w:t>
      </w:r>
      <w:r>
        <w:t xml:space="preserve">COVID-recovery checks, the decode thresholds of 0.50, 0.40 and 0.15, the wiring and differentiation</w:t>
      </w:r>
      <w:r>
        <w:t xml:space="preserve"> </w:t>
      </w:r>
      <w:r>
        <w:t xml:space="preserve">gates, and the EUI-share gate of 2 percentage points. These are project acceptance bars, not literature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Table 7.</w:t>
      </w:r>
      <w:r>
        <w:t xml:space="preserve"> </w:t>
      </w:r>
      <w:r>
        <w:t xml:space="preserve">- Sixteen limitations and bounding measurements.</w:t>
      </w:r>
    </w:p>
    <w:p>
      <w:pPr>
        <w:pStyle w:val="BodyText"/>
      </w:pPr>
      <w:r>
        <w:t xml:space="preserve">The Discussion carries the deciding statements in full; the wording here is condensed to fit a cell.</w:t>
      </w:r>
      <w:r>
        <w:t xml:space="preserve"> </w:t>
      </w:r>
      <w:r>
        <w:t xml:space="preserve">No verdict is paraphrased and every number is the source’s 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Bounding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Hotel guests are outside the survey frame; the channel is driven by a tourism series.</w:t>
            </w:r>
          </w:p>
        </w:tc>
        <w:tc>
          <w:tcPr/>
          <w:p>
            <w:pPr>
              <w:pStyle w:val="Compact"/>
            </w:pPr>
            <w:r>
              <w:t xml:space="preserve">The survey observes 0 % of hotel occupancy: 3 of 4 channels time-use-driven, 1 series-driven.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Retail sees customers only; staff are logged as at work.</w:t>
            </w:r>
          </w:p>
        </w:tc>
        <w:tc>
          <w:tcPr/>
          <w:p>
            <w:pPr>
              <w:pStyle w:val="Compact"/>
            </w:pPr>
            <w:r>
              <w:t xml:space="preserve">0 % of retail staff presence enters the signal, and 0 % of retail plug load is modulated by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Residential intra-household diversity is partial; the stronger claim of exactly zero is falsified.</w:t>
            </w:r>
          </w:p>
        </w:tc>
        <w:tc>
          <w:tcPr/>
          <w:p>
            <w:pPr>
              <w:pStyle w:val="Compact"/>
            </w:pPr>
            <w:r>
              <w:t xml:space="preserve">3,499 of 16,367 multi-person households, 21.38 %, carry a slot value outside 0, 0.5 and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Reference bands</w:t>
            </w:r>
          </w:p>
        </w:tc>
        <w:tc>
          <w:tcPr/>
          <w:p>
            <w:pPr>
              <w:pStyle w:val="Compact"/>
            </w:pPr>
            <w:r>
              <w:t xml:space="preserve">The office floor is contested and unsourced; the gate is a band-applicability finding.</w:t>
            </w:r>
          </w:p>
        </w:tc>
        <w:tc>
          <w:tcPr/>
          <w:p>
            <w:pPr>
              <w:pStyle w:val="Compact"/>
            </w:pPr>
            <w:r>
              <w:t xml:space="preserve">The uninjected control scores 85.45 against a floor of 100. Two mechanisms refuted; the source gives three floors for itself.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Reference bands</w:t>
            </w:r>
          </w:p>
        </w:tc>
        <w:tc>
          <w:tcPr/>
          <w:p>
            <w:pPr>
              <w:pStyle w:val="Compact"/>
            </w:pPr>
            <w:r>
              <w:t xml:space="preserve">The hotel band is archetype- and city-mismatched.</w:t>
            </w:r>
          </w:p>
        </w:tc>
        <w:tc>
          <w:tcPr/>
          <w:p>
            <w:pPr>
              <w:pStyle w:val="Compact"/>
            </w:pPr>
            <w:r>
              <w:t xml:space="preserve">Reference 284.44 and 299.28 kWh/m2/yr. FAIL on 28 of 56 cells, all Tall, all over the 300 ceiling; range 203.33-318.42.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Reference bands</w:t>
            </w:r>
          </w:p>
        </w:tc>
        <w:tc>
          <w:tcPr/>
          <w:p>
            <w:pPr>
              <w:pStyle w:val="Compact"/>
            </w:pPr>
            <w:r>
              <w:t xml:space="preserve">The stacked-channel explanation for low hotel EUI was tested and refuted; it is cited nowhere.</w:t>
            </w:r>
          </w:p>
        </w:tc>
        <w:tc>
          <w:tcPr/>
          <w:p>
            <w:pPr>
              <w:pStyle w:val="Compact"/>
            </w:pPr>
            <w:r>
              <w:t xml:space="preserve">Wrong in sign and order in 56 of 56 cells. Exposure takes 2 values across the campaign, not 56.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Reference bands</w:t>
            </w:r>
          </w:p>
        </w:tc>
        <w:tc>
          <w:tcPr/>
          <w:p>
            <w:pPr>
              <w:pStyle w:val="Compact"/>
            </w:pPr>
            <w:r>
              <w:t xml:space="preserve">Retail is validated on shape, not level; no time-of-day in-store reference exists.</w:t>
            </w:r>
          </w:p>
        </w:tc>
        <w:tc>
          <w:tcPr/>
          <w:p>
            <w:pPr>
              <w:pStyle w:val="Compact"/>
            </w:pPr>
            <w:r>
              <w:t xml:space="preserve">Median 75.63 against a floor of 80, 5.47 % below, 44 of 56 cells under. The rate gate is informational.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Reference bands</w:t>
            </w:r>
          </w:p>
        </w:tc>
        <w:tc>
          <w:tcPr/>
          <w:p>
            <w:pPr>
              <w:pStyle w:val="Compact"/>
            </w:pPr>
            <w:r>
              <w:t xml:space="preserve">Residential has no as-modelled band; the survey high-rise figure is context only.</w:t>
            </w:r>
          </w:p>
        </w:tc>
        <w:tc>
          <w:tcPr/>
          <w:p>
            <w:pPr>
              <w:pStyle w:val="Compact"/>
            </w:pPr>
            <w:r>
              <w:t xml:space="preserve">130.6 kWh/m2/yr over 113.9-147.2, never a pass criterion.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Internal gains</w:t>
            </w:r>
          </w:p>
        </w:tc>
        <w:tc>
          <w:tcPr/>
          <w:p>
            <w:pPr>
              <w:pStyle w:val="Compact"/>
            </w:pPr>
            <w:r>
              <w:t xml:space="preserve">Retail runs on the code’s office occupant density, not its retail figure.</w:t>
            </w:r>
          </w:p>
        </w:tc>
        <w:tc>
          <w:tcPr/>
          <w:p>
            <w:pPr>
              <w:pStyle w:val="Compact"/>
            </w:pPr>
            <w:r>
              <w:t xml:space="preserve">24.97 against 29.97 m2/person, so retail is roughly 20 % over-crowded.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Internal gains</w:t>
            </w:r>
          </w:p>
        </w:tc>
        <w:tc>
          <w:tcPr/>
          <w:p>
            <w:pPr>
              <w:pStyle w:val="Compact"/>
            </w:pPr>
            <w:r>
              <w:t xml:space="preserve">Equipment power density is one blanket value; lighting is differentiated.</w:t>
            </w:r>
          </w:p>
        </w:tc>
        <w:tc>
          <w:tcPr/>
          <w:p>
            <w:pPr>
              <w:pStyle w:val="Compact"/>
            </w:pPr>
            <w:r>
              <w:t xml:space="preserve">7.5028 W/m2 on every space type in both towers.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Internal gains</w:t>
            </w:r>
          </w:p>
        </w:tc>
        <w:tc>
          <w:tcPr/>
          <w:p>
            <w:pPr>
              <w:pStyle w:val="Compact"/>
            </w:pPr>
            <w:r>
              <w:t xml:space="preserve">The retail peak of 0.95 has no source, and the code’s retail schedule was never loaded.</w:t>
            </w:r>
          </w:p>
        </w:tc>
        <w:tc>
          <w:tcPr/>
          <w:p>
            <w:pPr>
              <w:pStyle w:val="Compact"/>
            </w:pPr>
            <w:r>
              <w:t xml:space="preserve">The tower carries the office curve, peak 0.90 with a 0.50 lunch dip, times 0.95: 18.75 % hot on the wrong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Method conventions</w:t>
            </w:r>
          </w:p>
        </w:tc>
        <w:tc>
          <w:tcPr/>
          <w:p>
            <w:pPr>
              <w:pStyle w:val="Compact"/>
            </w:pPr>
            <w:r>
              <w:t xml:space="preserve">The minimum pool size of 15 is an analyst judgement, presented as one.</w:t>
            </w:r>
          </w:p>
        </w:tc>
        <w:tc>
          <w:tcPr/>
          <w:p>
            <w:pPr>
              <w:pStyle w:val="Compact"/>
            </w:pPr>
            <w:r>
              <w:t xml:space="preserve">The anchor previously cited gives 5. The gate is non-monotonic: fails at 10, passes at 11-20, fails at 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Method conventions</w:t>
            </w:r>
          </w:p>
        </w:tc>
        <w:tc>
          <w:tcPr/>
          <w:p>
            <w:pPr>
              <w:pStyle w:val="Compact"/>
            </w:pPr>
            <w:r>
              <w:t xml:space="preserve">Household aggregation is the mean, a decision rather than an inheritance.</w:t>
            </w:r>
          </w:p>
        </w:tc>
        <w:tc>
          <w:tcPr/>
          <w:p>
            <w:pPr>
              <w:pStyle w:val="Compact"/>
            </w:pPr>
            <w:r>
              <w:t xml:space="preserve">Three construction stages, three implementations; this one verified against its own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L14</w:t>
            </w:r>
          </w:p>
        </w:tc>
        <w:tc>
          <w:tcPr/>
          <w:p>
            <w:pPr>
              <w:pStyle w:val="Compact"/>
            </w:pPr>
            <w:r>
              <w:t xml:space="preserve">Method conventions</w:t>
            </w:r>
          </w:p>
        </w:tc>
        <w:tc>
          <w:tcPr/>
          <w:p>
            <w:pPr>
              <w:pStyle w:val="Compact"/>
            </w:pPr>
            <w:r>
              <w:t xml:space="preserve">The retail episode-time share declines across cycles; the earlier stable claim was a documentation defect.</w:t>
            </w:r>
          </w:p>
        </w:tc>
        <w:tc>
          <w:tcPr/>
          <w:p>
            <w:pPr>
              <w:pStyle w:val="Compact"/>
            </w:pPr>
            <w:r>
              <w:t xml:space="preserve">2.00 %, 2.14 %, 1.66 %, 1.50 %, a 25 % decline that three other national series confirm as normal.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Physical model</w:t>
            </w:r>
          </w:p>
        </w:tc>
        <w:tc>
          <w:tcPr/>
          <w:p>
            <w:pPr>
              <w:pStyle w:val="Compact"/>
            </w:pPr>
            <w:r>
              <w:t xml:space="preserve">Ground-level weather on a supertall tower; the one item with no bounding measurement.</w:t>
            </w:r>
          </w:p>
        </w:tc>
        <w:tc>
          <w:tcPr/>
          <w:p>
            <w:pPr>
              <w:pStyle w:val="Compact"/>
            </w:pPr>
            <w:r>
              <w:t xml:space="preserve">Not quantified. No altitudinal temperature or wind-speed gradient is represented.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L16</w:t>
            </w:r>
          </w:p>
        </w:tc>
        <w:tc>
          <w:tcPr/>
          <w:p>
            <w:pPr>
              <w:pStyle w:val="Compact"/>
            </w:pPr>
            <w:r>
              <w:t xml:space="preserve">Physical model</w:t>
            </w:r>
          </w:p>
        </w:tc>
        <w:tc>
          <w:tcPr/>
          <w:p>
            <w:pPr>
              <w:pStyle w:val="Compact"/>
            </w:pPr>
            <w:r>
              <w:t xml:space="preserve">The hotel hot-water plant is capacity-pinned on one object, and a global fix does not correct it.</w:t>
            </w:r>
          </w:p>
        </w:tc>
        <w:tc>
          <w:tcPr/>
          <w:p>
            <w:pPr>
              <w:pStyle w:val="Compact"/>
            </w:pPr>
            <w:r>
              <w:t xml:space="preserve">Slope -0.98 against draw volume. A global factor of 6 moved that object’s share from 26.7 % to 65.4 % by reweighting alone.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A1.</w:t>
      </w:r>
      <w:r>
        <w:t xml:space="preserve"> </w:t>
      </w:r>
      <w:r>
        <w:t xml:space="preserve">- Model card, three-head Transformer.</w:t>
      </w:r>
    </w:p>
    <w:bookmarkStart w:id="43" w:name="a1.1-architecture"/>
    <w:p>
      <w:pPr>
        <w:pStyle w:val="Heading3"/>
      </w:pPr>
      <w:r>
        <w:t xml:space="preserve">A1.1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Backbone</w:t>
            </w:r>
          </w:p>
        </w:tc>
        <w:tc>
          <w:tcPr/>
          <w:p>
            <w:pPr>
              <w:pStyle w:val="Compact"/>
            </w:pPr>
            <w:r>
              <w:t xml:space="preserve">Shared multi-head Transformer encoder-decoder, kept from the two-channel stage with targeted upgrades rather than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6 layers, model width 256, 8 attention heads, approximately 29M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arm</w:t>
            </w:r>
          </w:p>
        </w:tc>
        <w:tc>
          <w:tcPr/>
          <w:p>
            <w:pPr>
              <w:pStyle w:val="Compact"/>
            </w:pPr>
            <w:r>
              <w:t xml:space="preserve">Autoregressive decoder, 14 activity classes, 48 half-hour slots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1</w:t>
            </w:r>
          </w:p>
        </w:tc>
        <w:tc>
          <w:tcPr/>
          <w:p>
            <w:pPr>
              <w:pStyle w:val="Compact"/>
            </w:pPr>
            <w:r>
              <w:t xml:space="preserve">Residential presence, unchanged from the earlier stages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2</w:t>
            </w:r>
          </w:p>
        </w:tc>
        <w:tc>
          <w:tcPr/>
          <w:p>
            <w:pPr>
              <w:pStyle w:val="Compact"/>
            </w:pPr>
            <w:r>
              <w:t xml:space="preserve">Office presence, unchanged from the two-channel stage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3</w:t>
            </w:r>
          </w:p>
        </w:tc>
        <w:tc>
          <w:tcPr/>
          <w:p>
            <w:pPr>
              <w:pStyle w:val="Compact"/>
            </w:pPr>
            <w:r>
              <w:t xml:space="preserve">Retail presence, new in this study; mirrors Head 2 off the same fused representation, with the activity arm’s gradient barrier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Co-presence head</w:t>
            </w:r>
          </w:p>
        </w:tc>
        <w:tc>
          <w:tcPr/>
          <w:p>
            <w:pPr>
              <w:pStyle w:val="Compact"/>
            </w:pPr>
            <w:r>
              <w:t xml:space="preserve">9-channel co-presence, unmodified by the retail addition</w:t>
            </w:r>
          </w:p>
        </w:tc>
      </w:tr>
    </w:tbl>
    <w:bookmarkEnd w:id="43"/>
    <w:bookmarkStart w:id="44" w:name="a1.2-conditioning-vector-width-120"/>
    <w:p>
      <w:pPr>
        <w:pStyle w:val="Heading3"/>
      </w:pPr>
      <w:r>
        <w:t xml:space="preserve">A1.2 Conditioning vector (width 120)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 group</w:t>
            </w:r>
          </w:p>
        </w:tc>
        <w:tc>
          <w:tcPr/>
          <w:p>
            <w:pPr>
              <w:pStyle w:val="Compact"/>
            </w:pPr>
            <w:r>
              <w:t xml:space="preserve">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t xml:space="preserve">One embedding per categorical field, concatenated and projected; 14 census fields plus the occupation, telework and work-schedule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Day-type stratum</w:t>
            </w:r>
          </w:p>
        </w:tc>
        <w:tc>
          <w:tcPr/>
          <w:p>
            <w:pPr>
              <w:pStyle w:val="Compact"/>
            </w:pPr>
            <w:r>
              <w:t xml:space="preserve">Embedding over three strata; drives diurnal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year</w:t>
            </w:r>
          </w:p>
        </w:tc>
        <w:tc>
          <w:tcPr/>
          <w:p>
            <w:pPr>
              <w:pStyle w:val="Compact"/>
            </w:pPr>
            <w:r>
              <w:t xml:space="preserve">Continuous projection, never categorical, so the model extrapolates to an unseen 2030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mode</w:t>
            </w:r>
          </w:p>
        </w:tc>
        <w:tc>
          <w:tcPr/>
          <w:p>
            <w:pPr>
              <w:pStyle w:val="Compact"/>
            </w:pPr>
            <w:r>
              <w:t xml:space="preserve">Low-capacity embedding, deliberately too small to leak physical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</w:t>
            </w:r>
          </w:p>
        </w:tc>
        <w:tc>
          <w:tcPr/>
          <w:p>
            <w:pPr>
              <w:pStyle w:val="Compact"/>
            </w:pPr>
            <w:r>
              <w:t xml:space="preserve">No retail-specific conditioning is added: retail presence is population-behavioural, not occupation-gated</w:t>
            </w:r>
          </w:p>
        </w:tc>
      </w:tr>
    </w:tbl>
    <w:p>
      <w:pPr>
        <w:pStyle w:val="BodyText"/>
      </w:pPr>
      <w:r>
        <w:t xml:space="preserve">The width grew from 119 to 120 between the two stages because one demographic field gained a</w:t>
      </w:r>
      <w:r>
        <w:t xml:space="preserve"> </w:t>
      </w:r>
      <w:r>
        <w:t xml:space="preserve">missing-value category, an independent data-pipeline fix rather than part of the retail addition.</w:t>
      </w:r>
    </w:p>
    <w:bookmarkEnd w:id="44"/>
    <w:bookmarkStart w:id="45" w:name="a1.3-training-regimen"/>
    <w:p>
      <w:pPr>
        <w:pStyle w:val="Heading3"/>
      </w:pPr>
      <w:r>
        <w:t xml:space="preserve">A1.3 Training regimen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weights, residential : office : retail</w:t>
            </w:r>
          </w:p>
        </w:tc>
        <w:tc>
          <w:tcPr/>
          <w:p>
            <w:pPr>
              <w:pStyle w:val="Compact"/>
            </w:pPr>
            <w:r>
              <w:t xml:space="preserve">1.0 : 0.5 : 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Scalarization</w:t>
            </w:r>
          </w:p>
        </w:tc>
        <w:tc>
          <w:tcPr/>
          <w:p>
            <w:pPr>
              <w:pStyle w:val="Compact"/>
            </w:pPr>
            <w:r>
              <w:t xml:space="preserve">Fixed-weight; dynamic weighters rejected as unstable on a task with about 2 % positives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surgery</w:t>
            </w:r>
          </w:p>
        </w:tc>
        <w:tc>
          <w:tcPr/>
          <w:p>
            <w:pPr>
              <w:pStyle w:val="Compact"/>
            </w:pPr>
            <w:r>
              <w:t xml:space="preserve">PCGrad, pairwise across the three tasks, joint phase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imbalance, retail</w:t>
            </w:r>
          </w:p>
        </w:tc>
        <w:tc>
          <w:tcPr/>
          <w:p>
            <w:pPr>
              <w:pStyle w:val="Compact"/>
            </w:pPr>
            <w:r>
              <w:t xml:space="preserve">Positive-class weight 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logit shift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49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3.89</m:t>
              </m:r>
            </m:oMath>
            <w:r>
              <w:t xml:space="preserve">, applied at decode only, never during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 phase</w:t>
            </w:r>
          </w:p>
        </w:tc>
        <w:tc>
          <w:tcPr/>
          <w:p>
            <w:pPr>
              <w:pStyle w:val="Compact"/>
            </w:pPr>
            <w:r>
              <w:t xml:space="preserve">5 epochs, Head 3 only trainable, learning rate 1e-3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phase</w:t>
            </w:r>
          </w:p>
        </w:tc>
        <w:tc>
          <w:tcPr/>
          <w:p>
            <w:pPr>
              <w:pStyle w:val="Compact"/>
            </w:pPr>
            <w:r>
              <w:t xml:space="preserve">15 epochs, all parameters trainable, learning rate 1e-4, PCGrad on, early stopping on the gate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0.1, attention and residual only, never on output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smoothing</w:t>
            </w:r>
          </w:p>
        </w:tc>
        <w:tc>
          <w:tcPr/>
          <w:p>
            <w:pPr>
              <w:pStyle w:val="Compact"/>
            </w:pPr>
            <w:r>
              <w:t xml:space="preserve">Disabled; it distorts calibration on this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Diary augmentation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composition</w:t>
            </w:r>
          </w:p>
        </w:tc>
        <w:tc>
          <w:tcPr/>
          <w:p>
            <w:pPr>
              <w:pStyle w:val="Compact"/>
            </w:pPr>
            <w:r>
              <w:t xml:space="preserve">Stratified 50 % weekday, 25 % Saturday, 25 % Sunday, inverse-cycle-frequency 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weights</w:t>
            </w:r>
          </w:p>
        </w:tc>
        <w:tc>
          <w:tcPr/>
          <w:p>
            <w:pPr>
              <w:pStyle w:val="Compact"/>
            </w:pPr>
            <w:r>
              <w:t xml:space="preserve">Applied inside the loss, clipped at the 99th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rule</w:t>
            </w:r>
          </w:p>
        </w:tc>
        <w:tc>
          <w:tcPr/>
          <w:p>
            <w:pPr>
              <w:pStyle w:val="Compact"/>
            </w:pPr>
            <w:r>
              <w:t xml:space="preserve">Gate-first, then maximize retail F1 among survivors; no composite score. The shipped checkpoint deviates from this rule, as disclosed in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 scorecard</w:t>
            </w:r>
          </w:p>
        </w:tc>
        <w:tc>
          <w:tcPr/>
          <w:p>
            <w:pPr>
              <w:pStyle w:val="Compact"/>
            </w:pPr>
            <w:r>
              <w:t xml:space="preserve">147 PASS / 18 WARN / 1 FAIL; the single FAIL is a day-type ordering check pre-existing in the two-channel baseline, with no new failure introduced</w:t>
            </w:r>
          </w:p>
        </w:tc>
      </w:tr>
    </w:tbl>
    <w:p>
      <w:pPr>
        <w:pStyle w:val="BodyText"/>
      </w:pPr>
      <w:r>
        <w:t xml:space="preserve">The design value of the positive-class weight is 49; the training split’s measured positive rate implies</w:t>
      </w:r>
      <w:r>
        <w:t xml:space="preserve"> </w:t>
      </w:r>
      <w:r>
        <w:t xml:space="preserve">50.1056. The shipped model trains on 49.</w:t>
      </w:r>
    </w:p>
    <w:bookmarkEnd w:id="45"/>
    <w:bookmarkStart w:id="49" w:name="a1.4-decoding"/>
    <w:p>
      <w:pPr>
        <w:pStyle w:val="Heading3"/>
      </w:pPr>
      <w:r>
        <w:t xml:space="preserve">A1.4 Decoding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</w:t>
            </w:r>
          </w:p>
        </w:tc>
        <w:tc>
          <w:tcPr/>
          <w:p>
            <w:pPr>
              <w:pStyle w:val="Compact"/>
            </w:pPr>
            <w:r>
              <w:t xml:space="preserve">Temperature 0.7 with nucleus sampling at 0.9; the two-channel stage used 0.8 with no nucleus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dwell</w:t>
            </w:r>
          </w:p>
        </w:tc>
        <w:tc>
          <w:tcPr/>
          <w:p>
            <w:pPr>
              <w:pStyle w:val="Compact"/>
            </w:pPr>
            <w:r>
              <w:t xml:space="preserve">At least 2 slots, 60 minutes, for work and retail events, applied after the exclusivity projection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thresholds</w:t>
            </w:r>
          </w:p>
        </w:tc>
        <w:tc>
          <w:tcPr/>
          <w:p>
            <w:pPr>
              <w:pStyle w:val="Compact"/>
            </w:pPr>
            <w:r>
              <w:t xml:space="preserve">0.50 residential, 0.40 office, 0.15 retail, derived on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Exclusivity</w:t>
            </w:r>
          </w:p>
        </w:tc>
        <w:tc>
          <w:tcPr/>
          <w:p>
            <w:pPr>
              <w:pStyle w:val="Compact"/>
            </w:pPr>
            <w:r>
              <w:t xml:space="preserve">Threshold-normalized argmax: a slot over threshold on more than one channel keeps only the channel with the largest threshold-normalized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Impossible-state rate</w:t>
            </w:r>
          </w:p>
        </w:tc>
        <w:tc>
          <w:tcPr/>
          <w:p>
            <w:pPr>
              <w:pStyle w:val="Compact"/>
            </w:pPr>
            <w:r>
              <w:t xml:space="preserve">At most 0.5 % on raw output; 0 % on the injected schedules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alternative</w:t>
            </w:r>
          </w:p>
        </w:tc>
        <w:tc>
          <w:tcPr/>
          <w:p>
            <w:pPr>
              <w:pStyle w:val="Compact"/>
            </w:pPr>
            <w:r>
              <w:t xml:space="preserve">A categorical location head, which crushes the 2 % retail class and couples calibration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A2.</w:t>
      </w:r>
      <w:r>
        <w:t xml:space="preserve"> </w:t>
      </w:r>
      <w:r>
        <w:t xml:space="preserve">- AT_RETAIL codebook per GSS cycle.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GSS cycle</w:t>
            </w:r>
          </w:p>
        </w:tc>
        <w:tc>
          <w:tcPr/>
          <w:p>
            <w:pPr>
              <w:pStyle w:val="Compact"/>
            </w:pPr>
            <w:r>
              <w:t xml:space="preserve">Raw variable</w:t>
            </w:r>
          </w:p>
        </w:tc>
        <w:tc>
          <w:tcPr/>
          <w:p>
            <w:pPr>
              <w:pStyle w:val="Compact"/>
            </w:pPr>
            <w:r>
              <w:t xml:space="preserve">Codes mapped to the unified shopping location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2005 (C19)</w:t>
            </w:r>
          </w:p>
        </w:tc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06 grocery and 07 other store or mall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 (C24)</w:t>
            </w:r>
          </w:p>
        </w:tc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06 and 07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2015 (C29)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 (GSSP)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</w:tbl>
    <w:p>
      <w:pPr>
        <w:pStyle w:val="BodyText"/>
      </w:pPr>
      <w:r>
        <w:t xml:space="preserve">In 2005 and 2010 two source codes are combined into one unified value; in 2015 and 2022 the single code</w:t>
      </w:r>
      <w:r>
        <w:t xml:space="preserve"> </w:t>
      </w:r>
      <w:r>
        <w:t xml:space="preserve">is already a merged grocery and general-merchandise bucket at the source. Grocery and general</w:t>
      </w:r>
      <w:r>
        <w:t xml:space="preserve"> </w:t>
      </w:r>
      <w:r>
        <w:t xml:space="preserve">merchandise are therefore not separable in the two later cycles, which is why the retail channel uses a</w:t>
      </w:r>
      <w:r>
        <w:t xml:space="preserve"> </w:t>
      </w:r>
      <w:r>
        <w:t xml:space="preserve">single retail archetype.</w:t>
      </w:r>
    </w:p>
    <w:p>
      <w:pPr>
        <w:pStyle w:val="CaptionedFigure"/>
      </w:pPr>
      <w:r>
        <w:drawing>
          <wp:inline>
            <wp:extent cx="5334000" cy="2074333"/>
            <wp:effectExtent b="0" l="0" r="0" t="0"/>
            <wp:docPr descr="Figure S3" title="" id="47" name="Picture"/>
            <a:graphic>
              <a:graphicData uri="http://schemas.openxmlformats.org/drawingml/2006/picture">
                <pic:pic>
                  <pic:nvPicPr>
                    <pic:cNvPr descr="figures/SI/Figure_S03_leg2_pipelin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S3</w:t>
      </w:r>
    </w:p>
    <w:p>
      <w:pPr>
        <w:pStyle w:val="BodyText"/>
      </w:pPr>
      <w:r>
        <w:rPr>
          <w:b/>
          <w:bCs/>
        </w:rPr>
        <w:t xml:space="preserve">Figure S3.</w:t>
      </w:r>
      <w:r>
        <w:t xml:space="preserve"> </w:t>
      </w:r>
      <w:r>
        <w:t xml:space="preserve">- Two-channel construction-stage pipeline.</w:t>
      </w:r>
    </w:p>
    <w:bookmarkEnd w:id="49"/>
    <w:bookmarkEnd w:id="50"/>
    <w:bookmarkEnd w:id="51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="Times New Roman" w:cs="Times New Roman" w:eastAsia="Times New Roman" w:hAnsi="Times New Roman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="Times New Roman" w:cs="Times New Roman" w:eastAsia="Times New Roman" w:hAnsi="Times New Roman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ascii="Times New Roman" w:cs="Times New Roman" w:eastAsia="Times New Roman" w:hAnsi="Times New Roman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  <w:szCs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2026-08-12T00:40:12Z</dcterms:created>
  <dcterms:modified xsi:type="dcterms:W3CDTF">2026-08-12T00:40:12Z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