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i/>
          <w:iCs/>
        </w:rPr>
        <w:t xml:space="preserve">Upload this as a separate file from the blinded manuscript. Building Simulation runs double-blind</w:t>
      </w:r>
      <w:r>
        <w:rPr>
          <w:i/>
          <w:iCs/>
        </w:rPr>
        <w:t xml:space="preserve"> </w:t>
      </w:r>
      <w:r>
        <w:rPr>
          <w:i/>
          <w:iCs/>
        </w:rPr>
        <w:t xml:space="preserve">review: this file carries every piece of author information, and the manuscript file carries none.</w:t>
      </w:r>
    </w:p>
    <w:p>
      <w:r>
        <w:pict>
          <v:rect style="width:0;height:1.5pt" o:hralign="center" o:hrstd="t" o:hr="t"/>
        </w:pict>
      </w:r>
    </w:p>
    <w:bookmarkStart w:id="40" w:name="cover-letter"/>
    <w:p>
      <w:pPr>
        <w:pStyle w:val="Heading2"/>
      </w:pPr>
      <w:r>
        <w:t xml:space="preserve">Cover letter</w:t>
      </w:r>
    </w:p>
    <w:p>
      <w:pPr>
        <w:pStyle w:val="FirstParagraph"/>
      </w:pPr>
      <w:r>
        <w:t xml:space="preserve">7 August 2026</w:t>
      </w:r>
    </w:p>
    <w:p>
      <w:pPr>
        <w:pStyle w:val="BodyText"/>
      </w:pPr>
      <w:r>
        <w:t xml:space="preserve">Prof. Da Yan</w:t>
      </w:r>
      <w:r>
        <w:t xml:space="preserve"> </w:t>
      </w:r>
      <w:r>
        <w:t xml:space="preserve">Editor-in-Chief,</w:t>
      </w:r>
      <w:r>
        <w:t xml:space="preserve"> </w:t>
      </w:r>
      <w:r>
        <w:rPr>
          <w:i/>
          <w:iCs/>
        </w:rPr>
        <w:t xml:space="preserve">Building Simulation</w:t>
      </w:r>
      <w:r>
        <w:t xml:space="preserve"> </w:t>
      </w:r>
      <w:r>
        <w:t xml:space="preserve">School of Architecture, Tsinghua University, Beijing, China</w:t>
      </w:r>
    </w:p>
    <w:p>
      <w:pPr>
        <w:pStyle w:val="BodyText"/>
      </w:pPr>
      <w:r>
        <w:t xml:space="preserve">Dear Prof. Yan,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“How Much”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“When”</w:t>
      </w:r>
      <w:r>
        <w:rPr>
          <w:i/>
          <w:iCs/>
        </w:rPr>
        <w:t xml:space="preserve">: Forecasting the Residential Energy</w:t>
      </w:r>
      <w:r>
        <w:rPr>
          <w:i/>
          <w:iCs/>
        </w:rPr>
        <w:t xml:space="preserve"> </w:t>
      </w:r>
      <w:r>
        <w:rPr>
          <w:i/>
          <w:iCs/>
        </w:rPr>
        <w:t xml:space="preserve">Load Shape from a Calibrated Behavioural Occupancy Time-Series (Canada, 2005 to 2030)</w:t>
      </w:r>
      <w:r>
        <w:t xml:space="preserve">, for</w:t>
      </w:r>
      <w:r>
        <w:t xml:space="preserve"> </w:t>
      </w:r>
      <w:r>
        <w:t xml:space="preserve">consideration as a research article in</w:t>
      </w:r>
      <w:r>
        <w:t xml:space="preserve"> </w:t>
      </w:r>
      <w:r>
        <w:rPr>
          <w:b/>
          <w:bCs/>
        </w:rPr>
        <w:t xml:space="preserve">Building Simulation</w:t>
      </w:r>
      <w:r>
        <w:t xml:space="preserve">.</w:t>
      </w:r>
    </w:p>
    <w:p>
      <w:pPr>
        <w:pStyle w:val="BodyText"/>
      </w:pPr>
      <w:r>
        <w:t xml:space="preserve">Stock-scale building energy models still run on static, pre-COVID occupancy schedules, yet the pandemic</w:t>
      </w:r>
      <w:r>
        <w:t xml:space="preserve"> </w:t>
      </w:r>
      <w:r>
        <w:t xml:space="preserve">changed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residential energy is used more than</w:t>
      </w:r>
      <w:r>
        <w:t xml:space="preserve"> </w:t>
      </w:r>
      <w:r>
        <w:rPr>
          <w:i/>
          <w:iCs/>
        </w:rPr>
        <w:t xml:space="preserve">how much</w:t>
      </w:r>
      <w:r>
        <w:t xml:space="preserve">. We build a calibrated behavioural</w:t>
      </w:r>
      <w:r>
        <w:t xml:space="preserve"> </w:t>
      </w:r>
      <w:r>
        <w:t xml:space="preserve">occupancy time-series from four Statistics Canada General Social Survey time-use cycles (64,061</w:t>
      </w:r>
      <w:r>
        <w:t xml:space="preserve"> </w:t>
      </w:r>
      <w:r>
        <w:t xml:space="preserve">diaries), augment it with a gate-selected hybrid conditional Transformer, link it to a</w:t>
      </w:r>
      <w:r>
        <w:t xml:space="preserve"> </w:t>
      </w:r>
      <w:r>
        <w:t xml:space="preserve">144,507-household 2021 Census frame, forecast it through the work-from-home structural break to 2030</w:t>
      </w:r>
      <w:r>
        <w:t xml:space="preserve"> </w:t>
      </w:r>
      <w:r>
        <w:t xml:space="preserve">under a True-Future-Test protocol, and carry it into 6,000 paired EnergyPlus v24.2 runs across four</w:t>
      </w:r>
      <w:r>
        <w:t xml:space="preserve"> </w:t>
      </w:r>
      <w:r>
        <w:t xml:space="preserve">Canadian code archetypes and six ASHRAE climate zones. The headline is a dissociation: weekday at-home</w:t>
      </w:r>
      <w:r>
        <w:t xml:space="preserve"> </w:t>
      </w:r>
      <w:r>
        <w:t xml:space="preserve">occupancy breaks by +5.2 percentage points at COVID and stays +2.2 to +3.9 points above baseline in</w:t>
      </w:r>
      <w:r>
        <w:t xml:space="preserve"> </w:t>
      </w:r>
      <w:r>
        <w:t xml:space="preserve">2030, while annual electricity moves only +1.4 to +2.6 per cent. The load</w:t>
      </w:r>
      <w:r>
        <w:t xml:space="preserve"> </w:t>
      </w:r>
      <w:r>
        <w:rPr>
          <w:i/>
          <w:iCs/>
        </w:rPr>
        <w:t xml:space="preserve">shape</w:t>
      </w:r>
      <w:r>
        <w:t xml:space="preserve">, however, changes</w:t>
      </w:r>
      <w:r>
        <w:t xml:space="preserve"> </w:t>
      </w:r>
      <w:r>
        <w:t xml:space="preserve">structurally — the midday valley fills, the load factor flattens (both confidence intervals exclude</w:t>
      </w:r>
      <w:r>
        <w:t xml:space="preserve"> </w:t>
      </w:r>
      <w:r>
        <w:t xml:space="preserve">zero), and the evening peak stays fixed near 17:30.</w:t>
      </w:r>
    </w:p>
    <w:p>
      <w:pPr>
        <w:pStyle w:val="BodyText"/>
      </w:pPr>
      <w:r>
        <w:t xml:space="preserve">We are submitting to Building Simulation because the contribution is a simulation-methodological one.</w:t>
      </w:r>
      <w:r>
        <w:t xml:space="preserve"> </w:t>
      </w:r>
      <w:r>
        <w:t xml:space="preserve">The paper’s substance is a gate-validated generative occupancy model, a paired frozen-frame</w:t>
      </w:r>
      <w:r>
        <w:t xml:space="preserve"> </w:t>
      </w:r>
      <w:r>
        <w:t xml:space="preserve">attribution design that isolates the behavioural channel, and a multi-archetype EnergyPlus campaign</w:t>
      </w:r>
      <w:r>
        <w:t xml:space="preserve"> </w:t>
      </w:r>
      <w:r>
        <w:t xml:space="preserve">calibrated to national survey benchmarks within ±2.7 per cent in all 48 dwelling-by-year cells. That</w:t>
      </w:r>
      <w:r>
        <w:t xml:space="preserve"> </w:t>
      </w:r>
      <w:r>
        <w:t xml:space="preserve">is the kind of work this journal evaluates on its merits rather than asking why it matters. The open</w:t>
      </w:r>
      <w:r>
        <w:t xml:space="preserve"> </w:t>
      </w:r>
      <w:r>
        <w:t xml:space="preserve">cell we occupy is specific: no existing study carries a calibrated, survey-grounded occupancy series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a structural break into stock-scale paired simulation of the resulting load shape.</w:t>
      </w:r>
    </w:p>
    <w:p>
      <w:pPr>
        <w:pStyle w:val="BodyText"/>
      </w:pPr>
      <w:r>
        <w:rPr>
          <w:b/>
          <w:bCs/>
        </w:rPr>
        <w:t xml:space="preserve">Relationship to concurrent work.</w:t>
      </w:r>
      <w:r>
        <w:t xml:space="preserve"> </w:t>
      </w:r>
      <w:r>
        <w:t xml:space="preserve">This is the second study from a structured research pipeline, and</w:t>
      </w:r>
      <w:r>
        <w:t xml:space="preserve"> </w:t>
      </w:r>
      <w:r>
        <w:t xml:space="preserve">we want to be explicit about the boundary. A predecessor manuscript, currently under review at the</w:t>
      </w:r>
      <w:r>
        <w:t xml:space="preserve"> </w:t>
      </w:r>
      <w:r>
        <w:rPr>
          <w:i/>
          <w:iCs/>
        </w:rPr>
        <w:t xml:space="preserve">Journal of Building Performance Simulation</w:t>
      </w:r>
      <w:r>
        <w:t xml:space="preserve">, asked</w:t>
      </w:r>
      <w:r>
        <w:t xml:space="preserve"> </w:t>
      </w:r>
      <w:r>
        <w:rPr>
          <w:i/>
          <w:iCs/>
        </w:rPr>
        <w:t xml:space="preserve">how much</w:t>
      </w:r>
      <w:r>
        <w:t xml:space="preserve">: it contrasted period-specific occupancy</w:t>
      </w:r>
      <w:r>
        <w:t xml:space="preserve"> </w:t>
      </w:r>
      <w:r>
        <w:t xml:space="preserve">datasets against a single default schedule across six Montréal neighbourhood-unit typologies in one</w:t>
      </w:r>
      <w:r>
        <w:t xml:space="preserve"> </w:t>
      </w:r>
      <w:r>
        <w:t xml:space="preserve">climate zone, and reported annual magnitude corrections. The present paper asks</w:t>
      </w:r>
      <w:r>
        <w:t xml:space="preserve"> </w:t>
      </w:r>
      <w:r>
        <w:rPr>
          <w:i/>
          <w:iCs/>
        </w:rPr>
        <w:t xml:space="preserve">when</w:t>
      </w:r>
      <w:r>
        <w:t xml:space="preserve">. The</w:t>
      </w:r>
      <w:r>
        <w:t xml:space="preserve"> </w:t>
      </w:r>
      <w:r>
        <w:t xml:space="preserve">default-versus-cycle magnitude contrast is replaced by a cycle-versus-cycle, within-household paired</w:t>
      </w:r>
      <w:r>
        <w:t xml:space="preserve"> </w:t>
      </w:r>
      <w:r>
        <w:t xml:space="preserve">contrast; the occupancy series is carried through the COVID break to 2030 rather than stopping at a</w:t>
      </w:r>
      <w:r>
        <w:t xml:space="preserve"> </w:t>
      </w:r>
      <w:r>
        <w:t xml:space="preserve">synthetic present-day cycle; the domain widens from six neighbourhood units in one climate zone to four</w:t>
      </w:r>
      <w:r>
        <w:t xml:space="preserve"> </w:t>
      </w:r>
      <w:r>
        <w:t xml:space="preserve">national code archetypes across six; the end uses are anchored to a national household-energy survey</w:t>
      </w:r>
      <w:r>
        <w:t xml:space="preserve"> </w:t>
      </w:r>
      <w:r>
        <w:t xml:space="preserve">rather than filtered from default profiles; and the primary result is the diurnal load shape rather</w:t>
      </w:r>
      <w:r>
        <w:t xml:space="preserve"> </w:t>
      </w:r>
      <w:r>
        <w:t xml:space="preserve">than annual totals. Every stage of the pipeline differs — generator, load model, horizon, validation</w:t>
      </w:r>
      <w:r>
        <w:t xml:space="preserve"> </w:t>
      </w:r>
      <w:r>
        <w:t xml:space="preserve">protocol, and attribution design. What the two share is only the premise that survey-grounded</w:t>
      </w:r>
      <w:r>
        <w:t xml:space="preserve"> </w:t>
      </w:r>
      <w:r>
        <w:t xml:space="preserve">time-series occupancy can be built for Canadian building energy models at all, which this paper treats</w:t>
      </w:r>
      <w:r>
        <w:t xml:space="preserve"> </w:t>
      </w:r>
      <w:r>
        <w:t xml:space="preserve">as established and does not re-claim as novel.</w:t>
      </w:r>
    </w:p>
    <w:p>
      <w:pPr>
        <w:pStyle w:val="BodyText"/>
      </w:pPr>
      <w:r>
        <w:t xml:space="preserve">The manuscript is original, has not been published previously, and is not under consideration</w:t>
      </w:r>
      <w:r>
        <w:t xml:space="preserve"> </w:t>
      </w:r>
      <w:r>
        <w:t xml:space="preserve">elsewhere. All authors have approved its submission. We have no competing interests to declare.</w:t>
      </w:r>
    </w:p>
    <w:p>
      <w:pPr>
        <w:pStyle w:val="BodyText"/>
      </w:pPr>
      <w:r>
        <w:t xml:space="preserve">Thank you for considering our work.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Orcun Koral Iseri, on behalf of both authors</w:t>
      </w:r>
    </w:p>
    <w:p>
      <w:r>
        <w:pict>
          <v:rect style="width:0;height:1.5pt" o:hralign="center" o:hrstd="t" o:hr="t"/>
        </w:pict>
      </w:r>
    </w:p>
    <w:bookmarkEnd w:id="40"/>
    <w:bookmarkStart w:id="41" w:name="paper-title"/>
    <w:p>
      <w:pPr>
        <w:pStyle w:val="Heading2"/>
      </w:pPr>
      <w:r>
        <w:t xml:space="preserve">Paper title</w:t>
      </w:r>
    </w:p>
    <w:p>
      <w:pPr>
        <w:pStyle w:val="FirstParagraph"/>
      </w:pPr>
      <w:r>
        <w:t xml:space="preserve">From</w:t>
      </w:r>
      <w:r>
        <w:t xml:space="preserve"> </w:t>
      </w:r>
      <w:r>
        <w:t xml:space="preserve">“How Much”</w:t>
      </w:r>
      <w:r>
        <w:t xml:space="preserve"> </w:t>
      </w:r>
      <w:r>
        <w:t xml:space="preserve">to</w:t>
      </w:r>
      <w:r>
        <w:t xml:space="preserve"> </w:t>
      </w:r>
      <w:r>
        <w:t xml:space="preserve">“When”</w:t>
      </w:r>
      <w:r>
        <w:t xml:space="preserve">: Forecasting the Residential Energy Load Shape from a Calibrated Behavioural</w:t>
      </w:r>
      <w:r>
        <w:t xml:space="preserve"> </w:t>
      </w:r>
      <w:r>
        <w:t xml:space="preserve">Occupancy Time-Series (Canada, 2005 to 2030)</w:t>
      </w:r>
    </w:p>
    <w:bookmarkEnd w:id="41"/>
    <w:bookmarkStart w:id="42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Orcun Koral Iseri</w:t>
      </w:r>
      <w:r>
        <w:rPr>
          <w:vertAlign w:val="superscript"/>
        </w:rPr>
        <w:t xml:space="preserve">1,*</w:t>
      </w:r>
      <w:r>
        <w:t xml:space="preserve">, Caroline Hachem-Vermette</w:t>
      </w:r>
      <w:r>
        <w:rPr>
          <w:vertAlign w:val="superscript"/>
        </w:rP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Gina Cody School of Engineering and Computer Science, Concordia University, 1455 De Maisonneuve</w:t>
      </w:r>
      <w:r>
        <w:t xml:space="preserve"> </w:t>
      </w:r>
      <w:r>
        <w:t xml:space="preserve">Blvd. W., Montréal, Québec, H3G 1M8, Canada</w:t>
      </w:r>
    </w:p>
    <w:p>
      <w:pPr>
        <w:pStyle w:val="FirstParagraph"/>
      </w:pPr>
      <w:r>
        <w:t xml:space="preserve">* Corresponding author: orcunkoral.oseri@concordia.ca</w:t>
      </w:r>
    </w:p>
    <w:p>
      <w:pPr>
        <w:pStyle w:val="BodyText"/>
      </w:pPr>
      <w:r>
        <w:rPr>
          <w:b/>
          <w:bCs/>
        </w:rPr>
        <w:t xml:space="preserve">ORCID.</w:t>
      </w:r>
      <w:r>
        <w:t xml:space="preserve"> </w:t>
      </w:r>
      <w:r>
        <w:t xml:space="preserve">Orcun Koral Iseri: https://orcid.org/0000-0001-7735-3363</w:t>
      </w:r>
    </w:p>
    <w:bookmarkEnd w:id="42"/>
    <w:bookmarkStart w:id="43" w:name="author-contribution-statement"/>
    <w:p>
      <w:pPr>
        <w:pStyle w:val="Heading2"/>
      </w:pPr>
      <w:r>
        <w:t xml:space="preserve">Author contribution statement</w:t>
      </w:r>
    </w:p>
    <w:p>
      <w:pPr>
        <w:pStyle w:val="FirstParagraph"/>
      </w:pPr>
      <w:r>
        <w:rPr>
          <w:b/>
          <w:bCs/>
        </w:rPr>
        <w:t xml:space="preserve">Orcun Koral Iseri:</w:t>
      </w:r>
      <w:r>
        <w:t xml:space="preserve"> </w:t>
      </w:r>
      <w:r>
        <w:t xml:space="preserve">Conceptualization, Methodology, Software, Formal analysis, Investigation, Data</w:t>
      </w:r>
      <w:r>
        <w:t xml:space="preserve"> </w:t>
      </w:r>
      <w:r>
        <w:t xml:space="preserve">curation, Validation, Visualization, Writing – original draft.</w:t>
      </w:r>
      <w:r>
        <w:t xml:space="preserve"> </w:t>
      </w:r>
      <w:r>
        <w:rPr>
          <w:b/>
          <w:bCs/>
        </w:rPr>
        <w:t xml:space="preserve">Caroline Hachem-Vermette:</w:t>
      </w:r>
      <w:r>
        <w:t xml:space="preserve"> </w:t>
      </w:r>
      <w:r>
        <w:t xml:space="preserve">Conceptualization, Supervision, Funding acquisition, Resources, Writing – review and editing. Both</w:t>
      </w:r>
      <w:r>
        <w:t xml:space="preserve"> </w:t>
      </w:r>
      <w:r>
        <w:t xml:space="preserve">authors read and approved the final manuscript.</w:t>
      </w:r>
    </w:p>
    <w:bookmarkEnd w:id="43"/>
    <w:bookmarkStart w:id="44" w:name="compliance-with-ethical-standards"/>
    <w:p>
      <w:pPr>
        <w:pStyle w:val="Heading2"/>
      </w:pPr>
      <w:r>
        <w:t xml:space="preserve">Compliance with ethical standards</w:t>
      </w:r>
    </w:p>
    <w:p>
      <w:pPr>
        <w:pStyle w:val="FirstParagraph"/>
      </w:pPr>
      <w:r>
        <w:rPr>
          <w:b/>
          <w:bCs/>
        </w:rPr>
        <w:t xml:space="preserve">Declaration of competing interest.</w:t>
      </w:r>
      <w:r>
        <w:t xml:space="preserve"> </w:t>
      </w:r>
      <w:r>
        <w:t xml:space="preserve">The authors have no competing interests to declare that are</w:t>
      </w:r>
      <w:r>
        <w:t xml:space="preserve"> </w:t>
      </w:r>
      <w:r>
        <w:t xml:space="preserve">relevant to the content of this article.</w:t>
      </w:r>
    </w:p>
    <w:p>
      <w:pPr>
        <w:pStyle w:val="BodyText"/>
      </w:pPr>
      <w:r>
        <w:rPr>
          <w:b/>
          <w:bCs/>
        </w:rPr>
        <w:t xml:space="preserve">Ethical approval.</w:t>
      </w:r>
      <w:r>
        <w:t xml:space="preserve"> </w:t>
      </w:r>
      <w:r>
        <w:t xml:space="preserve">This study does not contain any studies with human or animal subjects performed</w:t>
      </w:r>
      <w:r>
        <w:t xml:space="preserve"> </w:t>
      </w:r>
      <w:r>
        <w:t xml:space="preserve">by any of the authors. The analysis uses anonymized public-use microdata files released by Statistics</w:t>
      </w:r>
      <w:r>
        <w:t xml:space="preserve"> </w:t>
      </w:r>
      <w:r>
        <w:t xml:space="preserve">Canada.</w:t>
      </w:r>
    </w:p>
    <w:bookmarkEnd w:id="44"/>
    <w:bookmarkStart w:id="45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This postdoctoral research was financially supported by the Natural Sciences and Engineering Research</w:t>
      </w:r>
      <w:r>
        <w:t xml:space="preserve"> </w:t>
      </w:r>
      <w:r>
        <w:t xml:space="preserve">Council of Canada (NSERC) and the Voltage-Age Seed fund. The authors gratefully acknowledge this</w:t>
      </w:r>
      <w:r>
        <w:t xml:space="preserve"> </w:t>
      </w:r>
      <w:r>
        <w:t xml:space="preserve">support.</w:t>
      </w:r>
    </w:p>
    <w:bookmarkEnd w:id="45"/>
    <w:bookmarkEnd w:id="46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2026-08-07T17:39:40Z</dcterms:created>
  <dcterms:modified xsi:type="dcterms:W3CDTF">2026-08-07T17:39:40Z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