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Change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CO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(owner / general contractor)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Reference (RFI / drawing)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 issued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Reason for change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Owner request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Design change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Field conditions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Code requirement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Other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the change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is added, deleted or revised — reference the drawing, RFI or site condition that triggered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Pricing of the changed work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attach T&amp;M tickets or quotes as backup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5200"/>
        <w:gridCol w:w="900"/>
        <w:gridCol w:w="800"/>
        <w:gridCol w:w="1300"/>
        <w:gridCol w:w="13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5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Additions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Deductions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Net change this change order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contract sum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080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Original contract sum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Net change by previously approved change orders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Contract sum before this change order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This change order (add / deduct)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Revised contract sum including this change order</w:t>
            </w:r>
          </w:p>
        </w:tc>
        <w:tc>
          <w:tcPr>
            <w:tcW w:type="dxa" w:w="4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schedule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The contract time is  ☐ increased   ☐ decreased   ☐ unchanged  by ________ calendar days. Revised substantial completion date: ____________________.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Agreement</w:t>
      </w:r>
    </w:p>
    <w:p>
      <w:pPr>
        <w:spacing w:after="80" w:before="0" w:line="276"/>
      </w:pPr>
      <w:r>
        <w:rPr>
          <w:rFonts w:ascii="Arial" w:cs="Arial" w:eastAsia="Arial" w:hAnsi="Arial"/>
          <w:color w:val="1B1F24"/>
          <w:sz w:val="20"/>
          <w:szCs w:val="20"/>
        </w:rPr>
        <w:t xml:space="preserve">The price and time above are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full and final compensation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for the changed work, including all direct, indirect and cumulative impacts on the remaining work.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No changed work proceeds until both parties sign.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Once signed, this change order adjusts the contract sum and contract time and the changed work becomes billable on the next application for payment.</w:t>
      </w: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Approval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Both parties agree the contract sum and contract time are revised as shown above and the contractor is authorized to proceed with the described 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Owner / General 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authorized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Your contract may set specific notice periods, pricing rules (unit rates, allowable markup) and documentation requirements for changes — follow those first. Keep the signed original with the pay application it is billed on.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Change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Change Order Template</dc:title>
  <dc:subject>Construction Change Order Template</dc:subject>
  <dc:creator>BuildWorkPro</dc:creator>
  <cp:keywords>construction template, subcontractor, buildworkpro</cp:keywords>
  <dc:description>Construction Change Order Template — free construction template from BuildWorkPro (https://buildworkpro.com/templates/)</dc:description>
  <cp:lastModifiedBy>Un-named</cp:lastModifiedBy>
  <cp:revision>1</cp:revision>
  <dcterms:created xsi:type="dcterms:W3CDTF">2026-09-18T02:38:09.368Z</dcterms:created>
  <dcterms:modified xsi:type="dcterms:W3CDTF">2026-09-18T02:38:09.368Z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