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ThyroidXAgent: revision plan and point-by-point response</w:t>
      </w:r>
    </w:p>
    <w:p>
      <w:pPr>
        <w:spacing w:after="60"/>
      </w:pPr>
      <w:r>
        <w:rPr>
          <w:i/>
          <w:iCs/>
          <w:sz w:val="22"/>
          <w:szCs w:val="22"/>
        </w:rPr>
        <w:t xml:space="preserve">Manuscript: “Auditable agentic AI for evidence-grounded thyroid ultrasound diagnosis and reporting”</w:t>
      </w:r>
    </w:p>
    <w:p>
      <w:pPr>
        <w:spacing w:after="240"/>
      </w:pPr>
      <w:r>
        <w:rPr>
          <w:color w:val="595959"/>
          <w:sz w:val="20"/>
          <w:szCs w:val="20"/>
        </w:rPr>
        <w:t xml:space="preserve">Internal working draft prepared 9 October 2026. Reviewer decision: major revision (3 reviewers).</w:t>
      </w:r>
    </w:p>
    <w:p>
      <w:pPr>
        <w:spacing w:after="120" w:line="276"/>
      </w:pPr>
      <w:r>
        <w:rPr>
          <w:b/>
          <w:bCs/>
        </w:rPr>
        <w:t xml:space="preserve">How to read this document.</w:t>
      </w:r>
      <w:r>
        <w:t xml:space="preserve"> Part A is the revision plan: themes, who owns what, each person’s task list, a relative-week timeline, problems found in the current manuscript, and decisions that need Griffin. Part B is a draft point-by-point response to every reviewer comment, written in the authors’ voice and ready to edit.</w:t>
      </w:r>
    </w:p>
    <w:p>
      <w:pPr>
        <w:spacing w:after="120" w:line="276"/>
      </w:pPr>
      <w:r>
        <w:rPr>
          <w:b/>
          <w:bCs/>
        </w:rPr>
        <w:t xml:space="preserve">Placeholders.</w:t>
      </w:r>
      <w:r>
        <w:t xml:space="preserve"> Anything in </w:t>
      </w:r>
      <w:r>
        <w:rPr>
          <w:highlight w:val="yellow"/>
          <w:highlightCs w:val="yellow"/>
        </w:rPr>
        <w:t xml:space="preserve">[yellow brackets]</w:t>
      </w:r>
      <w:r>
        <w:t xml:space="preserve"> is a number, fact or result that does not exist yet or must be confirmed by the owner. No new results have been invented: replies that depend on new analyses describe the planned analysis and leave the numbers open. Clarification replies cite what the manuscript already says.</w:t>
      </w:r>
    </w:p>
    <w:p>
      <w:pPr>
        <w:spacing w:after="120" w:line="276"/>
      </w:pPr>
      <w:r>
        <w:rPr>
          <w:b/>
          <w:bCs/>
        </w:rPr>
        <w:t xml:space="preserve">Owners.</w:t>
      </w:r>
      <w:r>
        <w:t xml:space="preserve"> Shiyu (S.C.) leads report generation. Baidong (B.W.; spelled Bodong Wang in the author list, please confirm) leads segmentation and classification. Fei Chen (F.C.) leads clinical evaluation. Points outside these three areas are in a shared section for Griffin to allocate.</w:t>
      </w:r>
    </w:p>
    <w:p>
      <w:pPr>
        <w:pStyle w:val="Heading1"/>
      </w:pPr>
      <w:r>
        <w:t xml:space="preserve">Part A. Revision plan</w:t>
      </w:r>
    </w:p>
    <w:p>
      <w:pPr>
        <w:pStyle w:val="Heading2"/>
      </w:pPr>
      <w:r>
        <w:t xml:space="preserve">A1. What the reviewers are asking for</w:t>
      </w:r>
    </w:p>
    <w:p>
      <w:pPr>
        <w:spacing w:after="120" w:line="276"/>
      </w:pPr>
      <w:r>
        <w:t xml:space="preserve">All three reviewers like the evidence-workflow framing. Their concerns group into five themes. The first three are where the paper is most exposed; addressing them well decides the outcome.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4440"/>
        <w:gridCol w:w="1800"/>
        <w:gridCol w:w="18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Theme</w:t>
            </w:r>
          </w:p>
        </w:tc>
        <w:tc>
          <w:tcPr>
            <w:tcW w:type="dxa" w:w="44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What reviewers want</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Comments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Lead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 Statistical independence</w:t>
            </w:r>
          </w:p>
        </w:tc>
        <w:tc>
          <w:tcPr>
            <w:tcW w:type="dxa" w:w="4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Patient/examination-level splits, cross-dataset de-duplication, cluster-aware CIs, patient-level performance, a clear count of what “28,458 test cases” are.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R1.1, R2.2, R2.3, R3.3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Baidong</w:t>
            </w:r>
          </w:p>
        </w:tc>
      </w:tr>
      <w:tr>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2. Value of the agent itself</w:t>
            </w:r>
          </w:p>
        </w:tc>
        <w:tc>
          <w:tcPr>
            <w:tcW w:type="dxa" w:w="44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Routing ablations against single model, averaging, voting, rule-based, confidence-based, learned non-LLM router and an oracle; metadata ablation; router prompt, version, stability and routing records; agent failure modes and concurrency.</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R1.2, R2.8, R2.9, R2.16, R2.17, R3.1, R3.2</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Baidong (image), Shiyu (report agent)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 Data definitions and boundaries</w:t>
            </w:r>
          </w:p>
        </w:tc>
        <w:tc>
          <w:tcPr>
            <w:tcW w:type="dxa" w:w="4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Data-flow diagram per component; whether ZJH-8K is truly external; NHC-MISD-TUS description; reference standards; LNM and FTC/PTC label definitions.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R1.4, R2.4, R2.5, R2.6, R2.10, R2.11, R2.12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Fei Chen (clinical facts), Baidong (analysis)</w:t>
            </w:r>
          </w:p>
        </w:tc>
      </w:tr>
      <w:tr>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4. Clinical validation</w:t>
            </w:r>
          </w:p>
        </w:tc>
        <w:tc>
          <w:tcPr>
            <w:tcW w:type="dxa" w:w="44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ThyClinScore validated against blinded radiologists with agreement and sensitivity analyses; stronger reader study statistics and design; abstention and mandatory-review rules with measured effect.</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R1.3, R1.5, R1.6, R2.13, R2.18, R2.19, R3.4, R3.5</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Fei Chen, Shiyu</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5. Reporting quality</w:t>
            </w:r>
          </w:p>
        </w:tc>
        <w:tc>
          <w:tcPr>
            <w:tcW w:type="dxa" w:w="4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Number consistency, definition of “mean”, baseline training protocol, ethics and consent, methods details, TI-RADS system, language, code licence/tests/release.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R2.1, R2.7, R2.14, R2.15, R2.20–R2.23, R2 code, R3 minor 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Shared + all</w:t>
            </w:r>
          </w:p>
        </w:tc>
      </w:tr>
    </w:tbl>
    <w:p>
      <w:pPr>
        <w:spacing w:after="80"/>
      </w:pPr>
    </w:p>
    <w:p>
      <w:pPr>
        <w:pStyle w:val="Heading2"/>
      </w:pPr>
      <w:r>
        <w:t xml:space="preserve">A2. Ownership at a glance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900"/>
        <w:gridCol w:w="274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Person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Area</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Leads on</w:t>
            </w:r>
          </w:p>
        </w:tc>
        <w:tc>
          <w:tcPr>
            <w:tcW w:type="dxa" w:w="27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Supports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Shiyu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Report generation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R1.5 (metric + template audit), R2.16, R2.17, R2.18 (weights), R2.19, R3.5, R3 minor 1; report-generation numbers in R2.1</w:t>
            </w:r>
          </w:p>
        </w:tc>
        <w:tc>
          <w:tcPr>
            <w:tcW w:type="dxa" w:w="2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R1.6 / R2.13 / R3.4 (reader-study data), R1.4 / R3.3 (report-side data flow)</w:t>
            </w:r>
          </w:p>
        </w:tc>
      </w:tr>
      <w:tr>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Baidong</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Segmentation and classification</w:t>
            </w:r>
          </w:p>
        </w:tc>
        <w:tc>
          <w:tcPr>
            <w:tcW w:type="dxa" w:w="3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R1.1, R1.2, R1.3 (analysis), R2.2, R2.6 (analysis), R2.7, R2.8, R2.9, R2.11, R2.14, R2.20, R2.21, R3.1, R3.2; image-side numbers in R2.1</w:t>
            </w:r>
          </w:p>
        </w:tc>
        <w:tc>
          <w:tcPr>
            <w:tcW w:type="dxa" w:w="27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R1.4 / R3.3 (image-side data flow), R2.10, R2.12, R1.6 (safety thresholds)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Fei Chen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Clinical evaluation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R1.6, R2.4, R2.5, R2.10 and R2.12 (clinical definitions), R2.13, R2.15 (Zhujiang approvals), R2.23, R3.4; radiologist panel for R1.5 / R2.18 / R3.5; safety policy in R1.3</w:t>
            </w:r>
          </w:p>
        </w:tc>
        <w:tc>
          <w:tcPr>
            <w:tcW w:type="dxa" w:w="2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R2.11 (clinical sample-size context)</w:t>
            </w:r>
          </w:p>
        </w:tc>
      </w:tr>
      <w:tr>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Shared (Griffin to allocate)</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Cross-cutting</w:t>
            </w:r>
          </w:p>
        </w:tc>
        <w:tc>
          <w:tcPr>
            <w:tcW w:type="dxa" w:w="3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R2.1 (full audit), R2.3 / R3.3 (data hierarchy text + flowchart assembly), R2.15 (NHC-MISD-TUS governance), R2.22, code availability (R2), cover letter, limitations</w:t>
            </w:r>
          </w:p>
        </w:tc>
        <w:tc>
          <w:tcPr>
            <w:tcW w:type="dxa" w:w="27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w:t>
            </w:r>
          </w:p>
        </w:tc>
      </w:tr>
    </w:tbl>
    <w:p>
      <w:pPr>
        <w:spacing w:after="80"/>
      </w:pPr>
    </w:p>
    <w:p>
      <w:pPr>
        <w:pStyle w:val="Heading2"/>
      </w:pPr>
      <w:r>
        <w:t xml:space="preserve">A3. Shiyu: report generation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40"/>
        <w:gridCol w:w="1300"/>
        <w:gridCol w:w="2300"/>
        <w:gridCol w:w="16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w:t>
            </w:r>
          </w:p>
        </w:tc>
        <w:tc>
          <w:tcPr>
            <w:tcW w:type="dxa" w:w="4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Task</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Addresses</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Deliverable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Needs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S1</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ThyClinScore sensitivity analysis. Write down the values actually used for λ, η, α_s, β_f, τ, the lesion-matching threshold and the weights w_q and u_r, and how each was chosen. Vary each over a grid; report model ranking stability (Kendall’s τ between rankings) and correlation with the LLM judge and, later, radiologist ratings.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R1.5, R2.18, R3.5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Supp. table + figure; Methods 4.4 text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S2</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Build the radiologist rating package: a stratified sample of </w:t>
            </w:r>
            <w:r>
              <w:rPr>
                <w:sz w:val="19"/>
                <w:szCs w:val="19"/>
                <w:highlight w:val="yellow"/>
                <w:highlightCs w:val="yellow"/>
              </w:rPr>
              <w:t xml:space="preserve">[~200]</w:t>
            </w:r>
            <w:r>
              <w:rPr>
                <w:sz w:val="19"/>
                <w:szCs w:val="19"/>
              </w:rPr>
              <w:t xml:space="preserve"> generated reports (all three test sets, ThyroidXAgent and main baselines), anonymised, model identity hidden, randomised order, with the reference report. After Fei Chen’s panel scores them, compute metric–rating correlations (Pearson/Spearman with bootstrap CIs; Steiger’s test to compare correlated correlations).</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R1.5, R2.18, R2.19, R3.5</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Rating package; correlation table; replaces/extends Fig. 4c</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F3 panel</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S3</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Template leakage audit. (a) Patient-ID overlap between each template library and its test set; (b) near-duplicate report text between library and test references (normalise numbers, then MinHash/n-gram Jaccard); (c) re-run evaluation after removing near-duplicate templates; (d) cross-library swap (SMU-HMC library on KMVE/ZJH-TS and vice versa) to measure centre-specific template effects.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R1.5, R2.19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Supp. table; Methods 4.5 text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S4</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Document template construction honestly: how reports were decomposed into the five clause categories, de-duplication, the slot list, clause-assembly rules, how much was manual and roughly how many person-hours, and how a new centre is onboarded (Supp. Fig. S6). Replace “training-free” with a qualified term.</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R2.19</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Methods 4.5 + Supp. Note</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S5</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Agent failure-mode analysis from execution logs on all report-generation test cases: invalid tool calls, unnecessary calls, hallucinated tasks, repeated calls, execution failures, retries, rollbacks. Build a taxonomy and rates; pick representative traces for a success, no nodule, multiple nodules and conflicting evidence.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R2.16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Supp. table + trace figure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Logs must exist; if not, re-run with logging</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S6</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Concurrency and de-duplication between lymph-node screening and nodule analysis: describe what the code actually does (sequential or parallel; how the fusion stage resolves overlapping detections); count how often both branches flag the same structure.</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R2.17</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Methods paragraph + count</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S7</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Evidence-to-text control: give the strongest multimodal LLM baselines the same structured evidence ThyroidXAgent receives, so perception and language generation can be separated. Describe exactly what input each baseline received.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R3 minor 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Extra rows in Tables S14/S15; Results text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S8</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Fix report-generation numbers in the main text to match Tables S14–S16 and Fig. 5f (see A7), and state explicitly which ThyClinScore submetrics are led by baselines.</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R2.1, R3.5</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Corrected Results 2.6</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S9</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Report-side part of the data-flow diagram: SMU-HMC, KMVE, ZJH-TS, TNVideo, both template libraries, which split each was used for.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R1.4, R3.3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Panel for the new data-flow figure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Merges with B12</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S10</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Export per-case reader-study logs for Fei Chen: reader ID, condition, case order/position, times, revision counts, final reports.</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R1.6, R2.13, R3.4</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Clean data file</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w:t>
            </w:r>
          </w:p>
        </w:tc>
      </w:tr>
    </w:tbl>
    <w:p>
      <w:pPr>
        <w:spacing w:after="80"/>
      </w:pPr>
    </w:p>
    <w:p>
      <w:pPr>
        <w:pStyle w:val="Heading2"/>
      </w:pPr>
      <w:r>
        <w:t xml:space="preserve">A4. Baidong: segmentation and classification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40"/>
        <w:gridCol w:w="1300"/>
        <w:gridCol w:w="2300"/>
        <w:gridCol w:w="16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w:t>
            </w:r>
          </w:p>
        </w:tc>
        <w:tc>
          <w:tcPr>
            <w:tcW w:type="dxa" w:w="4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Task</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Addresses</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Deliverable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Needs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B1</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Patient/examination audit of every segmentation and classification cohort: which have patient or case IDs, whether original splits are patient-disjoint, and cross-dataset near-duplicate screening (perceptual hash + DINOv3 embedding similarity, manual check of flagged pairs), with special attention to TN3K vs ZJH-8K (same hospital).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R1.1, R2.2, R3.3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Audit table; Methods text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F6 for hospital IDs</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B2</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Recompute CIs with patient- or examination-level (cluster) bootstrap for Tables S3, S4, S5 and S7–S12. Add patient-level classification on ZJH-8K (1,149 cases) and any cohort with IDs, with a stated aggregation rule (e.g. mean or max probability per case).</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R1.1, R2.2</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Updated tables; new patient-level table</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B1</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B3</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Routing ablation on the same expert pool: best single expert (chosen on validation), probability/mask averaging, majority voting, rule-based routing, confidence-based routing, a learned non-LLM router (e.g. gradient boosting on the same quality features), the LLM router, and an oracle upper bound. Segmentation and classification, all test sets including NHC-MISD-TUS; paired tests with cluster bootstrap.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R1.2, R2.8, R3.1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New main-text figure or table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B4</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Component ablation (single DINOv3 expert on the full stacked data vs expert pool vs pool + radiomics) and reconcile Table S6 with Table S4: single experts in S6 reach AUROC 0.992–0.994 on ZJH-8K, while ThyroidXAgent is 0.9175 in S4. Reviewers running the ablation lens will notice this.</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R2.8</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Ablation table; corrected S6 caption</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B5</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Router metadata ablation: full input vs without data source vs without device vs quality signals only. Plot expert-selection frequency per centre; test association between selected expert and centre.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R3.2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Supp. table + heatmap</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B3 setup</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B6</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Router transparency: full prompt, LLM name/version, decoding parameters, JSON schema; repeat routing </w:t>
            </w:r>
            <w:r>
              <w:rPr>
                <w:sz w:val="19"/>
                <w:szCs w:val="19"/>
                <w:highlight w:val="yellow"/>
                <w:highlightCs w:val="yellow"/>
              </w:rPr>
              <w:t xml:space="preserve">[5]</w:t>
            </w:r>
            <w:r>
              <w:rPr>
                <w:sz w:val="19"/>
                <w:szCs w:val="19"/>
              </w:rPr>
              <w:t xml:space="preserve"> times per case and report selection agreement and metric variance, stratified by how close the candidates were; at least 10 structured routing records.</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R2.9</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Supp. Note + table</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B7</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NHC-MISD-TUS heterogeneity: per-centre patients, nodules, images, scanners, label availability; centre-level macro-averages; random-effects pooling with I² and τ²; meta-regression on scanner, image-quality measures, case mix and nodule size; dedicated look at THYB_S_ZJ24 (nodule Dice 45.53%) and the low gland Dice (59.28% overall).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R1.3, R2.6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Supp. tables; new Results paragraph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Centre metadata from G3</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B8</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Calibration and abstention: reliability diagrams, ECE and Brier score per cohort/centre; uncertainty triggers (expert disagreement, entropy, router flag) with thresholds fixed on validation; risk–coverage curves and the share of cases sent to review per centre.</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R1.3, R1.6</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Figure + table feeding F4</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B9</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LNM and FTC/PTC: document transfer learning, augmentation and regularisation; replace the 20-case validation with patient-level 5-fold CV; patient-level aggregation; fix the 4,753 vs 4,936 image count; retrain FTC/PTC if true FTC cases are obtained (F7).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R2.10, R2.11, R2.12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Methods + updated Table S5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F7</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B10</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Baseline protocol table (retrained / fine-tuned / original weights / zero-shot, with data used) and retrain key baselines on the identical stacked training data where they were not.</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R2.14</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Supp. table; rows in S3/S4</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B11</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Methods detail: connected-component minimum area, whether this affects reported Dice or only radiomics input, effect on nodules &lt; 5 mm (count removed), multi-nodule separation; AutoGluon version/presets/bagging/time limit and PyRadiomics settings and feature count.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R2.20, R2.21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Methods 4.3 + Supp. Note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B12</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Image-side data-flow diagram including where every threshold was selected; fix mean AUROC/AUPRC and define the averaging (see A7).</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R1.4, R2.1, R2.7</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Panel for the new data-flow figure</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Merges with S9</w:t>
            </w:r>
          </w:p>
        </w:tc>
      </w:tr>
    </w:tbl>
    <w:p>
      <w:pPr>
        <w:spacing w:after="80"/>
      </w:pPr>
    </w:p>
    <w:p>
      <w:pPr>
        <w:pStyle w:val="Heading2"/>
      </w:pPr>
      <w:r>
        <w:t xml:space="preserve">A5. Fei Chen: clinical evaluation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40"/>
        <w:gridCol w:w="1300"/>
        <w:gridCol w:w="2300"/>
        <w:gridCol w:w="16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w:t>
            </w:r>
          </w:p>
        </w:tc>
        <w:tc>
          <w:tcPr>
            <w:tcW w:type="dxa" w:w="4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Task</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Addresses</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Deliverable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Needs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F1</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Expanded report-writing reader study: recruit </w:t>
            </w:r>
            <w:r>
              <w:rPr>
                <w:sz w:val="19"/>
                <w:szCs w:val="19"/>
                <w:highlight w:val="yellow"/>
                <w:highlightCs w:val="yellow"/>
              </w:rPr>
              <w:t xml:space="preserve">[≥4]</w:t>
            </w:r>
            <w:r>
              <w:rPr>
                <w:sz w:val="19"/>
                <w:szCs w:val="19"/>
              </w:rPr>
              <w:t xml:space="preserve"> additional readers across seniority levels; fully crossed design (every reader reads every case in both conditions) with a washout of </w:t>
            </w:r>
            <w:r>
              <w:rPr>
                <w:sz w:val="19"/>
                <w:szCs w:val="19"/>
                <w:highlight w:val="yellow"/>
                <w:highlightCs w:val="yellow"/>
              </w:rPr>
              <w:t xml:space="preserve">[≥4 weeks]</w:t>
            </w:r>
            <w:r>
              <w:rPr>
                <w:sz w:val="19"/>
                <w:szCs w:val="19"/>
              </w:rPr>
              <w:t xml:space="preserve"> and randomised case order; analysis plan fixed before unblinding. This is the critical path.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R1.6, R2.13, R3.4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Protocol, data, results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Ethics amendment if required</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F2</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Re-analyse the existing two-reader study: per-reader results with CIs, mixed-effects models (condition fixed; reader and case random), learning effect over case position, error categories (missed nodule, laterality, size, TI-RADS, hallucinated finding, omitted lymph node). Document how case order was assigned.</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R1.6, R2.13, R3.4</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Revised Fig. 6 + Supp. table</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S10 data</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F3</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Radiologist panel for ThyClinScore: </w:t>
            </w:r>
            <w:r>
              <w:rPr>
                <w:sz w:val="19"/>
                <w:szCs w:val="19"/>
                <w:highlight w:val="yellow"/>
                <w:highlightCs w:val="yellow"/>
              </w:rPr>
              <w:t xml:space="preserve">[≥3]</w:t>
            </w:r>
            <w:r>
              <w:rPr>
                <w:sz w:val="19"/>
                <w:szCs w:val="19"/>
              </w:rPr>
              <w:t xml:space="preserve"> blinded radiologists rate the S2 package for clinical accuracy, factual consistency, readability and usability, with error counts; compute inter-rater agreement (ICC, Krippendorff’s α).</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R1.5, R2.18, R2.19, R3.5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Ratings + agreement table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S2 package</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F4</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Clinical safety policy: with Baidong, define when the system abstains or forces mandatory review; clinically review flagged cases; quantify effect on missed malignancies, false positives and workload on the retrospective test sets.</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R1.3, R1.6</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Policy text + results table</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B8</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F5</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Reference standards and annotation procedures for ZJH-8K, ZJH-TS, TNVideo and SMU-HMC: who annotated, qualifications and years, how disagreements were adjudicated, pathology/cytology confirmation, exclusions and missing data.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R2.5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Methods 4.1 text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F6</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ZJH-8K vs TN3K independence: collection periods, patient overlap check using hospital IDs, scanners, clinical pathway (e.g. surgical cohort vs general ultrasound). Recommend whether ZJH-8K stays “external”.</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R2.4</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Short memo + Methods text</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B1</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F7</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LNM and FTC/PTC clinical definitions: what CN0/CN1 means in ZJH-8K (central compartment, clinical or pathological), whether the target is central, lateral or any cervical LNM, what the inputs are (primary tumour images in ZJH-8K vs lymph-node images in LymphUs); clinical justification of training on classic vs follicular-variant PTC; search pathology for true FTC cases.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R2.10, R2.12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Definitions memo; FTC case list if available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F8</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TI-RADS: confirm which system each cohort’s reports use (TI-RADS 4b suggests C-TIRADS or Kwak rather than ACR) and how categories are harmonised.</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R2.23</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Methods sentence + mapping table</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F9</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Zhujiang ethics: study design (retrospective), period, consent waiver or consent obtained, de-identification, governance for each institutional dataset.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R2.15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Ethics statement text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Ethics office</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F10</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Clinical framing: read the abstract and Discussion for over-claiming; rename “diagnostic consistency” to “annotation-derived diagnostic-direction concordance”; make clear the reader studies show feasibility and efficiency, not patient benefit.</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R1.6, R3.4</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Tracked edits</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w:t>
            </w:r>
          </w:p>
        </w:tc>
      </w:tr>
    </w:tbl>
    <w:p>
      <w:pPr>
        <w:spacing w:after="80"/>
      </w:pPr>
    </w:p>
    <w:p>
      <w:pPr>
        <w:pStyle w:val="Heading2"/>
      </w:pPr>
      <w:r>
        <w:t xml:space="preserve">A6. Shared tasks for Griffin to allocate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040"/>
        <w:gridCol w:w="1300"/>
        <w:gridCol w:w="2300"/>
        <w:gridCol w:w="16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w:t>
            </w:r>
          </w:p>
        </w:tc>
        <w:tc>
          <w:tcPr>
            <w:tcW w:type="dxa" w:w="4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Task</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Addresses</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Deliverable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Needs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G1</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Full numerical consistency audit across abstract, text, figures and supplementary tables; A7 below is a starting list from this read, not a complete one.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R2.1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Corrections log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All owners</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G2</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Rewrite the data description: replace “28,458 non-overlapping test cases” with an explicit hierarchy and assemble the flowchart (patient → examination → image/video → lesion → task) from B12 and S9.</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R2.3, R3.3, R1.4</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New Fig. 1 panel or Supp. Fig.</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B1, B12, S9</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G3</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NHC-MISD-TUS governance with Prof. Dexing Kong: its own ethics approval or data-use agreement, centre list and metadata, de-identification.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R2.6, R2.15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Statement + centre metadata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G4</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Code release: add a LICENSE (check compatibility with the DINOv3 licence and other third-party weights), automated tests with CI, a tagged release archived with a DOI, a pinned environment or container, and one script per main table/figure.</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R2 code</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Tagged release + DOI</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All owners’ scripts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G5</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Language editing and typo pass (examples in A7).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R2.22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Clean manuscript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t>
            </w:r>
          </w:p>
        </w:tc>
      </w:tr>
      <w:t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G6</w:t>
            </w:r>
          </w:p>
        </w:tc>
        <w:tc>
          <w:tcPr>
            <w:tcW w:type="dxa" w:w="4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Limitations and Discussion revision; cover letter; final assembly of this response letter with all placeholders filled.</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All</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Submission package</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Everything above</w:t>
            </w:r>
          </w:p>
        </w:tc>
      </w:tr>
    </w:tbl>
    <w:p>
      <w:pPr>
        <w:spacing w:after="80"/>
      </w:pPr>
    </w:p>
    <w:p>
      <w:pPr>
        <w:pStyle w:val="Heading2"/>
      </w:pPr>
      <w:r>
        <w:t xml:space="preserve">A7. Problems found while reading the manuscript</w:t>
      </w:r>
    </w:p>
    <w:p>
      <w:pPr>
        <w:spacing w:after="120" w:line="276"/>
      </w:pPr>
      <w:r>
        <w:t xml:space="preserve">These were found by cross-checking the PDF and are exactly the kind of inconsistency Reviewer 2 (comment 1) means. Each needs the owner to confirm the correct value from source data before the response cites 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00"/>
        <w:gridCol w:w="6440"/>
        <w:gridCol w:w="15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Where</w:t>
            </w:r>
          </w:p>
        </w:tc>
        <w:tc>
          <w:tcPr>
            <w:tcW w:type="dxa" w:w="64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What is inconsistent</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Owner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Abstract; Results 2.2</w:t>
            </w:r>
          </w:p>
        </w:tc>
        <w:tc>
          <w:tcPr>
            <w:tcW w:type="dxa" w:w="6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Mean classification AUROC 0.9466 and AUPRC 0.8361 cannot be reproduced from Table S4. Unweighted mean of the five ThyroidXAgent values is 0.9001 / 0.8705; test-size-weighted mean is 0.9228 / 0.9533. (Dice 87.21% and HD95 6.90 mm do reproduce.)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Baidong</w:t>
            </w:r>
          </w:p>
        </w:tc>
      </w:tr>
      <w:t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Results 2.6 vs Table S14 / Fig. 5f</w:t>
            </w:r>
          </w:p>
        </w:tc>
        <w:tc>
          <w:tcPr>
            <w:tcW w:type="dxa" w:w="64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SMU-HMC BLEU-1/BLEU-4/ROUGE-L: text 0.5961/0.3405/0.5450 vs table 0.5924/0.3381/0.5422. KMVE: text 0.6209/0.4465/0.3596/0.5826 vs table 0.6357/0.4535/0.3672/0.5880. ZJH-TS: text 0.5134/0.2942/0.5529 vs table 0.5051/0.2909/0.5480.</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Shiyu</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Results 2.6 vs Table S15 / Fig. 5f</w:t>
            </w:r>
          </w:p>
        </w:tc>
        <w:tc>
          <w:tcPr>
            <w:tcW w:type="dxa" w:w="6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ThyClinScore: text 0.5238 / 0.4465 / 0.4775 vs table 0.5189 / 0.4407 / 0.4676 (SMU-HMC / KMVE / ZJH-TS).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Shiyu</w:t>
            </w:r>
          </w:p>
        </w:tc>
      </w:tr>
      <w:t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Fig. 3b vs Table S5</w:t>
            </w:r>
          </w:p>
        </w:tc>
        <w:tc>
          <w:tcPr>
            <w:tcW w:type="dxa" w:w="64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AUROC and AUPRC labels appear swapped for both tasks. Table: LNM AUROC 0.8642, AUPRC 0.8808; FTC/PTC AUROC 0.8053, AUPRC 0.7863. Figure shows LNM AUROC 0.881 and FTC/PTC AUROC 0.786. The percentages also follow the swap.</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Baidong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Methods 4.1</w:t>
            </w:r>
          </w:p>
        </w:tc>
        <w:tc>
          <w:tcPr>
            <w:tcW w:type="dxa" w:w="6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“4,756 malignant images … plus 180 LymphUs images (total 4,753 images)”: 4,756 + 180 = 4,936.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Baidong</w:t>
            </w:r>
          </w:p>
        </w:tc>
      </w:tr>
      <w:t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Methods 4.1 vs 2.4</w:t>
            </w:r>
          </w:p>
        </w:tc>
        <w:tc>
          <w:tcPr>
            <w:tcW w:type="dxa" w:w="64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LymphUs labels described as “confirmed by fine-needle aspiration biopsy” while the cohort is “histologically confirmed PTC”; ZJH-8K uses CN0/CN1 on primary-tumour images while LymphUs images are lymph nodes; the task is called lateral LNM. Needs one consistent definition (R2.12).</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Fei Chen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Results 2.4 vs Fig. 3c</w:t>
            </w:r>
          </w:p>
        </w:tc>
        <w:tc>
          <w:tcPr>
            <w:tcW w:type="dxa" w:w="6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Text says LNM relied on “distance to the thyroid capsule and lesion area”; the SHAP features shown are intensity, GLCM, NGTDM and shape descriptors, with no capsule-distance feature.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Baidong</w:t>
            </w:r>
          </w:p>
        </w:tc>
      </w:tr>
      <w:t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Results 2.6 vs Fig. 6e</w:t>
            </w:r>
          </w:p>
        </w:tc>
        <w:tc>
          <w:tcPr>
            <w:tcW w:type="dxa" w:w="64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Text says “similar time savings for both readers”; Fig. 6e shows −13.0% and −36.8%.</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Fei Chen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Results 2.3 vs Fig. 2i</w:t>
            </w:r>
          </w:p>
        </w:tc>
        <w:tc>
          <w:tcPr>
            <w:tcW w:type="dxa" w:w="6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AI-assisted time 9.11 s in text vs 9.2 s in the figure.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Baidong</w:t>
            </w:r>
          </w:p>
        </w:tc>
      </w:tr>
      <w:t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Abstract / 2.1 vs Fig. 1a</w:t>
            </w:r>
          </w:p>
        </w:tc>
        <w:tc>
          <w:tcPr>
            <w:tcW w:type="dxa" w:w="64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ZJH-8K is 7,958 images from 1,149 cases, but Fig. 1a labels it “7,958 cases” for classification.</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Shared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Abstract / Intro</w:t>
            </w:r>
          </w:p>
        </w:tc>
        <w:tc>
          <w:tcPr>
            <w:tcW w:type="dxa" w:w="6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“28,458 non-overlapping test cases” = 19,737 images + 8,721 NHC-MISD-TUS units (R2.3, R3.3). Intro says “40 heterogeneous multicentre datasets”; the count used elsewhere is 7 + 4 cohorts + 35 centres, so the 40 needs defining.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Shared</w:t>
            </w:r>
          </w:p>
        </w:tc>
      </w:tr>
      <w:t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Table S4</w:t>
            </w:r>
          </w:p>
        </w:tc>
        <w:tc>
          <w:tcPr>
            <w:tcW w:type="dxa" w:w="64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ResNet-50 has identical AUROC on DDTI and ZJH-8K (0.6704 ± 0.0842), likely a copy error. ThyroidXAgent ZJH-8K AUPRC CI ±0.0006 is implausibly narrow.</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Baidong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Table S6 vs Table S4 / S3</w:t>
            </w:r>
          </w:p>
        </w:tc>
        <w:tc>
          <w:tcPr>
            <w:tcW w:type="dxa" w:w="6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Single experts reach AUROC 0.992–0.994 on ZJH-8K (S6) vs 0.9175 for ThyroidXAgent (S4); single-expert ZJH-8K Dice 94.57–94.85 vs 94.30. Either the protocols differ (explain) or the router underperforms a single expert on this cohort.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Baidong</w:t>
            </w:r>
          </w:p>
        </w:tc>
      </w:tr>
      <w:t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Tables S11 / S12</w:t>
            </w:r>
          </w:p>
        </w:tc>
        <w:tc>
          <w:tcPr>
            <w:tcW w:type="dxa" w:w="64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Centres with one class or ≤ 5 cases report AUROC 0.500 and AUPRC 0.000 or 1.000. Mark these as not estimable and exclude them from macro-averages.</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Baidong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Tables S7–S8</w:t>
            </w:r>
          </w:p>
        </w:tc>
        <w:tc>
          <w:tcPr>
            <w:tcW w:type="dxa" w:w="6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Gland segmentation on NHC-MISD-TUS (overall Dice 59.28%) is not discussed; MedSAM2 is better at several centres. Reviewer 1 comment 3 is about this kind of variation.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Baidong</w:t>
            </w:r>
          </w:p>
        </w:tc>
      </w:tr>
      <w:t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Results 2.6 / Table S14</w:t>
            </w:r>
          </w:p>
        </w:tc>
        <w:tc>
          <w:tcPr>
            <w:tcW w:type="dxa" w:w="64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ThyroidXAgent is not first on METEOR for SMU-HMC (0.3627 vs Qwen3.5 0.3628) or ZJH-TS (0.3293 vs 0.3508). “Strongest overall” should be worded with that in mind.</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Shiyu</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Data availability</w:t>
            </w:r>
          </w:p>
        </w:tc>
        <w:tc>
          <w:tcPr>
            <w:tcW w:type="dxa" w:w="6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Dataset named “NHC-MISD-TUS” elsewhere and “NHCMISD” here.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Shared</w:t>
            </w:r>
          </w:p>
        </w:tc>
      </w:tr>
      <w:tr>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Typos</w:t>
            </w:r>
          </w:p>
        </w:tc>
        <w:tc>
          <w:tcPr>
            <w:tcW w:type="dxa" w:w="64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“ThyroidXAgent improved produced”, “evidence-centerd”, “Confilts”, “The authors has no confilt of interests”, “Lymph Node Metastatis” (Fig. 3b), “Static Pipline” (Fig. 5g), “BlEU-4” and “Correlation with LLM a Judge score” (Fig. 4c).</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Shared</w:t>
            </w:r>
          </w:p>
        </w:tc>
      </w:tr>
    </w:tbl>
    <w:p>
      <w:pPr>
        <w:spacing w:after="80"/>
      </w:pPr>
    </w:p>
    <w:p>
      <w:pPr>
        <w:pStyle w:val="Heading2"/>
      </w:pPr>
      <w:r>
        <w:t xml:space="preserve">A8. Timeline (relative weeks)</w:t>
      </w:r>
    </w:p>
    <w:p>
      <w:pPr>
        <w:spacing w:after="120" w:line="276"/>
      </w:pPr>
      <w:r>
        <w:t xml:space="preserve">No deadline was given; journals usually allow a few months for a major revision. The plan below fits in about eight weeks. The expanded reader study (F1) and the radiologist panel (F3) set the pace because of recruitment and the washout period, so they start in week 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2260"/>
        <w:gridCol w:w="2260"/>
        <w:gridCol w:w="2260"/>
        <w:gridCol w:w="226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Weeks</w:t>
            </w:r>
          </w:p>
        </w:tc>
        <w:tc>
          <w:tcPr>
            <w:tcW w:type="dxa" w:w="2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Shiyu</w:t>
            </w:r>
          </w:p>
        </w:tc>
        <w:tc>
          <w:tcPr>
            <w:tcW w:type="dxa" w:w="2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Baidong</w:t>
            </w:r>
          </w:p>
        </w:tc>
        <w:tc>
          <w:tcPr>
            <w:tcW w:type="dxa" w:w="2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Fei Chen</w:t>
            </w:r>
          </w:p>
        </w:tc>
        <w:tc>
          <w:tcPr>
            <w:tcW w:type="dxa" w:w="2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Shared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Kick-off: confirm owners, freeze the data snapshot, take the A9 decisions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Griffin allocates G1–G6</w:t>
            </w:r>
          </w:p>
        </w:tc>
      </w:tr>
      <w:t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1–2</w:t>
            </w:r>
          </w:p>
        </w:tc>
        <w:tc>
          <w:tcPr>
            <w:tcW w:type="dxa" w:w="2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S4, S9, S10; build S2 rating package; start S3</w:t>
            </w:r>
          </w:p>
        </w:tc>
        <w:tc>
          <w:tcPr>
            <w:tcW w:type="dxa" w:w="2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B1 audit, B11, B12; set up B3 framework</w:t>
            </w:r>
          </w:p>
        </w:tc>
        <w:tc>
          <w:tcPr>
            <w:tcW w:type="dxa" w:w="2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F5–F9 documentation; recruit readers and radiologists (F1, F3); ethics amendment if needed</w:t>
            </w:r>
          </w:p>
        </w:tc>
        <w:tc>
          <w:tcPr>
            <w:tcW w:type="dxa" w:w="2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G1 audit; G3 request to Prof. Kong</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2–5</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S1, S3, S5, S6, S7</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B2–B10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F1 reading sessions with washout; F3 ratings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G4 code clean-up</w:t>
            </w:r>
          </w:p>
        </w:tc>
      </w:tr>
      <w:t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5–6</w:t>
            </w:r>
          </w:p>
        </w:tc>
        <w:tc>
          <w:tcPr>
            <w:tcW w:type="dxa" w:w="2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S2 correlations with F3 ratings; S8</w:t>
            </w:r>
          </w:p>
        </w:tc>
        <w:tc>
          <w:tcPr>
            <w:tcW w:type="dxa" w:w="2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Synthesis of B3–B8; B9 final</w:t>
            </w:r>
          </w:p>
        </w:tc>
        <w:tc>
          <w:tcPr>
            <w:tcW w:type="dxa" w:w="2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F2, F4 analyses</w:t>
            </w:r>
          </w:p>
        </w:tc>
        <w:tc>
          <w:tcPr>
            <w:tcW w:type="dxa" w:w="2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G2 flowchart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6–7</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Manuscript edits for report sections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Manuscript edits for image sections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F10 framing pass; F1 results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G5 language; G6 cover letter and response</w:t>
            </w:r>
          </w:p>
        </w:tc>
      </w:tr>
      <w:t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8</w:t>
            </w:r>
          </w:p>
        </w:tc>
        <w:tc>
          <w:tcPr>
            <w:tcW w:type="dxa" w:w="2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rPr>
                <w:sz w:val="19"/>
                <w:szCs w:val="19"/>
              </w:rPr>
              <w:t xml:space="preserve">Internal review by all authors; fill every placeholder; submit</w:t>
            </w:r>
          </w:p>
        </w:tc>
        <w:tc>
          <w:tcPr>
            <w:tcW w:type="dxa" w:w="2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p>
        </w:tc>
        <w:tc>
          <w:tcPr>
            <w:tcW w:type="dxa" w:w="2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p>
        </w:tc>
        <w:tc>
          <w:tcPr>
            <w:tcW w:type="dxa" w:w="2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p>
        </w:tc>
      </w:tr>
    </w:tbl>
    <w:p>
      <w:pPr>
        <w:spacing w:after="80"/>
      </w:pPr>
    </w:p>
    <w:p>
      <w:pPr>
        <w:pStyle w:val="Heading2"/>
      </w:pPr>
      <w:r>
        <w:t xml:space="preserve">A9. Decisions needed from Griffin</w:t>
      </w:r>
    </w:p>
    <w:p>
      <w:pPr>
        <w:pStyle w:val="ListParagraph"/>
        <w:numPr>
          <w:ilvl w:val="0"/>
          <w:numId w:val="2"/>
        </w:numPr>
        <w:spacing w:after="60" w:line="264"/>
      </w:pPr>
      <w:r>
        <w:rPr>
          <w:b/>
          <w:bCs/>
        </w:rPr>
        <w:t xml:space="preserve">Reader study scope.</w:t>
      </w:r>
      <w:r>
        <w:t xml:space="preserve"> Re-analyse the existing two-reader data and moderate the claims only, or also run the expanded fully crossed study (F1). Recommended: the expanded study, because all three reviewers raised it.</w:t>
      </w:r>
    </w:p>
    <w:p>
      <w:pPr>
        <w:pStyle w:val="ListParagraph"/>
        <w:numPr>
          <w:ilvl w:val="0"/>
          <w:numId w:val="2"/>
        </w:numPr>
        <w:spacing w:after="60" w:line="264"/>
      </w:pPr>
      <w:r>
        <w:rPr>
          <w:b/>
          <w:bCs/>
        </w:rPr>
        <w:t xml:space="preserve">ZJH-8K label.</w:t>
      </w:r>
      <w:r>
        <w:t xml:space="preserve"> Unless F6 shows clear independence from TN3K, relabel it pre-emptively as a same-institution, independently collected test cohort and report external results on DDTI, RJH-7K and NHC-MISD-TUS separately. Recommended: relabel.</w:t>
      </w:r>
    </w:p>
    <w:p>
      <w:pPr>
        <w:pStyle w:val="ListParagraph"/>
        <w:numPr>
          <w:ilvl w:val="0"/>
          <w:numId w:val="2"/>
        </w:numPr>
        <w:spacing w:after="60" w:line="264"/>
      </w:pPr>
      <w:r>
        <w:rPr>
          <w:b/>
          <w:bCs/>
        </w:rPr>
        <w:t xml:space="preserve">FTC/PTC.</w:t>
      </w:r>
      <w:r>
        <w:t xml:space="preserve"> Obtain true FTC cases for training (better) or keep the task and reframe it as an exploratory follicular-pattern transfer task with weaker claims.</w:t>
      </w:r>
    </w:p>
    <w:p>
      <w:pPr>
        <w:pStyle w:val="ListParagraph"/>
        <w:numPr>
          <w:ilvl w:val="0"/>
          <w:numId w:val="2"/>
        </w:numPr>
        <w:spacing w:after="60" w:line="264"/>
      </w:pPr>
      <w:r>
        <w:rPr>
          <w:b/>
          <w:bCs/>
        </w:rPr>
        <w:t xml:space="preserve">If the LLM router does not beat the learned non-LLM router in B3.</w:t>
      </w:r>
      <w:r>
        <w:t xml:space="preserve"> Prepare to frame the LLM’s contribution as auditable, inspectable orchestration and flexibility across tasks, rather than accuracy. The response letter drafts below leave room for either outcome.</w:t>
      </w:r>
    </w:p>
    <w:p>
      <w:pPr>
        <w:pStyle w:val="ListParagraph"/>
        <w:numPr>
          <w:ilvl w:val="0"/>
          <w:numId w:val="2"/>
        </w:numPr>
        <w:spacing w:after="60" w:line="264"/>
      </w:pPr>
      <w:r>
        <w:rPr>
          <w:b/>
          <w:bCs/>
        </w:rPr>
        <w:t xml:space="preserve">Code licence.</w:t>
      </w:r>
      <w:r>
        <w:t xml:space="preserve"> Choose a licence after checking third-party weight licences (DINOv3 in particular).</w:t>
      </w:r>
    </w:p>
    <w:p>
      <w:pPr>
        <w:pStyle w:val="ListParagraph"/>
        <w:numPr>
          <w:ilvl w:val="0"/>
          <w:numId w:val="2"/>
        </w:numPr>
        <w:spacing w:after="60" w:line="264"/>
      </w:pPr>
      <w:r>
        <w:rPr>
          <w:b/>
          <w:bCs/>
        </w:rPr>
        <w:t xml:space="preserve">Prospective evaluation.</w:t>
      </w:r>
      <w:r>
        <w:t xml:space="preserve"> Reviewer 1 asks for prospective human–AI safety evaluation. A full prospective study is unlikely within the revision window; decide whether a small silent-mode pilot is feasible or whether this goes into Limitations as planned future work.</w:t>
      </w:r>
    </w:p>
    <w:p>
      <w:r>
        <w:br w:type="page"/>
      </w:r>
    </w:p>
    <w:p>
      <w:pPr>
        <w:pStyle w:val="Heading1"/>
      </w:pPr>
      <w:r>
        <w:t xml:space="preserve">Part B. Point-by-point response (draft)</w:t>
      </w:r>
    </w:p>
    <w:p>
      <w:pPr>
        <w:spacing w:after="120" w:line="276"/>
      </w:pPr>
      <w:r>
        <w:t xml:space="preserve">Dear Editor and Reviewers,</w:t>
      </w:r>
    </w:p>
    <w:p>
      <w:pPr>
        <w:spacing w:after="120" w:line="276"/>
      </w:pPr>
      <w:r>
        <w:t xml:space="preserve">We thank the editor and the three reviewers for their careful and constructive assessment of our manuscript. We were encouraged that all reviewers found the framing of thyroid ultrasound AI as an auditable, clinician-correctable evidence workflow to be valuable. The reviewers raised important concerns about statistical independence, the specific contribution of agentic routing, data boundaries and clinical validation. In response, we have </w:t>
      </w:r>
      <w:r>
        <w:rPr>
          <w:highlight w:val="yellow"/>
          <w:highlightCs w:val="yellow"/>
        </w:rPr>
        <w:t xml:space="preserve">[performed patient-level audits and recomputed all confidence intervals with cluster bootstrap resampling; added a systematic routing ablation including a learned non-LLM router and an oracle; added centre-level heterogeneity, calibration and abstention analyses; validated ThyClinScore against blinded ratings from N radiologists; expanded and re-analysed the reader study; and corrected all numerical inconsistencies]</w:t>
      </w:r>
      <w:r>
        <w:t xml:space="preserve">. Reviewer comments are reproduced in italics, followed by our responses. Page and line numbers refer to the revised manuscript with tracked changes.</w:t>
      </w:r>
    </w:p>
    <w:p>
      <w:pPr>
        <w:pStyle w:val="Heading2"/>
      </w:pPr>
      <w:r>
        <w:t xml:space="preserve">Reviewer 1</w:t>
      </w:r>
    </w:p>
    <w:p>
      <w:pPr>
        <w:spacing w:after="120" w:line="276"/>
      </w:pPr>
      <w:r>
        <w:rPr>
          <w:b/>
          <w:bCs/>
        </w:rPr>
        <w:t xml:space="preserve">General comment.</w:t>
      </w:r>
      <w:r>
        <w:t xml:space="preserve"> We thank the reviewer for the positive assessment of the evidence-workflow design and agree that the current evidence supports a promising retrospective workflow rather than established clinical benefit. We have revised the abstract and Discussion to state this explicitly, and added the analyses below.</w:t>
      </w:r>
    </w:p>
    <w:p>
      <w:pPr>
        <w:keepNext/>
        <w:spacing w:after="80" w:before="240"/>
      </w:pPr>
      <w:r>
        <w:rPr>
          <w:b/>
          <w:bCs/>
          <w:color w:val="1F3864"/>
        </w:rPr>
        <w:t xml:space="preserve">R1.1  Independence of image-level evaluations</w:t>
      </w:r>
      <w:r>
        <w:rPr>
          <w:color w:val="7F7F7F"/>
          <w:sz w:val="19"/>
          <w:szCs w:val="19"/>
        </w:rPr>
        <w:t xml:space="preserve">   Owner: </w:t>
      </w:r>
      <w:r>
        <w:rPr>
          <w:b/>
          <w:bCs/>
          <w:color w:val="7F7F7F"/>
          <w:sz w:val="19"/>
          <w:szCs w:val="19"/>
        </w:rPr>
        <w:t xml:space="preserve">Baidong</w:t>
      </w:r>
    </w:p>
    <w:p>
      <w:pPr>
        <w:pBdr>
          <w:left w:val="single" w:color="1F3864" w:sz="18" w:space="6"/>
        </w:pBdr>
        <w:shd w:fill="EEF1F6" w:color="auto" w:val="clear"/>
        <w:spacing w:after="120" w:line="264"/>
        <w:ind w:left="200"/>
      </w:pPr>
      <w:r>
        <w:rPr>
          <w:i/>
          <w:iCs/>
          <w:color w:val="404040"/>
          <w:sz w:val="20"/>
          <w:szCs w:val="20"/>
        </w:rPr>
        <w:t xml:space="preserve">Segmentation and classification results are largely reported at the image level. The authors should clarify patient-level and examination-level splitting, deduplication across datasets, and whether multiple frames or views from the same patient could occur across splits. Patient-level reanalysis and cluster-aware confidence intervals would strengthen confidence in the reported performance.</w:t>
      </w:r>
    </w:p>
    <w:p>
      <w:pPr>
        <w:spacing w:after="100" w:line="276"/>
      </w:pPr>
      <w:r>
        <w:rPr>
          <w:b/>
          <w:bCs/>
        </w:rPr>
        <w:t xml:space="preserve">Response: </w:t>
      </w:r>
      <w:r>
        <w:t xml:space="preserve">We agree. We have clarified the split design and added patient-level analyses.</w:t>
      </w:r>
    </w:p>
    <w:p>
      <w:pPr>
        <w:pStyle w:val="ListParagraph"/>
        <w:numPr>
          <w:ilvl w:val="0"/>
          <w:numId w:val="2"/>
        </w:numPr>
        <w:spacing w:after="60" w:line="264"/>
      </w:pPr>
      <w:r>
        <w:rPr>
          <w:b/>
          <w:bCs/>
        </w:rPr>
        <w:t xml:space="preserve">Split design.</w:t>
      </w:r>
      <w:r>
        <w:t xml:space="preserve"> The internal cohorts (TN3K, TN5K, ThyroidXL, PKTN) were used with their original released partitions, and the external cohorts (DDTI, RJH-7K, ZJH-8K and NHC-MISD-TUS) were used only for testing, so no image from an external cohort entered training (Section 2.1, Supplementary Table S1). For SMU-HMC, the 400-patient test set was held out at the patient level before any development (Section 2.1). For the internal public cohorts we </w:t>
      </w:r>
      <w:r>
        <w:rPr>
          <w:highlight w:val="yellow"/>
          <w:highlightCs w:val="yellow"/>
        </w:rPr>
        <w:t xml:space="preserve">[confirmed / could not fully confirm]</w:t>
      </w:r>
      <w:r>
        <w:t xml:space="preserve"> that the released partitions are patient-disjoint: </w:t>
      </w:r>
      <w:r>
        <w:rPr>
          <w:highlight w:val="yellow"/>
          <w:highlightCs w:val="yellow"/>
        </w:rPr>
        <w:t xml:space="preserve">[describe per dataset]</w:t>
      </w:r>
      <w:r>
        <w:t xml:space="preserve">.</w:t>
      </w:r>
    </w:p>
    <w:p>
      <w:pPr>
        <w:pStyle w:val="ListParagraph"/>
        <w:numPr>
          <w:ilvl w:val="0"/>
          <w:numId w:val="2"/>
        </w:numPr>
        <w:spacing w:after="60" w:line="264"/>
      </w:pPr>
      <w:r>
        <w:rPr>
          <w:b/>
          <w:bCs/>
        </w:rPr>
        <w:t xml:space="preserve">De-duplication.</w:t>
      </w:r>
      <w:r>
        <w:t xml:space="preserve"> We screened all training and test images across cohorts for near-duplicates using perceptual hashing and DINOv3 embedding similarity, with manual review of flagged pairs. We found </w:t>
      </w:r>
      <w:r>
        <w:rPr>
          <w:highlight w:val="yellow"/>
          <w:highlightCs w:val="yellow"/>
        </w:rPr>
        <w:t xml:space="preserve">[N]</w:t>
      </w:r>
      <w:r>
        <w:t xml:space="preserve"> near-duplicate pairs across splits, </w:t>
      </w:r>
      <w:r>
        <w:rPr>
          <w:highlight w:val="yellow"/>
          <w:highlightCs w:val="yellow"/>
        </w:rPr>
        <w:t xml:space="preserve">[mostly between …]</w:t>
      </w:r>
      <w:r>
        <w:t xml:space="preserve">; </w:t>
      </w:r>
      <w:r>
        <w:rPr>
          <w:highlight w:val="yellow"/>
          <w:highlightCs w:val="yellow"/>
        </w:rPr>
        <w:t xml:space="preserve">[these were removed and results recomputed / their effect is reported in Supplementary Table SX]</w:t>
      </w:r>
      <w:r>
        <w:t xml:space="preserve">.</w:t>
      </w:r>
    </w:p>
    <w:p>
      <w:pPr>
        <w:pStyle w:val="ListParagraph"/>
        <w:numPr>
          <w:ilvl w:val="0"/>
          <w:numId w:val="2"/>
        </w:numPr>
        <w:spacing w:after="60" w:line="264"/>
      </w:pPr>
      <w:r>
        <w:rPr>
          <w:b/>
          <w:bCs/>
        </w:rPr>
        <w:t xml:space="preserve">Cluster-aware intervals.</w:t>
      </w:r>
      <w:r>
        <w:t xml:space="preserve"> All confidence intervals for segmentation and classification are now computed by patient-level (or examination-level where patient IDs are unavailable) bootstrap resampling. Intervals widened by </w:t>
      </w:r>
      <w:r>
        <w:rPr>
          <w:highlight w:val="yellow"/>
          <w:highlightCs w:val="yellow"/>
        </w:rPr>
        <w:t xml:space="preserve">[a median of X%]</w:t>
      </w:r>
      <w:r>
        <w:t xml:space="preserve">; conclusions are </w:t>
      </w:r>
      <w:r>
        <w:rPr>
          <w:highlight w:val="yellow"/>
          <w:highlightCs w:val="yellow"/>
        </w:rPr>
        <w:t xml:space="preserve">[unchanged]</w:t>
      </w:r>
      <w:r>
        <w:t xml:space="preserve">.</w:t>
      </w:r>
    </w:p>
    <w:p>
      <w:pPr>
        <w:pStyle w:val="ListParagraph"/>
        <w:numPr>
          <w:ilvl w:val="0"/>
          <w:numId w:val="2"/>
        </w:numPr>
        <w:spacing w:after="60" w:line="264"/>
      </w:pPr>
      <w:r>
        <w:rPr>
          <w:b/>
          <w:bCs/>
        </w:rPr>
        <w:t xml:space="preserve">Patient-level performance.</w:t>
      </w:r>
      <w:r>
        <w:t xml:space="preserve"> For ZJH-8K (7,958 images from 1,149 cases) and </w:t>
      </w:r>
      <w:r>
        <w:rPr>
          <w:highlight w:val="yellow"/>
          <w:highlightCs w:val="yellow"/>
        </w:rPr>
        <w:t xml:space="preserve">[other cohorts with case IDs]</w:t>
      </w:r>
      <w:r>
        <w:t xml:space="preserve">, we report patient-level AUROC/AUPRC after aggregating image-level probabilities by </w:t>
      </w:r>
      <w:r>
        <w:rPr>
          <w:highlight w:val="yellow"/>
          <w:highlightCs w:val="yellow"/>
        </w:rPr>
        <w:t xml:space="preserve">[mean probability]</w:t>
      </w:r>
      <w:r>
        <w:t xml:space="preserve">: AUROC </w:t>
      </w:r>
      <w:r>
        <w:rPr>
          <w:highlight w:val="yellow"/>
          <w:highlightCs w:val="yellow"/>
        </w:rPr>
        <w:t xml:space="preserve">[X (95% CI)]</w:t>
      </w:r>
      <w:r>
        <w:t xml:space="preserve">.</w:t>
      </w:r>
    </w:p>
    <w:p>
      <w:pPr>
        <w:spacing w:after="120" w:line="276"/>
      </w:pPr>
      <w:r>
        <w:rPr>
          <w:b/>
          <w:bCs/>
          <w:color w:val="2E7D32"/>
        </w:rPr>
        <w:t xml:space="preserve">Changes to the manuscript: </w:t>
      </w:r>
      <w:r>
        <w:t xml:space="preserve">Methods 4.1 and 4.6; new Supplementary Table S</w:t>
      </w:r>
      <w:r>
        <w:rPr>
          <w:highlight w:val="yellow"/>
          <w:highlightCs w:val="yellow"/>
        </w:rPr>
        <w:t xml:space="preserve">[X]</w:t>
      </w:r>
      <w:r>
        <w:t xml:space="preserve"> (audit and patient-level results); Supplementary Tables S3, S4, S5 and S7–S12 updated with cluster-bootstrap CIs.</w:t>
      </w:r>
    </w:p>
    <w:p>
      <w:pPr>
        <w:keepNext/>
        <w:spacing w:after="80" w:before="240"/>
      </w:pPr>
      <w:r>
        <w:rPr>
          <w:b/>
          <w:bCs/>
          <w:color w:val="1F3864"/>
        </w:rPr>
        <w:t xml:space="preserve">R1.2  Causal contribution of the agentic router</w:t>
      </w:r>
      <w:r>
        <w:rPr>
          <w:color w:val="7F7F7F"/>
          <w:sz w:val="19"/>
          <w:szCs w:val="19"/>
        </w:rPr>
        <w:t xml:space="preserve">   Owner: </w:t>
      </w:r>
      <w:r>
        <w:rPr>
          <w:b/>
          <w:bCs/>
          <w:color w:val="7F7F7F"/>
          <w:sz w:val="19"/>
          <w:szCs w:val="19"/>
        </w:rPr>
        <w:t xml:space="preserve">Baidong</w:t>
      </w:r>
    </w:p>
    <w:p>
      <w:pPr>
        <w:pBdr>
          <w:left w:val="single" w:color="1F3864" w:sz="18" w:space="6"/>
        </w:pBdr>
        <w:shd w:fill="EEF1F6" w:color="auto" w:val="clear"/>
        <w:spacing w:after="120" w:line="264"/>
        <w:ind w:left="200"/>
      </w:pPr>
      <w:r>
        <w:rPr>
          <w:i/>
          <w:iCs/>
          <w:color w:val="404040"/>
          <w:sz w:val="20"/>
          <w:szCs w:val="20"/>
        </w:rPr>
        <w:t xml:space="preserve">The system combines expert ensembles, radiomics, multiple tools, and LLM routing. The current analyses do not isolate the contribution of the router itself. I recommend adding a systematic ablation study comparing a single model, average ensemble, rule-based routing, confidence-based routing, LLM-based routing, and an oracle upper bound.</w:t>
      </w:r>
    </w:p>
    <w:p>
      <w:pPr>
        <w:spacing w:after="100" w:line="276"/>
      </w:pPr>
      <w:r>
        <w:rPr>
          <w:b/>
          <w:bCs/>
        </w:rPr>
        <w:t xml:space="preserve">Response: </w:t>
      </w:r>
      <w:r>
        <w:t xml:space="preserve">We thank the reviewer for this suggestion and have added the requested ablation using the identical expert pool. We compared: (i) the best single expert selected on validation data; (ii) uniform averaging of probabilities and masks; (iii) majority voting; (iv) rule-based routing with fixed thresholds on the same quality metrics; (v) confidence-based routing (maximum expert confidence); (vi) a learned non-LLM router trained on the same quality features (requested by Reviewer 3); (vii) the LLM router; and (viii) a per-case oracle as the upper bound. All strategies were evaluated on every segmentation and classification test set, including NHC-MISD-TUS, with paired cluster-bootstrap comparisons.</w:t>
      </w:r>
    </w:p>
    <w:p>
      <w:pPr>
        <w:spacing w:after="100" w:line="276"/>
      </w:pPr>
      <w:r>
        <w:t xml:space="preserve">The LLM router </w:t>
      </w:r>
      <w:r>
        <w:rPr>
          <w:highlight w:val="yellow"/>
          <w:highlightCs w:val="yellow"/>
        </w:rPr>
        <w:t xml:space="preserve">[achieved X Dice / Y AUROC, compared with … for the learned router and … for averaging; it closed Z% of the gap between the best single expert and the oracle]</w:t>
      </w:r>
      <w:r>
        <w:t xml:space="preserve">. </w:t>
      </w:r>
      <w:r>
        <w:rPr>
          <w:highlight w:val="yellow"/>
          <w:highlightCs w:val="yellow"/>
        </w:rPr>
        <w:t xml:space="preserve">[Internal note: if the learned router performs comparably, say so directly and state that the LLM router’s additional value lies in producing an auditable, human-readable rationale and in being reconfigurable for new tasks without retraining, as shown for LNM and FTC/PTC.]</w:t>
      </w:r>
    </w:p>
    <w:p>
      <w:pPr>
        <w:spacing w:after="120" w:line="276"/>
      </w:pPr>
      <w:r>
        <w:rPr>
          <w:b/>
          <w:bCs/>
          <w:color w:val="2E7D32"/>
        </w:rPr>
        <w:t xml:space="preserve">Changes to the manuscript: </w:t>
      </w:r>
      <w:r>
        <w:t xml:space="preserve">New Results subsection “Contribution of agentic routing”; new Fig. </w:t>
      </w:r>
      <w:r>
        <w:rPr>
          <w:highlight w:val="yellow"/>
          <w:highlightCs w:val="yellow"/>
        </w:rPr>
        <w:t xml:space="preserve">[X]</w:t>
      </w:r>
      <w:r>
        <w:t xml:space="preserve"> and Supplementary Table S</w:t>
      </w:r>
      <w:r>
        <w:rPr>
          <w:highlight w:val="yellow"/>
          <w:highlightCs w:val="yellow"/>
        </w:rPr>
        <w:t xml:space="preserve">[X]</w:t>
      </w:r>
      <w:r>
        <w:t xml:space="preserve">; Methods 4.3.</w:t>
      </w:r>
    </w:p>
    <w:p>
      <w:pPr>
        <w:keepNext/>
        <w:spacing w:after="80" w:before="240"/>
      </w:pPr>
      <w:r>
        <w:rPr>
          <w:b/>
          <w:bCs/>
          <w:color w:val="1F3864"/>
        </w:rPr>
        <w:t xml:space="preserve">R1.3  Heterogeneity in external performance</w:t>
      </w:r>
      <w:r>
        <w:rPr>
          <w:color w:val="7F7F7F"/>
          <w:sz w:val="19"/>
          <w:szCs w:val="19"/>
        </w:rPr>
        <w:t xml:space="preserve">   Owner: </w:t>
      </w:r>
      <w:r>
        <w:rPr>
          <w:b/>
          <w:bCs/>
          <w:color w:val="7F7F7F"/>
          <w:sz w:val="19"/>
          <w:szCs w:val="19"/>
        </w:rPr>
        <w:t xml:space="preserve">Baidong (analysis), Fei Chen (review policy)</w:t>
      </w:r>
    </w:p>
    <w:p>
      <w:pPr>
        <w:pBdr>
          <w:left w:val="single" w:color="1F3864" w:sz="18" w:space="6"/>
        </w:pBdr>
        <w:shd w:fill="EEF1F6" w:color="auto" w:val="clear"/>
        <w:spacing w:after="120" w:line="264"/>
        <w:ind w:left="200"/>
      </w:pPr>
      <w:r>
        <w:rPr>
          <w:i/>
          <w:iCs/>
          <w:color w:val="404040"/>
          <w:sz w:val="20"/>
          <w:szCs w:val="20"/>
        </w:rPr>
        <w:t xml:space="preserve">Although aggregate performance on the private multicentre cohort is encouraging, there is substantial centre-level variation. For example, nodule segmentation performance is much lower at some centres. The authors should investigate associations with scanner type, image quality, case mix, and annotation protocol, and define calibration, abstention, or mandatory human-review policies for low-confidence cases.</w:t>
      </w:r>
    </w:p>
    <w:p>
      <w:pPr>
        <w:spacing w:after="100" w:line="276"/>
      </w:pPr>
      <w:r>
        <w:rPr>
          <w:b/>
          <w:bCs/>
        </w:rPr>
        <w:t xml:space="preserve">Response: </w:t>
      </w:r>
      <w:r>
        <w:t xml:space="preserve">We agree that centre-level variation is substantial (Supplementary Tables S7–S12). For example, nodule Dice ranged from </w:t>
      </w:r>
      <w:r>
        <w:rPr>
          <w:highlight w:val="yellow"/>
          <w:highlightCs w:val="yellow"/>
        </w:rPr>
        <w:t xml:space="preserve">[21.28% (n = 2)]</w:t>
      </w:r>
      <w:r>
        <w:t xml:space="preserve"> to 92.74% across centres, with THYB_S_ZJ24 (n = 321) at 45.53%, and gland segmentation was lower overall (Dice 59.28%).</w:t>
      </w:r>
    </w:p>
    <w:p>
      <w:pPr>
        <w:pStyle w:val="ListParagraph"/>
        <w:numPr>
          <w:ilvl w:val="0"/>
          <w:numId w:val="2"/>
        </w:numPr>
        <w:spacing w:after="60" w:line="264"/>
      </w:pPr>
      <w:r>
        <w:rPr>
          <w:b/>
          <w:bCs/>
        </w:rPr>
        <w:t xml:space="preserve">Associations.</w:t>
      </w:r>
      <w:r>
        <w:t xml:space="preserve"> We fitted a mixed-effects meta-regression of per-image Dice and per-centre AUROC on scanner manufacturer, image-quality measures (</w:t>
      </w:r>
      <w:r>
        <w:rPr>
          <w:highlight w:val="yellow"/>
          <w:highlightCs w:val="yellow"/>
        </w:rPr>
        <w:t xml:space="preserve">[resolution, contrast, ROI fraction]</w:t>
      </w:r>
      <w:r>
        <w:t xml:space="preserve">), case mix (malignancy proportion, nodule size distribution) and annotation protocol where documented. </w:t>
      </w:r>
      <w:r>
        <w:rPr>
          <w:highlight w:val="yellow"/>
          <w:highlightCs w:val="yellow"/>
        </w:rPr>
        <w:t xml:space="preserve">[Findings, e.g. small nodules and scanner X explained most of the variance; ZJ24 failures were driven by …]</w:t>
      </w:r>
      <w:r>
        <w:t xml:space="preserve">.</w:t>
      </w:r>
    </w:p>
    <w:p>
      <w:pPr>
        <w:pStyle w:val="ListParagraph"/>
        <w:numPr>
          <w:ilvl w:val="0"/>
          <w:numId w:val="2"/>
        </w:numPr>
        <w:spacing w:after="60" w:line="264"/>
      </w:pPr>
      <w:r>
        <w:rPr>
          <w:b/>
          <w:bCs/>
        </w:rPr>
        <w:t xml:space="preserve">Calibration.</w:t>
      </w:r>
      <w:r>
        <w:t xml:space="preserve"> We report reliability diagrams, expected calibration error and Brier score per cohort and per centre, </w:t>
      </w:r>
      <w:r>
        <w:rPr>
          <w:highlight w:val="yellow"/>
          <w:highlightCs w:val="yellow"/>
        </w:rPr>
        <w:t xml:space="preserve">[before and after temperature scaling fitted on validation data]</w:t>
      </w:r>
      <w:r>
        <w:t xml:space="preserve">.</w:t>
      </w:r>
    </w:p>
    <w:p>
      <w:pPr>
        <w:pStyle w:val="ListParagraph"/>
        <w:numPr>
          <w:ilvl w:val="0"/>
          <w:numId w:val="2"/>
        </w:numPr>
        <w:spacing w:after="60" w:line="264"/>
      </w:pPr>
      <w:r>
        <w:rPr>
          <w:b/>
          <w:bCs/>
        </w:rPr>
        <w:t xml:space="preserve">Abstention and mandatory review.</w:t>
      </w:r>
      <w:r>
        <w:t xml:space="preserve"> We defined a review policy that flags cases for mandatory clinician review when </w:t>
      </w:r>
      <w:r>
        <w:rPr>
          <w:highlight w:val="yellow"/>
          <w:highlightCs w:val="yellow"/>
        </w:rPr>
        <w:t xml:space="preserve">[expert disagreement (pairwise IoU &lt; t1), classification entropy &gt; t2, or the router’s uncertainty flag]</w:t>
      </w:r>
      <w:r>
        <w:t xml:space="preserve"> is triggered, with thresholds fixed on validation data. Risk–coverage curves show that flagging </w:t>
      </w:r>
      <w:r>
        <w:rPr>
          <w:highlight w:val="yellow"/>
          <w:highlightCs w:val="yellow"/>
        </w:rPr>
        <w:t xml:space="preserve">[X%]</w:t>
      </w:r>
      <w:r>
        <w:t xml:space="preserve"> of cases raises the Dice/AUROC of the remaining cases to </w:t>
      </w:r>
      <w:r>
        <w:rPr>
          <w:highlight w:val="yellow"/>
          <w:highlightCs w:val="yellow"/>
        </w:rPr>
        <w:t xml:space="preserve">[Y]</w:t>
      </w:r>
      <w:r>
        <w:t xml:space="preserve">, and the proportion flagged per centre is reported in Supplementary Table S</w:t>
      </w:r>
      <w:r>
        <w:rPr>
          <w:highlight w:val="yellow"/>
          <w:highlightCs w:val="yellow"/>
        </w:rPr>
        <w:t xml:space="preserve">[X]</w:t>
      </w:r>
      <w:r>
        <w:t xml:space="preserve">.</w:t>
      </w:r>
    </w:p>
    <w:p>
      <w:pPr>
        <w:spacing w:after="120" w:line="276"/>
      </w:pPr>
      <w:r>
        <w:rPr>
          <w:b/>
          <w:bCs/>
          <w:color w:val="2E7D32"/>
        </w:rPr>
        <w:t xml:space="preserve">Changes to the manuscript: </w:t>
      </w:r>
      <w:r>
        <w:t xml:space="preserve">New Results subsection on failure analysis and review policy; Supplementary Tables S</w:t>
      </w:r>
      <w:r>
        <w:rPr>
          <w:highlight w:val="yellow"/>
          <w:highlightCs w:val="yellow"/>
        </w:rPr>
        <w:t xml:space="preserve">[X–Y]</w:t>
      </w:r>
      <w:r>
        <w:t xml:space="preserve">; Limitations updated.</w:t>
      </w:r>
    </w:p>
    <w:p>
      <w:pPr>
        <w:keepNext/>
        <w:spacing w:after="80" w:before="240"/>
      </w:pPr>
      <w:r>
        <w:rPr>
          <w:b/>
          <w:bCs/>
          <w:color w:val="1F3864"/>
        </w:rPr>
        <w:t xml:space="preserve">R1.4  Data boundaries across tasks</w:t>
      </w:r>
      <w:r>
        <w:rPr>
          <w:color w:val="7F7F7F"/>
          <w:sz w:val="19"/>
          <w:szCs w:val="19"/>
        </w:rPr>
        <w:t xml:space="preserve">   Owner: </w:t>
      </w:r>
      <w:r>
        <w:rPr>
          <w:b/>
          <w:bCs/>
          <w:color w:val="7F7F7F"/>
          <w:sz w:val="19"/>
          <w:szCs w:val="19"/>
        </w:rPr>
        <w:t xml:space="preserve">Baidong + Shiyu (merged figure)</w:t>
      </w:r>
    </w:p>
    <w:p>
      <w:pPr>
        <w:pBdr>
          <w:left w:val="single" w:color="1F3864" w:sz="18" w:space="6"/>
        </w:pBdr>
        <w:shd w:fill="EEF1F6" w:color="auto" w:val="clear"/>
        <w:spacing w:after="120" w:line="264"/>
        <w:ind w:left="200"/>
      </w:pPr>
      <w:r>
        <w:rPr>
          <w:i/>
          <w:iCs/>
          <w:color w:val="404040"/>
          <w:sz w:val="20"/>
          <w:szCs w:val="20"/>
        </w:rPr>
        <w:t xml:space="preserve">ZJH-8K is described as an external test set for segmentation and benign-malignant classification, while its malignant images are used for development of LNM and FTC/PTC tasks. This may be acceptable because the tasks differ, but the manuscript should provide a complete data-flow diagram showing which data were used for training, validation, threshold selection, and testing for each component.</w:t>
      </w:r>
    </w:p>
    <w:p>
      <w:pPr>
        <w:spacing w:after="100" w:line="276"/>
      </w:pPr>
      <w:r>
        <w:rPr>
          <w:b/>
          <w:bCs/>
        </w:rPr>
        <w:t xml:space="preserve">Response: </w:t>
      </w:r>
      <w:r>
        <w:t xml:space="preserve">We thank the reviewer and agree. The segmentation and benign–malignant classification experts were never trained on ZJH-8K. The malignant subset of ZJH-8K was used only to fine-tune the task-specific LNM and FTC/PTC classifiers, which were then tested on fully external sets (LymphUs Centre 2 and Dai et al.). </w:t>
      </w:r>
      <w:r>
        <w:rPr>
          <w:highlight w:val="yellow"/>
          <w:highlightCs w:val="yellow"/>
        </w:rPr>
        <w:t xml:space="preserve">[Confirm: the segmentation model used to produce masks for these tasks was the one trained without ZJH-8K.]</w:t>
      </w:r>
    </w:p>
    <w:p>
      <w:pPr>
        <w:spacing w:after="100" w:line="276"/>
      </w:pPr>
      <w:r>
        <w:t xml:space="preserve">We have added a complete data-flow diagram (new Supplementary Fig. S</w:t>
      </w:r>
      <w:r>
        <w:rPr>
          <w:highlight w:val="yellow"/>
          <w:highlightCs w:val="yellow"/>
        </w:rPr>
        <w:t xml:space="preserve">[X]</w:t>
      </w:r>
      <w:r>
        <w:t xml:space="preserve">) that shows, for every component (segmentation and classification experts, router, radiomics and AutoGluon classifiers, LNM and FTC/PTC classifiers, auxiliary report-generation tools, template libraries and ThyClinScore), which data were used for training, validation, threshold and hyperparameter selection, and testing. It also lists where each operating threshold was chosen.</w:t>
      </w:r>
    </w:p>
    <w:p>
      <w:pPr>
        <w:spacing w:after="120" w:line="276"/>
      </w:pPr>
      <w:r>
        <w:rPr>
          <w:b/>
          <w:bCs/>
          <w:color w:val="2E7D32"/>
        </w:rPr>
        <w:t xml:space="preserve">Changes to the manuscript: </w:t>
      </w:r>
      <w:r>
        <w:t xml:space="preserve">New Supplementary Fig. S</w:t>
      </w:r>
      <w:r>
        <w:rPr>
          <w:highlight w:val="yellow"/>
          <w:highlightCs w:val="yellow"/>
        </w:rPr>
        <w:t xml:space="preserve">[X]</w:t>
      </w:r>
      <w:r>
        <w:t xml:space="preserve">; Methods 4.1.</w:t>
      </w:r>
    </w:p>
    <w:p>
      <w:pPr>
        <w:keepNext/>
        <w:spacing w:after="80" w:before="240"/>
      </w:pPr>
      <w:r>
        <w:rPr>
          <w:b/>
          <w:bCs/>
          <w:color w:val="1F3864"/>
        </w:rPr>
        <w:t xml:space="preserve">R1.5  Validation of report quality and template dependence</w:t>
      </w:r>
      <w:r>
        <w:rPr>
          <w:color w:val="7F7F7F"/>
          <w:sz w:val="19"/>
          <w:szCs w:val="19"/>
        </w:rPr>
        <w:t xml:space="preserve">   Owner: </w:t>
      </w:r>
      <w:r>
        <w:rPr>
          <w:b/>
          <w:bCs/>
          <w:color w:val="7F7F7F"/>
          <w:sz w:val="19"/>
          <w:szCs w:val="19"/>
        </w:rPr>
        <w:t xml:space="preserve">Shiyu (analysis), Fei Chen (radiologist panel)</w:t>
      </w:r>
    </w:p>
    <w:p>
      <w:pPr>
        <w:pBdr>
          <w:left w:val="single" w:color="1F3864" w:sz="18" w:space="6"/>
        </w:pBdr>
        <w:shd w:fill="EEF1F6" w:color="auto" w:val="clear"/>
        <w:spacing w:after="120" w:line="264"/>
        <w:ind w:left="200"/>
      </w:pPr>
      <w:r>
        <w:rPr>
          <w:i/>
          <w:iCs/>
          <w:color w:val="404040"/>
          <w:sz w:val="20"/>
          <w:szCs w:val="20"/>
        </w:rPr>
        <w:t xml:space="preserve">ThyClinScore is well motivated, but its validation primarily relies on correlation with an LLM judge. A stronger validation would include blinded assessment by multiple independent clinicians, inter-rater agreement, and sensitivity analyses for lesion-matching thresholds and score weights. The authors should also audit patient overlap, near-duplicate report text, and centre-specific template effects between template libraries and test sets.</w:t>
      </w:r>
    </w:p>
    <w:p>
      <w:pPr>
        <w:spacing w:after="100" w:line="276"/>
      </w:pPr>
      <w:r>
        <w:rPr>
          <w:b/>
          <w:bCs/>
        </w:rPr>
        <w:t xml:space="preserve">Response: </w:t>
      </w:r>
      <w:r>
        <w:t xml:space="preserve">We agree and have added three analyses.</w:t>
      </w:r>
    </w:p>
    <w:p>
      <w:pPr>
        <w:pStyle w:val="ListParagraph"/>
        <w:numPr>
          <w:ilvl w:val="0"/>
          <w:numId w:val="2"/>
        </w:numPr>
        <w:spacing w:after="60" w:line="264"/>
      </w:pPr>
      <w:r>
        <w:rPr>
          <w:b/>
          <w:bCs/>
        </w:rPr>
        <w:t xml:space="preserve">Blinded clinician validation.</w:t>
      </w:r>
      <w:r>
        <w:t xml:space="preserve"> </w:t>
      </w:r>
      <w:r>
        <w:rPr>
          <w:highlight w:val="yellow"/>
          <w:highlightCs w:val="yellow"/>
        </w:rPr>
        <w:t xml:space="preserve">[N]</w:t>
      </w:r>
      <w:r>
        <w:t xml:space="preserve"> radiologists (</w:t>
      </w:r>
      <w:r>
        <w:rPr>
          <w:highlight w:val="yellow"/>
          <w:highlightCs w:val="yellow"/>
        </w:rPr>
        <w:t xml:space="preserve">[years of experience; institutions]</w:t>
      </w:r>
      <w:r>
        <w:t xml:space="preserve">) independently rated </w:t>
      </w:r>
      <w:r>
        <w:rPr>
          <w:highlight w:val="yellow"/>
          <w:highlightCs w:val="yellow"/>
        </w:rPr>
        <w:t xml:space="preserve">[N]</w:t>
      </w:r>
      <w:r>
        <w:t xml:space="preserve"> generated reports, sampled across the three test sets and </w:t>
      </w:r>
      <w:r>
        <w:rPr>
          <w:highlight w:val="yellow"/>
          <w:highlightCs w:val="yellow"/>
        </w:rPr>
        <w:t xml:space="preserve">[N]</w:t>
      </w:r>
      <w:r>
        <w:t xml:space="preserve"> systems, against the reference report on </w:t>
      </w:r>
      <w:r>
        <w:rPr>
          <w:highlight w:val="yellow"/>
          <w:highlightCs w:val="yellow"/>
        </w:rPr>
        <w:t xml:space="preserve">[a 5-point scale]</w:t>
      </w:r>
      <w:r>
        <w:t xml:space="preserve"> for clinical accuracy, without knowing the system. Inter-rater agreement was </w:t>
      </w:r>
      <w:r>
        <w:rPr>
          <w:highlight w:val="yellow"/>
          <w:highlightCs w:val="yellow"/>
        </w:rPr>
        <w:t xml:space="preserve">[ICC = X (95% CI)]</w:t>
      </w:r>
      <w:r>
        <w:t xml:space="preserve">. ThyClinScore correlated with the mean radiologist rating at </w:t>
      </w:r>
      <w:r>
        <w:rPr>
          <w:highlight w:val="yellow"/>
          <w:highlightCs w:val="yellow"/>
        </w:rPr>
        <w:t xml:space="preserve">[r = X]</w:t>
      </w:r>
      <w:r>
        <w:t xml:space="preserve">, compared with </w:t>
      </w:r>
      <w:r>
        <w:rPr>
          <w:highlight w:val="yellow"/>
          <w:highlightCs w:val="yellow"/>
        </w:rPr>
        <w:t xml:space="preserve">[…]</w:t>
      </w:r>
      <w:r>
        <w:t xml:space="preserve"> for BLEU-4, ROUGE-L and the LLM judge (Steiger’s test, </w:t>
      </w:r>
      <w:r>
        <w:rPr>
          <w:highlight w:val="yellow"/>
          <w:highlightCs w:val="yellow"/>
        </w:rPr>
        <w:t xml:space="preserve">[P]</w:t>
      </w:r>
      <w:r>
        <w:t xml:space="preserve">).</w:t>
      </w:r>
    </w:p>
    <w:p>
      <w:pPr>
        <w:pStyle w:val="ListParagraph"/>
        <w:numPr>
          <w:ilvl w:val="0"/>
          <w:numId w:val="2"/>
        </w:numPr>
        <w:spacing w:after="60" w:line="264"/>
      </w:pPr>
      <w:r>
        <w:rPr>
          <w:b/>
          <w:bCs/>
        </w:rPr>
        <w:t xml:space="preserve">Sensitivity analyses.</w:t>
      </w:r>
      <w:r>
        <w:t xml:space="preserve"> We varied the lesion-matching threshold, α_s, β_f, τ, λ, η and the component weights over </w:t>
      </w:r>
      <w:r>
        <w:rPr>
          <w:highlight w:val="yellow"/>
          <w:highlightCs w:val="yellow"/>
        </w:rPr>
        <w:t xml:space="preserve">[ranges]</w:t>
      </w:r>
      <w:r>
        <w:t xml:space="preserve">. Model rankings were </w:t>
      </w:r>
      <w:r>
        <w:rPr>
          <w:highlight w:val="yellow"/>
          <w:highlightCs w:val="yellow"/>
        </w:rPr>
        <w:t xml:space="preserve">[stable (Kendall’s τ ≥ X)]</w:t>
      </w:r>
      <w:r>
        <w:t xml:space="preserve"> and the correlation with radiologist ratings stayed within </w:t>
      </w:r>
      <w:r>
        <w:rPr>
          <w:highlight w:val="yellow"/>
          <w:highlightCs w:val="yellow"/>
        </w:rPr>
        <w:t xml:space="preserve">[X–Y]</w:t>
      </w:r>
      <w:r>
        <w:t xml:space="preserve">.</w:t>
      </w:r>
    </w:p>
    <w:p>
      <w:pPr>
        <w:pStyle w:val="ListParagraph"/>
        <w:numPr>
          <w:ilvl w:val="0"/>
          <w:numId w:val="2"/>
        </w:numPr>
        <w:spacing w:after="60" w:line="264"/>
      </w:pPr>
      <w:r>
        <w:rPr>
          <w:b/>
          <w:bCs/>
        </w:rPr>
        <w:t xml:space="preserve">Template audit.</w:t>
      </w:r>
      <w:r>
        <w:t xml:space="preserve"> No patient overlaps existed by construction for SMU-HMC (patient-level hold-out) and KMVE (original split), and ZJH-TS comes from a different centre; we have verified this with patient IDs </w:t>
      </w:r>
      <w:r>
        <w:rPr>
          <w:highlight w:val="yellow"/>
          <w:highlightCs w:val="yellow"/>
        </w:rPr>
        <w:t xml:space="preserve">[where available]</w:t>
      </w:r>
      <w:r>
        <w:t xml:space="preserve">. Near-duplicate screening after number normalisation found </w:t>
      </w:r>
      <w:r>
        <w:rPr>
          <w:highlight w:val="yellow"/>
          <w:highlightCs w:val="yellow"/>
        </w:rPr>
        <w:t xml:space="preserve">[N (X%)]</w:t>
      </w:r>
      <w:r>
        <w:t xml:space="preserve"> test reports with a near-duplicate template; removing those templates changed ThyClinScore by </w:t>
      </w:r>
      <w:r>
        <w:rPr>
          <w:highlight w:val="yellow"/>
          <w:highlightCs w:val="yellow"/>
        </w:rPr>
        <w:t xml:space="preserve">[X]</w:t>
      </w:r>
      <w:r>
        <w:t xml:space="preserve">. Swapping template libraries across centres changed ThyClinScore by </w:t>
      </w:r>
      <w:r>
        <w:rPr>
          <w:highlight w:val="yellow"/>
          <w:highlightCs w:val="yellow"/>
        </w:rPr>
        <w:t xml:space="preserve">[X]</w:t>
      </w:r>
      <w:r>
        <w:t xml:space="preserve">, which quantifies the centre-specific template effect.</w:t>
      </w:r>
    </w:p>
    <w:p>
      <w:pPr>
        <w:spacing w:after="120" w:line="276"/>
      </w:pPr>
      <w:r>
        <w:rPr>
          <w:b/>
          <w:bCs/>
          <w:color w:val="2E7D32"/>
        </w:rPr>
        <w:t xml:space="preserve">Changes to the manuscript: </w:t>
      </w:r>
      <w:r>
        <w:t xml:space="preserve">Methods 4.4 and 4.5; new Results paragraph and Fig. 4 panel; Supplementary Tables S</w:t>
      </w:r>
      <w:r>
        <w:rPr>
          <w:highlight w:val="yellow"/>
          <w:highlightCs w:val="yellow"/>
        </w:rPr>
        <w:t xml:space="preserve">[X–Y]</w:t>
      </w:r>
      <w:r>
        <w:t xml:space="preserve">.</w:t>
      </w:r>
    </w:p>
    <w:p>
      <w:pPr>
        <w:keepNext/>
        <w:spacing w:after="80" w:before="240"/>
      </w:pPr>
      <w:r>
        <w:rPr>
          <w:b/>
          <w:bCs/>
          <w:color w:val="1F3864"/>
        </w:rPr>
        <w:t xml:space="preserve">R1.6  Reader study and clinical safety</w:t>
      </w:r>
      <w:r>
        <w:rPr>
          <w:color w:val="7F7F7F"/>
          <w:sz w:val="19"/>
          <w:szCs w:val="19"/>
        </w:rPr>
        <w:t xml:space="preserve">   Owner: </w:t>
      </w:r>
      <w:r>
        <w:rPr>
          <w:b/>
          <w:bCs/>
          <w:color w:val="7F7F7F"/>
          <w:sz w:val="19"/>
          <w:szCs w:val="19"/>
        </w:rPr>
        <w:t xml:space="preserve">Fei Chen (with Shiyu data, Baidong thresholds)</w:t>
      </w:r>
    </w:p>
    <w:p>
      <w:pPr>
        <w:pBdr>
          <w:left w:val="single" w:color="1F3864" w:sz="18" w:space="6"/>
        </w:pBdr>
        <w:shd w:fill="EEF1F6" w:color="auto" w:val="clear"/>
        <w:spacing w:after="120" w:line="264"/>
        <w:ind w:left="200"/>
      </w:pPr>
      <w:r>
        <w:rPr>
          <w:i/>
          <w:iCs/>
          <w:color w:val="404040"/>
          <w:sz w:val="20"/>
          <w:szCs w:val="20"/>
        </w:rPr>
        <w:t xml:space="preserve">The two-physician, 145-case crossover study supports initial workflow feasibility, but does not establish patient benefit. Results should be reported separately by physician, with case-order randomization, learning-effect analysis, error categories, and confidence intervals. More importantly, the system should define when it abstains or escalates to mandatory human review, and quantify the effect of these safety rules on missed diagnoses, false positives, and workload.</w:t>
      </w:r>
    </w:p>
    <w:p>
      <w:pPr>
        <w:spacing w:after="100" w:line="276"/>
      </w:pPr>
      <w:r>
        <w:rPr>
          <w:b/>
          <w:bCs/>
        </w:rPr>
        <w:t xml:space="preserve">Response: </w:t>
      </w:r>
      <w:r>
        <w:t xml:space="preserve">We agree that the reader study supports workflow feasibility rather than patient benefit, and we have revised the abstract, Results and Discussion accordingly.</w:t>
      </w:r>
    </w:p>
    <w:p>
      <w:pPr>
        <w:pStyle w:val="ListParagraph"/>
        <w:numPr>
          <w:ilvl w:val="0"/>
          <w:numId w:val="2"/>
        </w:numPr>
        <w:spacing w:after="60" w:line="264"/>
      </w:pPr>
      <w:r>
        <w:rPr>
          <w:b/>
          <w:bCs/>
        </w:rPr>
        <w:t xml:space="preserve">Per-physician results with CIs.</w:t>
      </w:r>
      <w:r>
        <w:t xml:space="preserve"> Fig. 6 and Supplementary Table S</w:t>
      </w:r>
      <w:r>
        <w:rPr>
          <w:highlight w:val="yellow"/>
          <w:highlightCs w:val="yellow"/>
        </w:rPr>
        <w:t xml:space="preserve">[X]</w:t>
      </w:r>
      <w:r>
        <w:t xml:space="preserve"> now report concordance and time for each physician with 95% CIs. Time reductions differed between physicians (13.0% and 36.8%, Fig. 6e), and we now describe this rather than calling the savings similar.</w:t>
      </w:r>
    </w:p>
    <w:p>
      <w:pPr>
        <w:pStyle w:val="ListParagraph"/>
        <w:numPr>
          <w:ilvl w:val="0"/>
          <w:numId w:val="2"/>
        </w:numPr>
        <w:spacing w:after="60" w:line="264"/>
      </w:pPr>
      <w:r>
        <w:rPr>
          <w:b/>
          <w:bCs/>
        </w:rPr>
        <w:t xml:space="preserve">Case order and learning effects.</w:t>
      </w:r>
      <w:r>
        <w:t xml:space="preserve"> </w:t>
      </w:r>
      <w:r>
        <w:rPr>
          <w:highlight w:val="yellow"/>
          <w:highlightCs w:val="yellow"/>
        </w:rPr>
        <w:t xml:space="preserve">[Describe how case order was assigned; if not randomised, state this as a limitation.]</w:t>
      </w:r>
      <w:r>
        <w:t xml:space="preserve"> A mixed-effects model including case position showed </w:t>
      </w:r>
      <w:r>
        <w:rPr>
          <w:highlight w:val="yellow"/>
          <w:highlightCs w:val="yellow"/>
        </w:rPr>
        <w:t xml:space="preserve">[no significant learning effect / an effect of …]</w:t>
      </w:r>
      <w:r>
        <w:t xml:space="preserve">.</w:t>
      </w:r>
    </w:p>
    <w:p>
      <w:pPr>
        <w:pStyle w:val="ListParagraph"/>
        <w:numPr>
          <w:ilvl w:val="0"/>
          <w:numId w:val="2"/>
        </w:numPr>
        <w:spacing w:after="60" w:line="264"/>
      </w:pPr>
      <w:r>
        <w:rPr>
          <w:b/>
          <w:bCs/>
        </w:rPr>
        <w:t xml:space="preserve">Error categories.</w:t>
      </w:r>
      <w:r>
        <w:t xml:space="preserve"> Report errors were categorised (missed nodule, wrong laterality, size error beyond </w:t>
      </w:r>
      <w:r>
        <w:rPr>
          <w:highlight w:val="yellow"/>
          <w:highlightCs w:val="yellow"/>
        </w:rPr>
        <w:t xml:space="preserve">[X mm]</w:t>
      </w:r>
      <w:r>
        <w:t xml:space="preserve">, TI-RADS category error, hallucinated finding, omitted lymph-node description) for both conditions (Supplementary Table S</w:t>
      </w:r>
      <w:r>
        <w:rPr>
          <w:highlight w:val="yellow"/>
          <w:highlightCs w:val="yellow"/>
        </w:rPr>
        <w:t xml:space="preserve">[X]</w:t>
      </w:r>
      <w:r>
        <w:t xml:space="preserve">).</w:t>
      </w:r>
    </w:p>
    <w:p>
      <w:pPr>
        <w:pStyle w:val="ListParagraph"/>
        <w:numPr>
          <w:ilvl w:val="0"/>
          <w:numId w:val="2"/>
        </w:numPr>
        <w:spacing w:after="60" w:line="264"/>
      </w:pPr>
      <w:r>
        <w:rPr>
          <w:b/>
          <w:bCs/>
        </w:rPr>
        <w:t xml:space="preserve">Expanded reader study.</w:t>
      </w:r>
      <w:r>
        <w:t xml:space="preserve"> </w:t>
      </w:r>
      <w:r>
        <w:rPr>
          <w:highlight w:val="yellow"/>
          <w:highlightCs w:val="yellow"/>
        </w:rPr>
        <w:t xml:space="preserve">[N]</w:t>
      </w:r>
      <w:r>
        <w:t xml:space="preserve"> additional physicians of varying seniority read </w:t>
      </w:r>
      <w:r>
        <w:rPr>
          <w:highlight w:val="yellow"/>
          <w:highlightCs w:val="yellow"/>
        </w:rPr>
        <w:t xml:space="preserve">[all 145 cases]</w:t>
      </w:r>
      <w:r>
        <w:t xml:space="preserve"> in a fully crossed design with a washout of </w:t>
      </w:r>
      <w:r>
        <w:rPr>
          <w:highlight w:val="yellow"/>
          <w:highlightCs w:val="yellow"/>
        </w:rPr>
        <w:t xml:space="preserve">[X weeks]</w:t>
      </w:r>
      <w:r>
        <w:t xml:space="preserve"> and randomised order; </w:t>
      </w:r>
      <w:r>
        <w:rPr>
          <w:highlight w:val="yellow"/>
          <w:highlightCs w:val="yellow"/>
        </w:rPr>
        <w:t xml:space="preserve">[results]</w:t>
      </w:r>
      <w:r>
        <w:t xml:space="preserve">.</w:t>
      </w:r>
    </w:p>
    <w:p>
      <w:pPr>
        <w:pStyle w:val="ListParagraph"/>
        <w:numPr>
          <w:ilvl w:val="0"/>
          <w:numId w:val="2"/>
        </w:numPr>
        <w:spacing w:after="60" w:line="264"/>
      </w:pPr>
      <w:r>
        <w:rPr>
          <w:b/>
          <w:bCs/>
        </w:rPr>
        <w:t xml:space="preserve">Safety rules.</w:t>
      </w:r>
      <w:r>
        <w:t xml:space="preserve"> The review policy described in our response to comment 3 is applied end to end. On the retrospective test sets it sent </w:t>
      </w:r>
      <w:r>
        <w:rPr>
          <w:highlight w:val="yellow"/>
          <w:highlightCs w:val="yellow"/>
        </w:rPr>
        <w:t xml:space="preserve">[X%]</w:t>
      </w:r>
      <w:r>
        <w:t xml:space="preserve"> of cases to mandatory review, captured </w:t>
      </w:r>
      <w:r>
        <w:rPr>
          <w:highlight w:val="yellow"/>
          <w:highlightCs w:val="yellow"/>
        </w:rPr>
        <w:t xml:space="preserve">[Y of Z]</w:t>
      </w:r>
      <w:r>
        <w:t xml:space="preserve"> missed malignancies and </w:t>
      </w:r>
      <w:r>
        <w:rPr>
          <w:highlight w:val="yellow"/>
          <w:highlightCs w:val="yellow"/>
        </w:rPr>
        <w:t xml:space="preserve">[…]</w:t>
      </w:r>
      <w:r>
        <w:t xml:space="preserve"> false positives, at a workload cost of </w:t>
      </w:r>
      <w:r>
        <w:rPr>
          <w:highlight w:val="yellow"/>
          <w:highlightCs w:val="yellow"/>
        </w:rPr>
        <w:t xml:space="preserve">[…]</w:t>
      </w:r>
      <w:r>
        <w:t xml:space="preserve">.</w:t>
      </w:r>
    </w:p>
    <w:p>
      <w:pPr>
        <w:spacing w:after="100" w:line="276"/>
      </w:pPr>
      <w:r>
        <w:t xml:space="preserve">A prospective evaluation is beyond the scope of this revision. We now state this as a principal limitation and outline </w:t>
      </w:r>
      <w:r>
        <w:rPr>
          <w:highlight w:val="yellow"/>
          <w:highlightCs w:val="yellow"/>
        </w:rPr>
        <w:t xml:space="preserve">[a planned prospective study following DECIDE-AI / a silent-mode pilot at Zhujiang Hospital]</w:t>
      </w:r>
      <w:r>
        <w:t xml:space="preserve">.</w:t>
      </w:r>
    </w:p>
    <w:p>
      <w:pPr>
        <w:spacing w:after="120" w:line="276"/>
      </w:pPr>
      <w:r>
        <w:rPr>
          <w:b/>
          <w:bCs/>
          <w:color w:val="2E7D32"/>
        </w:rPr>
        <w:t xml:space="preserve">Changes to the manuscript: </w:t>
      </w:r>
      <w:r>
        <w:t xml:space="preserve">Results 2.6, Fig. 6, Discussion and Limitations; new Supplementary Tables.</w:t>
      </w:r>
    </w:p>
    <w:p>
      <w:pPr>
        <w:keepNext/>
        <w:spacing w:after="80" w:before="240"/>
      </w:pPr>
      <w:r>
        <w:rPr>
          <w:b/>
          <w:bCs/>
          <w:color w:val="1F3864"/>
        </w:rPr>
        <w:t xml:space="preserve">R1 code-availability remarks</w:t>
      </w:r>
      <w:r>
        <w:rPr>
          <w:color w:val="7F7F7F"/>
          <w:sz w:val="19"/>
          <w:szCs w:val="19"/>
        </w:rPr>
        <w:t xml:space="preserve">   Owner: </w:t>
      </w:r>
      <w:r>
        <w:rPr>
          <w:b/>
          <w:bCs/>
          <w:color w:val="7F7F7F"/>
          <w:sz w:val="19"/>
          <w:szCs w:val="19"/>
        </w:rPr>
        <w:t xml:space="preserve">Shared</w:t>
      </w:r>
    </w:p>
    <w:p>
      <w:pPr>
        <w:pBdr>
          <w:left w:val="single" w:color="1F3864" w:sz="18" w:space="6"/>
        </w:pBdr>
        <w:shd w:fill="EEF1F6" w:color="auto" w:val="clear"/>
        <w:spacing w:after="120" w:line="264"/>
        <w:ind w:left="200"/>
      </w:pPr>
      <w:r>
        <w:rPr>
          <w:i/>
          <w:iCs/>
          <w:color w:val="404040"/>
          <w:sz w:val="20"/>
          <w:szCs w:val="20"/>
        </w:rPr>
        <w:t xml:space="preserve">The work has notable strengths … However, the current evidence supports a promising retrospective workflow rather than established clinical benefit or broad deployability. So, I suggest at least a "major revision" for this manuscript.</w:t>
      </w:r>
    </w:p>
    <w:p>
      <w:pPr>
        <w:spacing w:after="100" w:line="276"/>
      </w:pPr>
      <w:r>
        <w:rPr>
          <w:b/>
          <w:bCs/>
        </w:rPr>
        <w:t xml:space="preserve">Response: </w:t>
      </w:r>
      <w:r>
        <w:t xml:space="preserve">We thank the reviewer. We have moderated deployability claims throughout and improved the code release as described in our response to Reviewer 2’s code-availability remarks.</w:t>
      </w:r>
    </w:p>
    <w:p>
      <w:pPr>
        <w:pStyle w:val="Heading2"/>
      </w:pPr>
      <w:r>
        <w:t xml:space="preserve">Reviewer 2</w:t>
      </w:r>
    </w:p>
    <w:p>
      <w:pPr>
        <w:spacing w:after="120" w:line="276"/>
      </w:pPr>
      <w:r>
        <w:rPr>
          <w:b/>
          <w:bCs/>
        </w:rPr>
        <w:t xml:space="preserve">General comment.</w:t>
      </w:r>
      <w:r>
        <w:t xml:space="preserve"> We thank the reviewer for the detailed and constructive review, which substantially improved the rigour and clarity of the manuscript.</w:t>
      </w:r>
    </w:p>
    <w:p>
      <w:pPr>
        <w:keepNext/>
        <w:spacing w:after="80" w:before="240"/>
      </w:pPr>
      <w:r>
        <w:rPr>
          <w:b/>
          <w:bCs/>
          <w:color w:val="1F3864"/>
        </w:rPr>
        <w:t xml:space="preserve">R2.1  Inconsistent values</w:t>
      </w:r>
      <w:r>
        <w:rPr>
          <w:color w:val="7F7F7F"/>
          <w:sz w:val="19"/>
          <w:szCs w:val="19"/>
        </w:rPr>
        <w:t xml:space="preserve">   Owner: </w:t>
      </w:r>
      <w:r>
        <w:rPr>
          <w:b/>
          <w:bCs/>
          <w:color w:val="7F7F7F"/>
          <w:sz w:val="19"/>
          <w:szCs w:val="19"/>
        </w:rPr>
        <w:t xml:space="preserve">Shared (Baidong and Shiyu for their sections)</w:t>
      </w:r>
    </w:p>
    <w:p>
      <w:pPr>
        <w:pBdr>
          <w:left w:val="single" w:color="1F3864" w:sz="18" w:space="6"/>
        </w:pBdr>
        <w:shd w:fill="EEF1F6" w:color="auto" w:val="clear"/>
        <w:spacing w:after="120" w:line="264"/>
        <w:ind w:left="200"/>
      </w:pPr>
      <w:r>
        <w:rPr>
          <w:i/>
          <w:iCs/>
          <w:color w:val="404040"/>
          <w:sz w:val="20"/>
          <w:szCs w:val="20"/>
        </w:rPr>
        <w:t xml:space="preserve">Several key values are inconsistent across the abstract, main text, figures, and supplementary materials.</w:t>
      </w:r>
    </w:p>
    <w:p>
      <w:pPr>
        <w:spacing w:after="100" w:line="276"/>
      </w:pPr>
      <w:r>
        <w:rPr>
          <w:b/>
          <w:bCs/>
        </w:rPr>
        <w:t xml:space="preserve">Response: </w:t>
      </w:r>
      <w:r>
        <w:t xml:space="preserve">We apologise and thank the reviewer. We audited every number in the abstract, main text, figures and supplementary tables against the source analysis outputs. The corrections are listed below; all text now matches the tables.</w:t>
      </w:r>
    </w:p>
    <w:p>
      <w:pPr>
        <w:pStyle w:val="ListParagraph"/>
        <w:numPr>
          <w:ilvl w:val="0"/>
          <w:numId w:val="2"/>
        </w:numPr>
        <w:spacing w:after="60" w:line="264"/>
      </w:pPr>
      <w:r>
        <w:t xml:space="preserve">Mean benign–malignant AUROC/AUPRC (abstract, Section 2.2): corrected to the unweighted mean of Supplementary Table S4, </w:t>
      </w:r>
      <w:r>
        <w:rPr>
          <w:highlight w:val="yellow"/>
          <w:highlightCs w:val="yellow"/>
        </w:rPr>
        <w:t xml:space="preserve">[0.9001 / 0.8705 — confirm]</w:t>
      </w:r>
      <w:r>
        <w:t xml:space="preserve"> (see also comment 7).</w:t>
      </w:r>
    </w:p>
    <w:p>
      <w:pPr>
        <w:pStyle w:val="ListParagraph"/>
        <w:numPr>
          <w:ilvl w:val="0"/>
          <w:numId w:val="2"/>
        </w:numPr>
        <w:spacing w:after="60" w:line="264"/>
      </w:pPr>
      <w:r>
        <w:t xml:space="preserve">Report-generation lexical metrics (Section 2.6) and ThyClinScore values (0.5238/0.4465/0.4775 in the text) corrected to match Supplementary Tables S14–S15 and Fig. 5f (</w:t>
      </w:r>
      <w:r>
        <w:rPr>
          <w:highlight w:val="yellow"/>
          <w:highlightCs w:val="yellow"/>
        </w:rPr>
        <w:t xml:space="preserve">[0.5189 / 0.4407 / 0.4676]</w:t>
      </w:r>
      <w:r>
        <w:t xml:space="preserve">).</w:t>
      </w:r>
    </w:p>
    <w:p>
      <w:pPr>
        <w:pStyle w:val="ListParagraph"/>
        <w:numPr>
          <w:ilvl w:val="0"/>
          <w:numId w:val="2"/>
        </w:numPr>
        <w:spacing w:after="60" w:line="264"/>
      </w:pPr>
      <w:r>
        <w:t xml:space="preserve">Fig. 3b: AUROC and AUPRC labels were swapped; corrected to match Supplementary Table S5.</w:t>
      </w:r>
    </w:p>
    <w:p>
      <w:pPr>
        <w:pStyle w:val="ListParagraph"/>
        <w:numPr>
          <w:ilvl w:val="0"/>
          <w:numId w:val="2"/>
        </w:numPr>
        <w:spacing w:after="60" w:line="264"/>
      </w:pPr>
      <w:r>
        <w:t xml:space="preserve">LNM training set size corrected to </w:t>
      </w:r>
      <w:r>
        <w:rPr>
          <w:highlight w:val="yellow"/>
          <w:highlightCs w:val="yellow"/>
        </w:rPr>
        <w:t xml:space="preserve">[4,936]</w:t>
      </w:r>
      <w:r>
        <w:t xml:space="preserve"> images (4,756 + 180).</w:t>
      </w:r>
    </w:p>
    <w:p>
      <w:pPr>
        <w:pStyle w:val="ListParagraph"/>
        <w:numPr>
          <w:ilvl w:val="0"/>
          <w:numId w:val="2"/>
        </w:numPr>
        <w:spacing w:after="60" w:line="264"/>
      </w:pPr>
      <w:r>
        <w:t xml:space="preserve">AI-assisted segmentation time harmonised to </w:t>
      </w:r>
      <w:r>
        <w:rPr>
          <w:highlight w:val="yellow"/>
          <w:highlightCs w:val="yellow"/>
        </w:rPr>
        <w:t xml:space="preserve">[9.11 s]</w:t>
      </w:r>
      <w:r>
        <w:t xml:space="preserve"> in text and Fig. 2i; physician-level reporting-time savings now described accurately.</w:t>
      </w:r>
    </w:p>
    <w:p>
      <w:pPr>
        <w:pStyle w:val="ListParagraph"/>
        <w:numPr>
          <w:ilvl w:val="0"/>
          <w:numId w:val="2"/>
        </w:numPr>
        <w:spacing w:after="60" w:line="264"/>
      </w:pPr>
      <w:r>
        <w:t xml:space="preserve">Fig. 1a now reports ZJH-8K as 7,958 images from 1,149 cases; “28,458 non-overlapping test cases” replaced (comment 3); “40 datasets” defined; Table S4 ResNet-50 entry corrected to </w:t>
      </w:r>
      <w:r>
        <w:rPr>
          <w:highlight w:val="yellow"/>
          <w:highlightCs w:val="yellow"/>
        </w:rPr>
        <w:t xml:space="preserve">[…]</w:t>
      </w:r>
      <w:r>
        <w:t xml:space="preserve">; dataset naming harmonised to NHC-MISD-TUS.</w:t>
      </w:r>
    </w:p>
    <w:p>
      <w:pPr>
        <w:spacing w:after="120" w:line="276"/>
      </w:pPr>
      <w:r>
        <w:rPr>
          <w:b/>
          <w:bCs/>
          <w:color w:val="2E7D32"/>
        </w:rPr>
        <w:t xml:space="preserve">Changes to the manuscript: </w:t>
      </w:r>
      <w:r>
        <w:t xml:space="preserve">Abstract, Sections 2.2, 2.3, 2.6, 4.1; Figs. 1a, 2i, 3b; Supplementary Table S4.</w:t>
      </w:r>
    </w:p>
    <w:p>
      <w:pPr>
        <w:keepNext/>
        <w:spacing w:after="80" w:before="240"/>
      </w:pPr>
      <w:r>
        <w:rPr>
          <w:b/>
          <w:bCs/>
          <w:color w:val="1F3864"/>
        </w:rPr>
        <w:t xml:space="preserve">R2.2  Correlated images and confidence intervals</w:t>
      </w:r>
      <w:r>
        <w:rPr>
          <w:color w:val="7F7F7F"/>
          <w:sz w:val="19"/>
          <w:szCs w:val="19"/>
        </w:rPr>
        <w:t xml:space="preserve">   Owner: </w:t>
      </w:r>
      <w:r>
        <w:rPr>
          <w:b/>
          <w:bCs/>
          <w:color w:val="7F7F7F"/>
          <w:sz w:val="19"/>
          <w:szCs w:val="19"/>
        </w:rPr>
        <w:t xml:space="preserve">Baidong</w:t>
      </w:r>
    </w:p>
    <w:p>
      <w:pPr>
        <w:pBdr>
          <w:left w:val="single" w:color="1F3864" w:sz="18" w:space="6"/>
        </w:pBdr>
        <w:shd w:fill="EEF1F6" w:color="auto" w:val="clear"/>
        <w:spacing w:after="120" w:line="264"/>
        <w:ind w:left="200"/>
      </w:pPr>
      <w:r>
        <w:rPr>
          <w:i/>
          <w:iCs/>
          <w:color w:val="404040"/>
          <w:sz w:val="20"/>
          <w:szCs w:val="20"/>
        </w:rPr>
        <w:t xml:space="preserve">Many analyses are reported at the image level, although multiple images may come from the same patient, examination, or nodule. For example, ZJH-8K includes 7,958 images from 1,149 cases. Treating correlated images as independent observations may produce overly narrow confidence intervals. The authors should recalculate confidence intervals using patient- or examination-level bootstrap resampling and report patient-level performance for clinically relevant classification tasks.</w:t>
      </w:r>
    </w:p>
    <w:p>
      <w:pPr>
        <w:spacing w:after="100" w:line="276"/>
      </w:pPr>
      <w:r>
        <w:rPr>
          <w:b/>
          <w:bCs/>
        </w:rPr>
        <w:t xml:space="preserve">Response: </w:t>
      </w:r>
      <w:r>
        <w:t xml:space="preserve">We agree. All segmentation and classification CIs are now computed by patient- or examination-level bootstrap resampling, and patient-level classification performance is reported for ZJH-8K and </w:t>
      </w:r>
      <w:r>
        <w:rPr>
          <w:highlight w:val="yellow"/>
          <w:highlightCs w:val="yellow"/>
        </w:rPr>
        <w:t xml:space="preserve">[other cohorts with case identifiers]</w:t>
      </w:r>
      <w:r>
        <w:t xml:space="preserve">. Details are given in our response to Reviewer 1, comment 1. For cohorts without released patient identifiers (</w:t>
      </w:r>
      <w:r>
        <w:rPr>
          <w:highlight w:val="yellow"/>
          <w:highlightCs w:val="yellow"/>
        </w:rPr>
        <w:t xml:space="preserve">[list]</w:t>
      </w:r>
      <w:r>
        <w:t xml:space="preserve">), we state this explicitly and use the original image-level partitions together with the near-duplicate screening described there.</w:t>
      </w:r>
    </w:p>
    <w:p>
      <w:pPr>
        <w:spacing w:after="120" w:line="276"/>
      </w:pPr>
      <w:r>
        <w:rPr>
          <w:b/>
          <w:bCs/>
          <w:color w:val="2E7D32"/>
        </w:rPr>
        <w:t xml:space="preserve">Changes to the manuscript: </w:t>
      </w:r>
      <w:r>
        <w:t xml:space="preserve">Methods 4.6; Supplementary Tables S3–S5, S7–S12 and new patient-level table.</w:t>
      </w:r>
    </w:p>
    <w:p>
      <w:pPr>
        <w:keepNext/>
        <w:spacing w:after="80" w:before="240"/>
      </w:pPr>
      <w:r>
        <w:rPr>
          <w:b/>
          <w:bCs/>
          <w:color w:val="1F3864"/>
        </w:rPr>
        <w:t xml:space="preserve">R2.3  “28,458 non-overlapping test cases”</w:t>
      </w:r>
      <w:r>
        <w:rPr>
          <w:color w:val="7F7F7F"/>
          <w:sz w:val="19"/>
          <w:szCs w:val="19"/>
        </w:rPr>
        <w:t xml:space="preserve">   Owner: </w:t>
      </w:r>
      <w:r>
        <w:rPr>
          <w:b/>
          <w:bCs/>
          <w:color w:val="7F7F7F"/>
          <w:sz w:val="19"/>
          <w:szCs w:val="19"/>
        </w:rPr>
        <w:t xml:space="preserve">Shared</w:t>
      </w:r>
    </w:p>
    <w:p>
      <w:pPr>
        <w:pBdr>
          <w:left w:val="single" w:color="1F3864" w:sz="18" w:space="6"/>
        </w:pBdr>
        <w:shd w:fill="EEF1F6" w:color="auto" w:val="clear"/>
        <w:spacing w:after="120" w:line="264"/>
        <w:ind w:left="200"/>
      </w:pPr>
      <w:r>
        <w:rPr>
          <w:i/>
          <w:iCs/>
          <w:color w:val="404040"/>
          <w:sz w:val="20"/>
          <w:szCs w:val="20"/>
        </w:rPr>
        <w:t xml:space="preserve">Please clarify why 28,458 observations are described as "non-overlapping test cases," as this number appears to combine 19,737 test images with 8,721 NHC-MISD-TUS cases.</w:t>
      </w:r>
    </w:p>
    <w:p>
      <w:pPr>
        <w:spacing w:after="100" w:line="276"/>
      </w:pPr>
      <w:r>
        <w:rPr>
          <w:b/>
          <w:bCs/>
        </w:rPr>
        <w:t xml:space="preserve">Response: </w:t>
      </w:r>
      <w:r>
        <w:t xml:space="preserve">The reviewer is correct: 28,458 is the sum of the 19,737 test images from the seven segmentation and classification cohorts and the 8,721 NHC-MISD-TUS </w:t>
      </w:r>
      <w:r>
        <w:rPr>
          <w:highlight w:val="yellow"/>
          <w:highlightCs w:val="yellow"/>
        </w:rPr>
        <w:t xml:space="preserve">[images]</w:t>
      </w:r>
      <w:r>
        <w:t xml:space="preserve">. Describing these as “cases” was inaccurate, and the total excludes the report-generation and malignant-lesion test sets. We have replaced the phrase with an explicit count at each level (</w:t>
      </w:r>
      <w:r>
        <w:rPr>
          <w:highlight w:val="yellow"/>
          <w:highlightCs w:val="yellow"/>
        </w:rPr>
        <w:t xml:space="preserve">[X patients, Y examinations, 28,458 test images]</w:t>
      </w:r>
      <w:r>
        <w:t xml:space="preserve"> for image analysis; 400 + 492 + 150 reports and 145 videos for reporting) and added a flowchart of the data hierarchy (see Reviewer 3, comment 3). “Non-overlapping” is retained only where patient-level separation was verified.</w:t>
      </w:r>
    </w:p>
    <w:p>
      <w:pPr>
        <w:spacing w:after="120" w:line="276"/>
      </w:pPr>
      <w:r>
        <w:rPr>
          <w:b/>
          <w:bCs/>
          <w:color w:val="2E7D32"/>
        </w:rPr>
        <w:t xml:space="preserve">Changes to the manuscript: </w:t>
      </w:r>
      <w:r>
        <w:t xml:space="preserve">Abstract; Section 2.1; new data-hierarchy flowchart.</w:t>
      </w:r>
    </w:p>
    <w:p>
      <w:pPr>
        <w:keepNext/>
        <w:spacing w:after="80" w:before="240"/>
      </w:pPr>
      <w:r>
        <w:rPr>
          <w:b/>
          <w:bCs/>
          <w:color w:val="1F3864"/>
        </w:rPr>
        <w:t xml:space="preserve">R2.4  ZJH-8K and TN3K from the same hospital</w:t>
      </w:r>
      <w:r>
        <w:rPr>
          <w:color w:val="7F7F7F"/>
          <w:sz w:val="19"/>
          <w:szCs w:val="19"/>
        </w:rPr>
        <w:t xml:space="preserve">   Owner: </w:t>
      </w:r>
      <w:r>
        <w:rPr>
          <w:b/>
          <w:bCs/>
          <w:color w:val="7F7F7F"/>
          <w:sz w:val="19"/>
          <w:szCs w:val="19"/>
        </w:rPr>
        <w:t xml:space="preserve">Fei Chen (facts), Baidong (re-analysis)</w:t>
      </w:r>
    </w:p>
    <w:p>
      <w:pPr>
        <w:pBdr>
          <w:left w:val="single" w:color="1F3864" w:sz="18" w:space="6"/>
        </w:pBdr>
        <w:shd w:fill="EEF1F6" w:color="auto" w:val="clear"/>
        <w:spacing w:after="120" w:line="264"/>
        <w:ind w:left="200"/>
      </w:pPr>
      <w:r>
        <w:rPr>
          <w:i/>
          <w:iCs/>
          <w:color w:val="404040"/>
          <w:sz w:val="20"/>
          <w:szCs w:val="20"/>
        </w:rPr>
        <w:t xml:space="preserve">ZJH-8K and TN3K were both collected at Zhujiang Hospital, Southern Medical University. Unless they are demonstrably independent in patient population, collection period, cohort composition, and clinical workflow, ZJH-8K should not be described as an external-centre cohort.</w:t>
      </w:r>
    </w:p>
    <w:p>
      <w:pPr>
        <w:spacing w:after="100" w:line="276"/>
      </w:pPr>
      <w:r>
        <w:rPr>
          <w:b/>
          <w:bCs/>
        </w:rPr>
        <w:t xml:space="preserve">Response: </w:t>
      </w:r>
      <w:r>
        <w:t xml:space="preserve">We thank the reviewer for this important point. We compared the two cohorts: TN3K was collected </w:t>
      </w:r>
      <w:r>
        <w:rPr>
          <w:highlight w:val="yellow"/>
          <w:highlightCs w:val="yellow"/>
        </w:rPr>
        <w:t xml:space="preserve">[period, department, purpose]</w:t>
      </w:r>
      <w:r>
        <w:t xml:space="preserve">, whereas ZJH-8K was collected </w:t>
      </w:r>
      <w:r>
        <w:rPr>
          <w:highlight w:val="yellow"/>
          <w:highlightCs w:val="yellow"/>
        </w:rPr>
        <w:t xml:space="preserve">[period, department; surgically treated patients with histopathology]</w:t>
      </w:r>
      <w:r>
        <w:t xml:space="preserve">. A hospital-ID check found </w:t>
      </w:r>
      <w:r>
        <w:rPr>
          <w:highlight w:val="yellow"/>
          <w:highlightCs w:val="yellow"/>
        </w:rPr>
        <w:t xml:space="preserve">[no / N]</w:t>
      </w:r>
      <w:r>
        <w:t xml:space="preserve"> overlapping patients, and the scanner sets </w:t>
      </w:r>
      <w:r>
        <w:rPr>
          <w:highlight w:val="yellow"/>
          <w:highlightCs w:val="yellow"/>
        </w:rPr>
        <w:t xml:space="preserve">[differ / overlap]</w:t>
      </w:r>
      <w:r>
        <w:t xml:space="preserve">.</w:t>
      </w:r>
    </w:p>
    <w:p>
      <w:pPr>
        <w:spacing w:after="100" w:line="276"/>
      </w:pPr>
      <w:r>
        <w:rPr>
          <w:highlight w:val="yellow"/>
          <w:highlightCs w:val="yellow"/>
        </w:rPr>
        <w:t xml:space="preserve">[Option A, if independence is shown: we keep ZJH-8K as an independent test cohort but now describe it as a same-institution, temporally and procedurally independent cohort rather than an external centre.]</w:t>
      </w:r>
      <w:r>
        <w:t xml:space="preserve"> </w:t>
      </w:r>
      <w:r>
        <w:rPr>
          <w:highlight w:val="yellow"/>
          <w:highlightCs w:val="yellow"/>
        </w:rPr>
        <w:t xml:space="preserve">[Option B: we reclassify ZJH-8K as an internal held-out cohort and report external performance only on DDTI, RJH-7K and NHC-MISD-TUS, which yields mean Dice X and AUROC Y.]</w:t>
      </w:r>
    </w:p>
    <w:p>
      <w:pPr>
        <w:spacing w:after="120" w:line="276"/>
      </w:pPr>
      <w:r>
        <w:rPr>
          <w:b/>
          <w:bCs/>
          <w:color w:val="2E7D32"/>
        </w:rPr>
        <w:t xml:space="preserve">Changes to the manuscript: </w:t>
      </w:r>
      <w:r>
        <w:t xml:space="preserve">Sections 2.1 and 4.1; Supplementary Table S1; affected averages.</w:t>
      </w:r>
    </w:p>
    <w:p>
      <w:pPr>
        <w:keepNext/>
        <w:spacing w:after="80" w:before="240"/>
      </w:pPr>
      <w:r>
        <w:rPr>
          <w:b/>
          <w:bCs/>
          <w:color w:val="1F3864"/>
        </w:rPr>
        <w:t xml:space="preserve">R2.5  Reference standards and annotation</w:t>
      </w:r>
      <w:r>
        <w:rPr>
          <w:color w:val="7F7F7F"/>
          <w:sz w:val="19"/>
          <w:szCs w:val="19"/>
        </w:rPr>
        <w:t xml:space="preserve">   Owner: </w:t>
      </w:r>
      <w:r>
        <w:rPr>
          <w:b/>
          <w:bCs/>
          <w:color w:val="7F7F7F"/>
          <w:sz w:val="19"/>
          <w:szCs w:val="19"/>
        </w:rPr>
        <w:t xml:space="preserve">Fei Chen</w:t>
      </w:r>
    </w:p>
    <w:p>
      <w:pPr>
        <w:pBdr>
          <w:left w:val="single" w:color="1F3864" w:sz="18" w:space="6"/>
        </w:pBdr>
        <w:shd w:fill="EEF1F6" w:color="auto" w:val="clear"/>
        <w:spacing w:after="120" w:line="264"/>
        <w:ind w:left="200"/>
      </w:pPr>
      <w:r>
        <w:rPr>
          <w:i/>
          <w:iCs/>
          <w:color w:val="404040"/>
          <w:sz w:val="20"/>
          <w:szCs w:val="20"/>
        </w:rPr>
        <w:t xml:space="preserve">The Methods should specify the reference standards for nodule segmentation and benign-malignant classification, annotation procedures, annotator qualifications and adjudication of disagreements, patient-level deduplication, and handling of missing data.</w:t>
      </w:r>
    </w:p>
    <w:p>
      <w:pPr>
        <w:spacing w:after="100" w:line="276"/>
      </w:pPr>
      <w:r>
        <w:rPr>
          <w:b/>
          <w:bCs/>
        </w:rPr>
        <w:t xml:space="preserve">Response: </w:t>
      </w:r>
      <w:r>
        <w:t xml:space="preserve">We have added this information to Methods 4.1 and a new Supplementary Table S</w:t>
      </w:r>
      <w:r>
        <w:rPr>
          <w:highlight w:val="yellow"/>
          <w:highlightCs w:val="yellow"/>
        </w:rPr>
        <w:t xml:space="preserve">[X]</w:t>
      </w:r>
      <w:r>
        <w:t xml:space="preserve">. For the public cohorts we describe the reference standard as reported by the original publications (</w:t>
      </w:r>
      <w:r>
        <w:rPr>
          <w:highlight w:val="yellow"/>
          <w:highlightCs w:val="yellow"/>
        </w:rPr>
        <w:t xml:space="preserve">[pathology/cytology per dataset]</w:t>
      </w:r>
      <w:r>
        <w:t xml:space="preserve">). For ZJH-8K, malignant and benign labels were </w:t>
      </w:r>
      <w:r>
        <w:rPr>
          <w:highlight w:val="yellow"/>
          <w:highlightCs w:val="yellow"/>
        </w:rPr>
        <w:t xml:space="preserve">[confirmed by postoperative histopathology / cytology]</w:t>
      </w:r>
      <w:r>
        <w:t xml:space="preserve">; masks were drawn by </w:t>
      </w:r>
      <w:r>
        <w:rPr>
          <w:highlight w:val="yellow"/>
          <w:highlightCs w:val="yellow"/>
        </w:rPr>
        <w:t xml:space="preserve">[N sonographers with X years of experience]</w:t>
      </w:r>
      <w:r>
        <w:t xml:space="preserve"> and reviewed by </w:t>
      </w:r>
      <w:r>
        <w:rPr>
          <w:highlight w:val="yellow"/>
          <w:highlightCs w:val="yellow"/>
        </w:rPr>
        <w:t xml:space="preserve">[a senior radiologist with Y years]</w:t>
      </w:r>
      <w:r>
        <w:t xml:space="preserve">, with disagreements resolved by </w:t>
      </w:r>
      <w:r>
        <w:rPr>
          <w:highlight w:val="yellow"/>
          <w:highlightCs w:val="yellow"/>
        </w:rPr>
        <w:t xml:space="preserve">[consensus / a third reader]</w:t>
      </w:r>
      <w:r>
        <w:t xml:space="preserve">. The same details are given for ZJH-TS and TNVideo. Patient-level de-duplication is described in our response to Reviewer 1, comment 1. Images without a valid mask or label were </w:t>
      </w:r>
      <w:r>
        <w:rPr>
          <w:highlight w:val="yellow"/>
          <w:highlightCs w:val="yellow"/>
        </w:rPr>
        <w:t xml:space="preserve">[excluded (N)]</w:t>
      </w:r>
      <w:r>
        <w:t xml:space="preserve">, and no imputation was performed.</w:t>
      </w:r>
    </w:p>
    <w:p>
      <w:pPr>
        <w:spacing w:after="120" w:line="276"/>
      </w:pPr>
      <w:r>
        <w:rPr>
          <w:b/>
          <w:bCs/>
          <w:color w:val="2E7D32"/>
        </w:rPr>
        <w:t xml:space="preserve">Changes to the manuscript: </w:t>
      </w:r>
      <w:r>
        <w:t xml:space="preserve">Methods 4.1; new Supplementary Table S</w:t>
      </w:r>
      <w:r>
        <w:rPr>
          <w:highlight w:val="yellow"/>
          <w:highlightCs w:val="yellow"/>
        </w:rPr>
        <w:t xml:space="preserve">[X]</w:t>
      </w:r>
      <w:r>
        <w:t xml:space="preserve">.</w:t>
      </w:r>
    </w:p>
    <w:p>
      <w:pPr>
        <w:keepNext/>
        <w:spacing w:after="80" w:before="240"/>
      </w:pPr>
      <w:r>
        <w:rPr>
          <w:b/>
          <w:bCs/>
          <w:color w:val="1F3864"/>
        </w:rPr>
        <w:t xml:space="preserve">R2.6  NHC-MISD-TUS description</w:t>
      </w:r>
      <w:r>
        <w:rPr>
          <w:color w:val="7F7F7F"/>
          <w:sz w:val="19"/>
          <w:szCs w:val="19"/>
        </w:rPr>
        <w:t xml:space="preserve">   Owner: </w:t>
      </w:r>
      <w:r>
        <w:rPr>
          <w:b/>
          <w:bCs/>
          <w:color w:val="7F7F7F"/>
          <w:sz w:val="19"/>
          <w:szCs w:val="19"/>
        </w:rPr>
        <w:t xml:space="preserve">Baidong (analysis), Shared (centre metadata)</w:t>
      </w:r>
    </w:p>
    <w:p>
      <w:pPr>
        <w:pBdr>
          <w:left w:val="single" w:color="1F3864" w:sz="18" w:space="6"/>
        </w:pBdr>
        <w:shd w:fill="EEF1F6" w:color="auto" w:val="clear"/>
        <w:spacing w:after="120" w:line="264"/>
        <w:ind w:left="200"/>
      </w:pPr>
      <w:r>
        <w:rPr>
          <w:i/>
          <w:iCs/>
          <w:color w:val="404040"/>
          <w:sz w:val="20"/>
          <w:szCs w:val="20"/>
        </w:rPr>
        <w:t xml:space="preserve">The manuscript reports validation on 8,721 cases from 35 centres, but the NHC-MISD-TUS cohort is insufficiently described. The authors should clarify whether these represent 35 independent hospitals and report the numbers of patients, nodules, and images per centre, together with centre-level macro-averaged performance and between-centre heterogeneity.</w:t>
      </w:r>
    </w:p>
    <w:p>
      <w:pPr>
        <w:spacing w:after="100" w:line="276"/>
      </w:pPr>
      <w:r>
        <w:rPr>
          <w:b/>
          <w:bCs/>
        </w:rPr>
        <w:t xml:space="preserve">Response: </w:t>
      </w:r>
      <w:r>
        <w:t xml:space="preserve">The 35 centres are </w:t>
      </w:r>
      <w:r>
        <w:rPr>
          <w:highlight w:val="yellow"/>
          <w:highlightCs w:val="yellow"/>
        </w:rPr>
        <w:t xml:space="preserve">[35 independent hospitals in N provinces]</w:t>
      </w:r>
      <w:r>
        <w:t xml:space="preserve"> contributing to the National Health Commission Medical Imaging Standard Database. A new Supplementary Table S</w:t>
      </w:r>
      <w:r>
        <w:rPr>
          <w:highlight w:val="yellow"/>
          <w:highlightCs w:val="yellow"/>
        </w:rPr>
        <w:t xml:space="preserve">[X]</w:t>
      </w:r>
      <w:r>
        <w:t xml:space="preserve"> lists per centre the number of patients, nodules and images, scanners and label availability. We now report centre-level macro-averaged performance (Dice </w:t>
      </w:r>
      <w:r>
        <w:rPr>
          <w:highlight w:val="yellow"/>
          <w:highlightCs w:val="yellow"/>
        </w:rPr>
        <w:t xml:space="preserve">[X]</w:t>
      </w:r>
      <w:r>
        <w:t xml:space="preserve">, AUROC </w:t>
      </w:r>
      <w:r>
        <w:rPr>
          <w:highlight w:val="yellow"/>
          <w:highlightCs w:val="yellow"/>
        </w:rPr>
        <w:t xml:space="preserve">[Y]</w:t>
      </w:r>
      <w:r>
        <w:t xml:space="preserve">) alongside the pooled values, and random-effects pooling gives I² = </w:t>
      </w:r>
      <w:r>
        <w:rPr>
          <w:highlight w:val="yellow"/>
          <w:highlightCs w:val="yellow"/>
        </w:rPr>
        <w:t xml:space="preserve">[X%]</w:t>
      </w:r>
      <w:r>
        <w:t xml:space="preserve"> for Dice and </w:t>
      </w:r>
      <w:r>
        <w:rPr>
          <w:highlight w:val="yellow"/>
          <w:highlightCs w:val="yellow"/>
        </w:rPr>
        <w:t xml:space="preserve">[Y%]</w:t>
      </w:r>
      <w:r>
        <w:t xml:space="preserve"> for AUROC. Centres with a single class or fewer than </w:t>
      </w:r>
      <w:r>
        <w:rPr>
          <w:highlight w:val="yellow"/>
          <w:highlightCs w:val="yellow"/>
        </w:rPr>
        <w:t xml:space="preserve">[10]</w:t>
      </w:r>
      <w:r>
        <w:t xml:space="preserve"> cases are marked as not estimable for AUROC/AUPRC instead of being reported as 0.5 or 0.0 (Supplementary Tables S11–S12).</w:t>
      </w:r>
    </w:p>
    <w:p>
      <w:pPr>
        <w:spacing w:after="120" w:line="276"/>
      </w:pPr>
      <w:r>
        <w:rPr>
          <w:b/>
          <w:bCs/>
          <w:color w:val="2E7D32"/>
        </w:rPr>
        <w:t xml:space="preserve">Changes to the manuscript: </w:t>
      </w:r>
      <w:r>
        <w:t xml:space="preserve">Sections 2.2 and 4.1; Supplementary Tables S7–S12 and new centre table.</w:t>
      </w:r>
    </w:p>
    <w:p>
      <w:pPr>
        <w:keepNext/>
        <w:spacing w:after="80" w:before="240"/>
      </w:pPr>
      <w:r>
        <w:rPr>
          <w:b/>
          <w:bCs/>
          <w:color w:val="1F3864"/>
        </w:rPr>
        <w:t xml:space="preserve">R2.7  Definition of “mean”</w:t>
      </w:r>
      <w:r>
        <w:rPr>
          <w:color w:val="7F7F7F"/>
          <w:sz w:val="19"/>
          <w:szCs w:val="19"/>
        </w:rPr>
        <w:t xml:space="preserve">   Owner: </w:t>
      </w:r>
      <w:r>
        <w:rPr>
          <w:b/>
          <w:bCs/>
          <w:color w:val="7F7F7F"/>
          <w:sz w:val="19"/>
          <w:szCs w:val="19"/>
        </w:rPr>
        <w:t xml:space="preserve">Baidong</w:t>
      </w:r>
    </w:p>
    <w:p>
      <w:pPr>
        <w:pBdr>
          <w:left w:val="single" w:color="1F3864" w:sz="18" w:space="6"/>
        </w:pBdr>
        <w:shd w:fill="EEF1F6" w:color="auto" w:val="clear"/>
        <w:spacing w:after="120" w:line="264"/>
        <w:ind w:left="200"/>
      </w:pPr>
      <w:r>
        <w:rPr>
          <w:i/>
          <w:iCs/>
          <w:color w:val="404040"/>
          <w:sz w:val="20"/>
          <w:szCs w:val="20"/>
        </w:rPr>
        <w:t xml:space="preserve">The authors should clarify whether the reported "mean" performance represents an unweighted macro-average across cohorts, a sample-size-weighted average, or another calculation.</w:t>
      </w:r>
    </w:p>
    <w:p>
      <w:pPr>
        <w:spacing w:after="100" w:line="276"/>
      </w:pPr>
      <w:r>
        <w:rPr>
          <w:b/>
          <w:bCs/>
        </w:rPr>
        <w:t xml:space="preserve">Response: </w:t>
      </w:r>
      <w:r>
        <w:t xml:space="preserve">All “mean” values are unweighted macro-averages across test cohorts. While checking this, we found that the reported mean AUROC and AUPRC were not consistent with Supplementary Table S4; the corrected macro-averages are </w:t>
      </w:r>
      <w:r>
        <w:rPr>
          <w:highlight w:val="yellow"/>
          <w:highlightCs w:val="yellow"/>
        </w:rPr>
        <w:t xml:space="preserve">[0.9001 and 0.8705]</w:t>
      </w:r>
      <w:r>
        <w:t xml:space="preserve">. We now state the averaging method in every caption and also report sample-size-weighted averages in Supplementary Table S</w:t>
      </w:r>
      <w:r>
        <w:rPr>
          <w:highlight w:val="yellow"/>
          <w:highlightCs w:val="yellow"/>
        </w:rPr>
        <w:t xml:space="preserve">[X]</w:t>
      </w:r>
      <w:r>
        <w:t xml:space="preserve">.</w:t>
      </w:r>
    </w:p>
    <w:p>
      <w:pPr>
        <w:spacing w:after="120" w:line="276"/>
      </w:pPr>
      <w:r>
        <w:rPr>
          <w:b/>
          <w:bCs/>
          <w:color w:val="2E7D32"/>
        </w:rPr>
        <w:t xml:space="preserve">Changes to the manuscript: </w:t>
      </w:r>
      <w:r>
        <w:t xml:space="preserve">Abstract; Section 2.2; table and figure captions.</w:t>
      </w:r>
    </w:p>
    <w:p>
      <w:pPr>
        <w:keepNext/>
        <w:spacing w:after="80" w:before="240"/>
      </w:pPr>
      <w:r>
        <w:rPr>
          <w:b/>
          <w:bCs/>
          <w:color w:val="1F3864"/>
        </w:rPr>
        <w:t xml:space="preserve">R2.8  Source of the gains</w:t>
      </w:r>
      <w:r>
        <w:rPr>
          <w:color w:val="7F7F7F"/>
          <w:sz w:val="19"/>
          <w:szCs w:val="19"/>
        </w:rPr>
        <w:t xml:space="preserve">   Owner: </w:t>
      </w:r>
      <w:r>
        <w:rPr>
          <w:b/>
          <w:bCs/>
          <w:color w:val="7F7F7F"/>
          <w:sz w:val="19"/>
          <w:szCs w:val="19"/>
        </w:rPr>
        <w:t xml:space="preserve">Baidong</w:t>
      </w:r>
    </w:p>
    <w:p>
      <w:pPr>
        <w:pBdr>
          <w:left w:val="single" w:color="1F3864" w:sz="18" w:space="6"/>
        </w:pBdr>
        <w:shd w:fill="EEF1F6" w:color="auto" w:val="clear"/>
        <w:spacing w:after="120" w:line="264"/>
        <w:ind w:left="200"/>
      </w:pPr>
      <w:r>
        <w:rPr>
          <w:i/>
          <w:iCs/>
          <w:color w:val="404040"/>
          <w:sz w:val="20"/>
          <w:szCs w:val="20"/>
        </w:rPr>
        <w:t xml:space="preserve">The key innovation is the agentic evidence workflow, but the observed gains may largely reflect the DINOv3 expert pool, multicohort training, radiomics classifiers, or template-based reporting rather than agentic routing itself. As the static-pipeline comparison is limited mainly to report generation, the independent value of LLM-based routing for segmentation and classification remains unclear.</w:t>
      </w:r>
    </w:p>
    <w:p>
      <w:pPr>
        <w:spacing w:after="100" w:line="276"/>
      </w:pPr>
      <w:r>
        <w:rPr>
          <w:b/>
          <w:bCs/>
        </w:rPr>
        <w:t xml:space="preserve">Response: </w:t>
      </w:r>
      <w:r>
        <w:t xml:space="preserve">We agree. We now separate these contributions for segmentation and classification with (i) the routing ablation described in our response to Reviewer 1, comment 2, and (ii) a component ablation: a single DINOv3 expert trained on the full stacked data, the expert pool with the strongest non-agentic combination, the pool with the LLM router, and the pool with the router plus the radiomics branch. The effect of multicohort training is already isolated in Supplementary Table S6, which we now discuss in the main text. </w:t>
      </w:r>
      <w:r>
        <w:rPr>
          <w:highlight w:val="yellow"/>
          <w:highlightCs w:val="yellow"/>
        </w:rPr>
        <w:t xml:space="preserve">[Results.]</w:t>
      </w:r>
    </w:p>
    <w:p>
      <w:pPr>
        <w:spacing w:after="100" w:line="276"/>
      </w:pPr>
      <w:r>
        <w:t xml:space="preserve">For report generation, the static rule-based pipeline (Supplementary Table S16) and cumulative tool ablation (Supplementary Table S17) remain, and we add an evidence-to-text control in which general-purpose LLMs receive the same structured evidence (Reviewer 3, minor comment 1).</w:t>
      </w:r>
    </w:p>
    <w:p>
      <w:pPr>
        <w:spacing w:after="120" w:line="276"/>
      </w:pPr>
      <w:r>
        <w:rPr>
          <w:b/>
          <w:bCs/>
          <w:color w:val="2E7D32"/>
        </w:rPr>
        <w:t xml:space="preserve">Changes to the manuscript: </w:t>
      </w:r>
      <w:r>
        <w:t xml:space="preserve">New Results subsection; Supplementary Table S6 discussed in text.</w:t>
      </w:r>
    </w:p>
    <w:p>
      <w:pPr>
        <w:keepNext/>
        <w:spacing w:after="80" w:before="240"/>
      </w:pPr>
      <w:r>
        <w:rPr>
          <w:b/>
          <w:bCs/>
          <w:color w:val="1F3864"/>
        </w:rPr>
        <w:t xml:space="preserve">R2.9  Router transparency and reproducibility</w:t>
      </w:r>
      <w:r>
        <w:rPr>
          <w:color w:val="7F7F7F"/>
          <w:sz w:val="19"/>
          <w:szCs w:val="19"/>
        </w:rPr>
        <w:t xml:space="preserve">   Owner: </w:t>
      </w:r>
      <w:r>
        <w:rPr>
          <w:b/>
          <w:bCs/>
          <w:color w:val="7F7F7F"/>
          <w:sz w:val="19"/>
          <w:szCs w:val="19"/>
        </w:rPr>
        <w:t xml:space="preserve">Baidong</w:t>
      </w:r>
    </w:p>
    <w:p>
      <w:pPr>
        <w:pBdr>
          <w:left w:val="single" w:color="1F3864" w:sz="18" w:space="6"/>
        </w:pBdr>
        <w:shd w:fill="EEF1F6" w:color="auto" w:val="clear"/>
        <w:spacing w:after="120" w:line="264"/>
        <w:ind w:left="200"/>
      </w:pPr>
      <w:r>
        <w:rPr>
          <w:i/>
          <w:iCs/>
          <w:color w:val="404040"/>
          <w:sz w:val="20"/>
          <w:szCs w:val="20"/>
        </w:rPr>
        <w:t xml:space="preserve">The manuscript states that the LLM router selects the best expert output through "reasoning," but does not report the prompt design, LLM version, decoding parameters, reproducibility, or decision stability when candidate outputs have similar quality. … The authors should provide structured routing records for at least 10 representative cases …</w:t>
      </w:r>
    </w:p>
    <w:p>
      <w:pPr>
        <w:spacing w:after="100" w:line="276"/>
      </w:pPr>
      <w:r>
        <w:rPr>
          <w:b/>
          <w:bCs/>
        </w:rPr>
        <w:t xml:space="preserve">Response: </w:t>
      </w:r>
      <w:r>
        <w:t xml:space="preserve">We have added a Supplementary Note with the full router prompt, the JSON output schema, the LLM used (</w:t>
      </w:r>
      <w:r>
        <w:rPr>
          <w:highlight w:val="yellow"/>
          <w:highlightCs w:val="yellow"/>
        </w:rPr>
        <w:t xml:space="preserve">[model name, version and access date]</w:t>
      </w:r>
      <w:r>
        <w:t xml:space="preserve">) and decoding parameters (</w:t>
      </w:r>
      <w:r>
        <w:rPr>
          <w:highlight w:val="yellow"/>
          <w:highlightCs w:val="yellow"/>
        </w:rPr>
        <w:t xml:space="preserve">[temperature, top-p, max tokens]</w:t>
      </w:r>
      <w:r>
        <w:t xml:space="preserve">). To assess reproducibility, we repeated routing </w:t>
      </w:r>
      <w:r>
        <w:rPr>
          <w:highlight w:val="yellow"/>
          <w:highlightCs w:val="yellow"/>
        </w:rPr>
        <w:t xml:space="preserve">[5]</w:t>
      </w:r>
      <w:r>
        <w:t xml:space="preserve"> times for every test case: the same expert was selected in </w:t>
      </w:r>
      <w:r>
        <w:rPr>
          <w:highlight w:val="yellow"/>
          <w:highlightCs w:val="yellow"/>
        </w:rPr>
        <w:t xml:space="preserve">[X%]</w:t>
      </w:r>
      <w:r>
        <w:t xml:space="preserve"> of cases (Fleiss’ κ = </w:t>
      </w:r>
      <w:r>
        <w:rPr>
          <w:highlight w:val="yellow"/>
          <w:highlightCs w:val="yellow"/>
        </w:rPr>
        <w:t xml:space="preserve">[Y]</w:t>
      </w:r>
      <w:r>
        <w:t xml:space="preserve">), and the resulting Dice/AUROC varied by at most </w:t>
      </w:r>
      <w:r>
        <w:rPr>
          <w:highlight w:val="yellow"/>
          <w:highlightCs w:val="yellow"/>
        </w:rPr>
        <w:t xml:space="preserve">[Z]</w:t>
      </w:r>
      <w:r>
        <w:t xml:space="preserve">. Stability was lowest when candidate quality differed by less than </w:t>
      </w:r>
      <w:r>
        <w:rPr>
          <w:highlight w:val="yellow"/>
          <w:highlightCs w:val="yellow"/>
        </w:rPr>
        <w:t xml:space="preserve">[t]</w:t>
      </w:r>
      <w:r>
        <w:t xml:space="preserve"> (</w:t>
      </w:r>
      <w:r>
        <w:rPr>
          <w:highlight w:val="yellow"/>
          <w:highlightCs w:val="yellow"/>
        </w:rPr>
        <w:t xml:space="preserve">[X%]</w:t>
      </w:r>
      <w:r>
        <w:t xml:space="preserve"> agreement). Supplementary Table S</w:t>
      </w:r>
      <w:r>
        <w:rPr>
          <w:highlight w:val="yellow"/>
          <w:highlightCs w:val="yellow"/>
        </w:rPr>
        <w:t xml:space="preserve">[X]</w:t>
      </w:r>
      <w:r>
        <w:t xml:space="preserve"> provides structured routing records for </w:t>
      </w:r>
      <w:r>
        <w:rPr>
          <w:highlight w:val="yellow"/>
          <w:highlightCs w:val="yellow"/>
        </w:rPr>
        <w:t xml:space="preserve">[12]</w:t>
      </w:r>
      <w:r>
        <w:t xml:space="preserve"> representative cases, including input quality metrics, candidate outputs, the final selection, uncertainty indicators, the router’s rationale and agreement across repeated runs.</w:t>
      </w:r>
    </w:p>
    <w:p>
      <w:pPr>
        <w:spacing w:after="120" w:line="276"/>
      </w:pPr>
      <w:r>
        <w:rPr>
          <w:b/>
          <w:bCs/>
          <w:color w:val="2E7D32"/>
        </w:rPr>
        <w:t xml:space="preserve">Changes to the manuscript: </w:t>
      </w:r>
      <w:r>
        <w:t xml:space="preserve">Methods 4.3; new Supplementary Note and Table.</w:t>
      </w:r>
    </w:p>
    <w:p>
      <w:pPr>
        <w:keepNext/>
        <w:spacing w:after="80" w:before="240"/>
      </w:pPr>
      <w:r>
        <w:rPr>
          <w:b/>
          <w:bCs/>
          <w:color w:val="1F3864"/>
        </w:rPr>
        <w:t xml:space="preserve">R2.10  FTC/PTC target definition</w:t>
      </w:r>
      <w:r>
        <w:rPr>
          <w:color w:val="7F7F7F"/>
          <w:sz w:val="19"/>
          <w:szCs w:val="19"/>
        </w:rPr>
        <w:t xml:space="preserve">   Owner: </w:t>
      </w:r>
      <w:r>
        <w:rPr>
          <w:b/>
          <w:bCs/>
          <w:color w:val="7F7F7F"/>
          <w:sz w:val="19"/>
          <w:szCs w:val="19"/>
        </w:rPr>
        <w:t xml:space="preserve">Fei Chen (clinical), Baidong (re-analysis)</w:t>
      </w:r>
    </w:p>
    <w:p>
      <w:pPr>
        <w:pBdr>
          <w:left w:val="single" w:color="1F3864" w:sz="18" w:space="6"/>
        </w:pBdr>
        <w:shd w:fill="EEF1F6" w:color="auto" w:val="clear"/>
        <w:spacing w:after="120" w:line="264"/>
        <w:ind w:left="200"/>
      </w:pPr>
      <w:r>
        <w:rPr>
          <w:i/>
          <w:iCs/>
          <w:color w:val="404040"/>
          <w:sz w:val="20"/>
          <w:szCs w:val="20"/>
        </w:rPr>
        <w:t xml:space="preserve">For FTC/PTC classification, the training cohort comprised classic PTC and follicular-variant PTC, whereas the external test set comprised FTC and PTC. Because follicular-variant PTC is not equivalent to FTC, the target definition differs between training and testing. …</w:t>
      </w:r>
    </w:p>
    <w:p>
      <w:pPr>
        <w:spacing w:after="100" w:line="276"/>
      </w:pPr>
      <w:r>
        <w:rPr>
          <w:b/>
          <w:bCs/>
        </w:rPr>
        <w:t xml:space="preserve">Response: </w:t>
      </w:r>
      <w:r>
        <w:t xml:space="preserve">We agree that follicular-variant PTC and FTC are distinct entities: FVPTC is a PTC subtype with follicular architecture and PTC nuclear features, whereas FTC is diagnosed by capsular or vascular invasion without PTC nuclear features. Training on classic PTC versus FVPTC and testing on PTC versus FTC is therefore a domain-transfer setting.</w:t>
      </w:r>
    </w:p>
    <w:p>
      <w:pPr>
        <w:spacing w:after="100" w:line="276"/>
      </w:pPr>
      <w:r>
        <w:rPr>
          <w:highlight w:val="yellow"/>
          <w:highlightCs w:val="yellow"/>
        </w:rPr>
        <w:t xml:space="preserve">[Option A: we obtained N histologically confirmed FTC cases from Zhujiang Hospital, retrained the classifier on PTC versus FTC, and report AUROC X on the Dai et al. test set.]</w:t>
      </w:r>
      <w:r>
        <w:t xml:space="preserve"> </w:t>
      </w:r>
      <w:r>
        <w:rPr>
          <w:highlight w:val="yellow"/>
          <w:highlightCs w:val="yellow"/>
        </w:rPr>
        <w:t xml:space="preserve">[Option B: we now present this experiment as exploratory transfer between follicular-pattern and classic papillary phenotypes, justify it by their shared sonographic features (citation), report it separately from the primary results, and remove it from the abstract’s headline claims.]</w:t>
      </w:r>
    </w:p>
    <w:p>
      <w:pPr>
        <w:spacing w:after="120" w:line="276"/>
      </w:pPr>
      <w:r>
        <w:rPr>
          <w:b/>
          <w:bCs/>
          <w:color w:val="2E7D32"/>
        </w:rPr>
        <w:t xml:space="preserve">Changes to the manuscript: </w:t>
      </w:r>
      <w:r>
        <w:t xml:space="preserve">Sections 2.4 and 4.1; Table S5; abstract.</w:t>
      </w:r>
    </w:p>
    <w:p>
      <w:pPr>
        <w:keepNext/>
        <w:spacing w:after="80" w:before="240"/>
      </w:pPr>
      <w:r>
        <w:rPr>
          <w:b/>
          <w:bCs/>
          <w:color w:val="1F3864"/>
        </w:rPr>
        <w:t xml:space="preserve">R2.11  LNM sample size and overfitting</w:t>
      </w:r>
      <w:r>
        <w:rPr>
          <w:color w:val="7F7F7F"/>
          <w:sz w:val="19"/>
          <w:szCs w:val="19"/>
        </w:rPr>
        <w:t xml:space="preserve">   Owner: </w:t>
      </w:r>
      <w:r>
        <w:rPr>
          <w:b/>
          <w:bCs/>
          <w:color w:val="7F7F7F"/>
          <w:sz w:val="19"/>
          <w:szCs w:val="19"/>
        </w:rPr>
        <w:t xml:space="preserve">Baidong</w:t>
      </w:r>
    </w:p>
    <w:p>
      <w:pPr>
        <w:pBdr>
          <w:left w:val="single" w:color="1F3864" w:sz="18" w:space="6"/>
        </w:pBdr>
        <w:shd w:fill="EEF1F6" w:color="auto" w:val="clear"/>
        <w:spacing w:after="120" w:line="264"/>
        <w:ind w:left="200"/>
      </w:pPr>
      <w:r>
        <w:rPr>
          <w:i/>
          <w:iCs/>
          <w:color w:val="404040"/>
          <w:sz w:val="20"/>
          <w:szCs w:val="20"/>
        </w:rPr>
        <w:t xml:space="preserve">The LNM task uses only 4,753 malignant images, and Table S5 indicates only 20 cases for validation… Please clarify: (a) whether transfer learning or multi-task learning was employed; (b) whether data augmentation was applied; (c) how overfitting is avoided …</w:t>
      </w:r>
    </w:p>
    <w:p>
      <w:pPr>
        <w:spacing w:after="100" w:line="276"/>
      </w:pPr>
      <w:r>
        <w:rPr>
          <w:b/>
          <w:bCs/>
        </w:rPr>
        <w:t xml:space="preserve">Response: </w:t>
      </w:r>
      <w:r>
        <w:t xml:space="preserve">We thank the reviewer. First, the training set size was misreported; it is </w:t>
      </w:r>
      <w:r>
        <w:rPr>
          <w:highlight w:val="yellow"/>
          <w:highlightCs w:val="yellow"/>
        </w:rPr>
        <w:t xml:space="preserve">[4,936]</w:t>
      </w:r>
      <w:r>
        <w:t xml:space="preserve"> images (4,756 ZJH-8K + 180 LymphUs Centre 1) from </w:t>
      </w:r>
      <w:r>
        <w:rPr>
          <w:highlight w:val="yellow"/>
          <w:highlightCs w:val="yellow"/>
        </w:rPr>
        <w:t xml:space="preserve">[N]</w:t>
      </w:r>
      <w:r>
        <w:t xml:space="preserve"> patients.</w:t>
      </w:r>
    </w:p>
    <w:p>
      <w:pPr>
        <w:pStyle w:val="ListParagraph"/>
        <w:numPr>
          <w:ilvl w:val="0"/>
          <w:numId w:val="2"/>
        </w:numPr>
        <w:spacing w:after="60" w:line="264"/>
      </w:pPr>
      <w:r>
        <w:rPr>
          <w:b/>
          <w:bCs/>
        </w:rPr>
        <w:t xml:space="preserve">(a)</w:t>
      </w:r>
      <w:r>
        <w:t xml:space="preserve"> Yes. The task reuses the segmentation model and DINOv3 backbones pretrained on </w:t>
      </w:r>
      <w:r>
        <w:rPr>
          <w:highlight w:val="yellow"/>
          <w:highlightCs w:val="yellow"/>
        </w:rPr>
        <w:t xml:space="preserve">[…]</w:t>
      </w:r>
      <w:r>
        <w:t xml:space="preserve">, and the LNM classifier is fine-tuned on top of them; the radiomics branch uses an AutoGluon tabular model on </w:t>
      </w:r>
      <w:r>
        <w:rPr>
          <w:highlight w:val="yellow"/>
          <w:highlightCs w:val="yellow"/>
        </w:rPr>
        <w:t xml:space="preserve">[N]</w:t>
      </w:r>
      <w:r>
        <w:t xml:space="preserve"> PyRadiomics features. </w:t>
      </w:r>
      <w:r>
        <w:rPr>
          <w:highlight w:val="yellow"/>
          <w:highlightCs w:val="yellow"/>
        </w:rPr>
        <w:t xml:space="preserve">[Multi-task learning was / was not used.]</w:t>
      </w:r>
    </w:p>
    <w:p>
      <w:pPr>
        <w:pStyle w:val="ListParagraph"/>
        <w:numPr>
          <w:ilvl w:val="0"/>
          <w:numId w:val="2"/>
        </w:numPr>
        <w:spacing w:after="60" w:line="264"/>
      </w:pPr>
      <w:r>
        <w:rPr>
          <w:b/>
          <w:bCs/>
        </w:rPr>
        <w:t xml:space="preserve">(b)</w:t>
      </w:r>
      <w:r>
        <w:t xml:space="preserve"> Augmentation: </w:t>
      </w:r>
      <w:r>
        <w:rPr>
          <w:highlight w:val="yellow"/>
          <w:highlightCs w:val="yellow"/>
        </w:rPr>
        <w:t xml:space="preserve">[list, e.g. random flips, intensity jitter, scaling]</w:t>
      </w:r>
      <w:r>
        <w:t xml:space="preserve">.</w:t>
      </w:r>
    </w:p>
    <w:p>
      <w:pPr>
        <w:pStyle w:val="ListParagraph"/>
        <w:numPr>
          <w:ilvl w:val="0"/>
          <w:numId w:val="2"/>
        </w:numPr>
        <w:spacing w:after="60" w:line="264"/>
      </w:pPr>
      <w:r>
        <w:rPr>
          <w:b/>
          <w:bCs/>
        </w:rPr>
        <w:t xml:space="preserve">(c)</w:t>
      </w:r>
      <w:r>
        <w:t xml:space="preserve"> To reduce overfitting we </w:t>
      </w:r>
      <w:r>
        <w:rPr>
          <w:highlight w:val="yellow"/>
          <w:highlightCs w:val="yellow"/>
        </w:rPr>
        <w:t xml:space="preserve">[froze the backbone / used weight decay / early stopping / AutoGluon bagging with k folds]</w:t>
      </w:r>
      <w:r>
        <w:t xml:space="preserve">. Because a 20-case validation set is small, we replaced it with patient-level 5-fold cross-validation on the training cohort (AUROC </w:t>
      </w:r>
      <w:r>
        <w:rPr>
          <w:highlight w:val="yellow"/>
          <w:highlightCs w:val="yellow"/>
        </w:rPr>
        <w:t xml:space="preserve">[X ± Y]</w:t>
      </w:r>
      <w:r>
        <w:t xml:space="preserve">) and report external performance at the patient level (</w:t>
      </w:r>
      <w:r>
        <w:rPr>
          <w:highlight w:val="yellow"/>
          <w:highlightCs w:val="yellow"/>
        </w:rPr>
        <w:t xml:space="preserve">[N]</w:t>
      </w:r>
      <w:r>
        <w:t xml:space="preserve"> patients in LymphUs Centre 2; AUROC </w:t>
      </w:r>
      <w:r>
        <w:rPr>
          <w:highlight w:val="yellow"/>
          <w:highlightCs w:val="yellow"/>
        </w:rPr>
        <w:t xml:space="preserve">[Z]</w:t>
      </w:r>
      <w:r>
        <w:t xml:space="preserve">). We acknowledge the wide CIs in Supplementary Table S5 and describe these results as preliminary.</w:t>
      </w:r>
    </w:p>
    <w:p>
      <w:pPr>
        <w:spacing w:after="120" w:line="276"/>
      </w:pPr>
      <w:r>
        <w:rPr>
          <w:b/>
          <w:bCs/>
          <w:color w:val="2E7D32"/>
        </w:rPr>
        <w:t xml:space="preserve">Changes to the manuscript: </w:t>
      </w:r>
      <w:r>
        <w:t xml:space="preserve">Methods 4.1 and 4.3; Supplementary Table S5.</w:t>
      </w:r>
    </w:p>
    <w:p>
      <w:pPr>
        <w:keepNext/>
        <w:spacing w:after="80" w:before="240"/>
      </w:pPr>
      <w:r>
        <w:rPr>
          <w:b/>
          <w:bCs/>
          <w:color w:val="1F3864"/>
        </w:rPr>
        <w:t xml:space="preserve">R2.12  LNM label definition</w:t>
      </w:r>
      <w:r>
        <w:rPr>
          <w:color w:val="7F7F7F"/>
          <w:sz w:val="19"/>
          <w:szCs w:val="19"/>
        </w:rPr>
        <w:t xml:space="preserve">   Owner: </w:t>
      </w:r>
      <w:r>
        <w:rPr>
          <w:b/>
          <w:bCs/>
          <w:color w:val="7F7F7F"/>
          <w:sz w:val="19"/>
          <w:szCs w:val="19"/>
        </w:rPr>
        <w:t xml:space="preserve">Fei Chen (definitions), Baidong (analysis)</w:t>
      </w:r>
    </w:p>
    <w:p>
      <w:pPr>
        <w:pBdr>
          <w:left w:val="single" w:color="1F3864" w:sz="18" w:space="6"/>
        </w:pBdr>
        <w:shd w:fill="EEF1F6" w:color="auto" w:val="clear"/>
        <w:spacing w:after="120" w:line="264"/>
        <w:ind w:left="200"/>
      </w:pPr>
      <w:r>
        <w:rPr>
          <w:i/>
          <w:iCs/>
          <w:color w:val="404040"/>
          <w:sz w:val="20"/>
          <w:szCs w:val="20"/>
        </w:rPr>
        <w:t xml:space="preserve">For lymph-node metastasis prediction, the manuscript inconsistently refers to overall LNM, lateral LNM, and CN0/CN1 labels. …</w:t>
      </w:r>
    </w:p>
    <w:p>
      <w:pPr>
        <w:spacing w:after="100" w:line="276"/>
      </w:pPr>
      <w:r>
        <w:rPr>
          <w:b/>
          <w:bCs/>
        </w:rPr>
        <w:t xml:space="preserve">Response: </w:t>
      </w:r>
      <w:r>
        <w:t xml:space="preserve">We have unified the terminology. In ZJH-8K, CN0/CN1 denotes </w:t>
      </w:r>
      <w:r>
        <w:rPr>
          <w:highlight w:val="yellow"/>
          <w:highlightCs w:val="yellow"/>
        </w:rPr>
        <w:t xml:space="preserve">[central-compartment pathological nodal status (pN0 vs pN1a) / clinical nodal status]</w:t>
      </w:r>
      <w:r>
        <w:t xml:space="preserve">. LymphUs provides </w:t>
      </w:r>
      <w:r>
        <w:rPr>
          <w:highlight w:val="yellow"/>
          <w:highlightCs w:val="yellow"/>
        </w:rPr>
        <w:t xml:space="preserve">[per-node binary labels confirmed by FNA cytology]</w:t>
      </w:r>
      <w:r>
        <w:t xml:space="preserve">. The prediction target throughout is now called </w:t>
      </w:r>
      <w:r>
        <w:rPr>
          <w:highlight w:val="yellow"/>
          <w:highlightCs w:val="yellow"/>
        </w:rPr>
        <w:t xml:space="preserve">[any cervical LNM / lateral LNM]</w:t>
      </w:r>
      <w:r>
        <w:t xml:space="preserve">. Inputs are </w:t>
      </w:r>
      <w:r>
        <w:rPr>
          <w:highlight w:val="yellow"/>
          <w:highlightCs w:val="yellow"/>
        </w:rPr>
        <w:t xml:space="preserve">[primary thyroid lesion images in ZJH-8K and lymph-node images in LymphUs]</w:t>
      </w:r>
      <w:r>
        <w:t xml:space="preserve">; we discuss this difference explicitly and report </w:t>
      </w:r>
      <w:r>
        <w:rPr>
          <w:highlight w:val="yellow"/>
          <w:highlightCs w:val="yellow"/>
        </w:rPr>
        <w:t xml:space="preserve">[a sensitivity analysis training on ZJH-8K alone]</w:t>
      </w:r>
      <w:r>
        <w:t xml:space="preserve">. Image-level predictions are aggregated per patient by </w:t>
      </w:r>
      <w:r>
        <w:rPr>
          <w:highlight w:val="yellow"/>
          <w:highlightCs w:val="yellow"/>
        </w:rPr>
        <w:t xml:space="preserve">[mean probability]</w:t>
      </w:r>
      <w:r>
        <w:t xml:space="preserve">.</w:t>
      </w:r>
    </w:p>
    <w:p>
      <w:pPr>
        <w:spacing w:after="120" w:line="276"/>
      </w:pPr>
      <w:r>
        <w:rPr>
          <w:b/>
          <w:bCs/>
          <w:color w:val="2E7D32"/>
        </w:rPr>
        <w:t xml:space="preserve">Changes to the manuscript: </w:t>
      </w:r>
      <w:r>
        <w:t xml:space="preserve">Sections 2.4 and 4.1; Fig. 3; Table S5.</w:t>
      </w:r>
    </w:p>
    <w:p>
      <w:pPr>
        <w:keepNext/>
        <w:spacing w:after="80" w:before="240"/>
      </w:pPr>
      <w:r>
        <w:rPr>
          <w:b/>
          <w:bCs/>
          <w:color w:val="1F3864"/>
        </w:rPr>
        <w:t xml:space="preserve">R2.13  Reader-study confounding</w:t>
      </w:r>
      <w:r>
        <w:rPr>
          <w:color w:val="7F7F7F"/>
          <w:sz w:val="19"/>
          <w:szCs w:val="19"/>
        </w:rPr>
        <w:t xml:space="preserve">   Owner: </w:t>
      </w:r>
      <w:r>
        <w:rPr>
          <w:b/>
          <w:bCs/>
          <w:color w:val="7F7F7F"/>
          <w:sz w:val="19"/>
          <w:szCs w:val="19"/>
        </w:rPr>
        <w:t xml:space="preserve">Fei Chen</w:t>
      </w:r>
    </w:p>
    <w:p>
      <w:pPr>
        <w:pBdr>
          <w:left w:val="single" w:color="1F3864" w:sz="18" w:space="6"/>
        </w:pBdr>
        <w:shd w:fill="EEF1F6" w:color="auto" w:val="clear"/>
        <w:spacing w:after="120" w:line="264"/>
        <w:ind w:left="200"/>
      </w:pPr>
      <w:r>
        <w:rPr>
          <w:i/>
          <w:iCs/>
          <w:color w:val="404040"/>
          <w:sz w:val="20"/>
          <w:szCs w:val="20"/>
        </w:rPr>
        <w:t xml:space="preserve">The report-generation reader study included only two physicians, with each case assessed under the two conditions by different readers. Although this may reduce recall bias, it may also confound reader effects with the assistance condition.</w:t>
      </w:r>
    </w:p>
    <w:p>
      <w:pPr>
        <w:spacing w:after="100" w:line="276"/>
      </w:pPr>
      <w:r>
        <w:rPr>
          <w:b/>
          <w:bCs/>
        </w:rPr>
        <w:t xml:space="preserve">Response: </w:t>
      </w:r>
      <w:r>
        <w:t xml:space="preserve">We agree. We re-analysed the study with mixed-effects models that include reader and case as random effects (logistic for concordance, linear on log-time for reporting time) and report results per reader. Assistance remained associated with </w:t>
      </w:r>
      <w:r>
        <w:rPr>
          <w:highlight w:val="yellow"/>
          <w:highlightCs w:val="yellow"/>
        </w:rPr>
        <w:t xml:space="preserve">[higher concordance (OR X, 95% CI) and shorter time (Y%)]</w:t>
      </w:r>
      <w:r>
        <w:t xml:space="preserve">. In addition, </w:t>
      </w:r>
      <w:r>
        <w:rPr>
          <w:highlight w:val="yellow"/>
          <w:highlightCs w:val="yellow"/>
        </w:rPr>
        <w:t xml:space="preserve">[N]</w:t>
      </w:r>
      <w:r>
        <w:t xml:space="preserve"> further physicians completed a fully crossed reading of all cases under both conditions after a </w:t>
      </w:r>
      <w:r>
        <w:rPr>
          <w:highlight w:val="yellow"/>
          <w:highlightCs w:val="yellow"/>
        </w:rPr>
        <w:t xml:space="preserve">[X-week]</w:t>
      </w:r>
      <w:r>
        <w:t xml:space="preserve"> washout; </w:t>
      </w:r>
      <w:r>
        <w:rPr>
          <w:highlight w:val="yellow"/>
          <w:highlightCs w:val="yellow"/>
        </w:rPr>
        <w:t xml:space="preserve">[results]</w:t>
      </w:r>
      <w:r>
        <w:t xml:space="preserve">. Details are given in our response to Reviewer 1, comment 6.</w:t>
      </w:r>
    </w:p>
    <w:p>
      <w:pPr>
        <w:spacing w:after="120" w:line="276"/>
      </w:pPr>
      <w:r>
        <w:rPr>
          <w:b/>
          <w:bCs/>
          <w:color w:val="2E7D32"/>
        </w:rPr>
        <w:t xml:space="preserve">Changes to the manuscript: </w:t>
      </w:r>
      <w:r>
        <w:t xml:space="preserve">Methods 4.6; Results 2.6; Fig. 6.</w:t>
      </w:r>
    </w:p>
    <w:p>
      <w:pPr>
        <w:keepNext/>
        <w:spacing w:after="80" w:before="240"/>
      </w:pPr>
      <w:r>
        <w:rPr>
          <w:b/>
          <w:bCs/>
          <w:color w:val="1F3864"/>
        </w:rPr>
        <w:t xml:space="preserve">R2.14  Fairness of baseline comparisons</w:t>
      </w:r>
      <w:r>
        <w:rPr>
          <w:color w:val="7F7F7F"/>
          <w:sz w:val="19"/>
          <w:szCs w:val="19"/>
        </w:rPr>
        <w:t xml:space="preserve">   Owner: </w:t>
      </w:r>
      <w:r>
        <w:rPr>
          <w:b/>
          <w:bCs/>
          <w:color w:val="7F7F7F"/>
          <w:sz w:val="19"/>
          <w:szCs w:val="19"/>
        </w:rPr>
        <w:t xml:space="preserve">Baidong</w:t>
      </w:r>
    </w:p>
    <w:p>
      <w:pPr>
        <w:pBdr>
          <w:left w:val="single" w:color="1F3864" w:sz="18" w:space="6"/>
        </w:pBdr>
        <w:shd w:fill="EEF1F6" w:color="auto" w:val="clear"/>
        <w:spacing w:after="120" w:line="264"/>
        <w:ind w:left="200"/>
      </w:pPr>
      <w:r>
        <w:rPr>
          <w:i/>
          <w:iCs/>
          <w:color w:val="404040"/>
          <w:sz w:val="20"/>
          <w:szCs w:val="20"/>
        </w:rPr>
        <w:t xml:space="preserve">It is unclear whether all specialist baselines were retrained on the same development data, evaluated using their original weights, or tested zero-shot. …</w:t>
      </w:r>
    </w:p>
    <w:p>
      <w:pPr>
        <w:spacing w:after="100" w:line="276"/>
      </w:pPr>
      <w:r>
        <w:rPr>
          <w:b/>
          <w:bCs/>
        </w:rPr>
        <w:t xml:space="preserve">Response: </w:t>
      </w:r>
      <w:r>
        <w:t xml:space="preserve">We have added Supplementary Table S</w:t>
      </w:r>
      <w:r>
        <w:rPr>
          <w:highlight w:val="yellow"/>
          <w:highlightCs w:val="yellow"/>
        </w:rPr>
        <w:t xml:space="preserve">[X]</w:t>
      </w:r>
      <w:r>
        <w:t xml:space="preserve">, which states for every baseline whether it was retrained on the identical stacked training data, fine-tuned, used with original weights, or tested zero-shot, and with which prompt. </w:t>
      </w:r>
      <w:r>
        <w:rPr>
          <w:highlight w:val="yellow"/>
          <w:highlightCs w:val="yellow"/>
        </w:rPr>
        <w:t xml:space="preserve">[Specialist image models (TransUNet, ResNet-50, RepViT, LSNet) were trained on the same data; MedSAM2, MedSegX and UltraFedFM were …; MedGemma and Qwen3-VL were …; BiomedCLIP, MedSigLIP, GPT-5 and Gemini-2.5-Pro were zero-shot — confirm each.]</w:t>
      </w:r>
      <w:r>
        <w:t xml:space="preserve"> For </w:t>
      </w:r>
      <w:r>
        <w:rPr>
          <w:highlight w:val="yellow"/>
          <w:highlightCs w:val="yellow"/>
        </w:rPr>
        <w:t xml:space="preserve">[baselines not previously retrained]</w:t>
      </w:r>
      <w:r>
        <w:t xml:space="preserve">, we retrained them on the same development data; ThyroidXAgent </w:t>
      </w:r>
      <w:r>
        <w:rPr>
          <w:highlight w:val="yellow"/>
          <w:highlightCs w:val="yellow"/>
        </w:rPr>
        <w:t xml:space="preserve">[remained best on X of Y test sets]</w:t>
      </w:r>
      <w:r>
        <w:t xml:space="preserve">.</w:t>
      </w:r>
    </w:p>
    <w:p>
      <w:pPr>
        <w:spacing w:after="120" w:line="276"/>
      </w:pPr>
      <w:r>
        <w:rPr>
          <w:b/>
          <w:bCs/>
          <w:color w:val="2E7D32"/>
        </w:rPr>
        <w:t xml:space="preserve">Changes to the manuscript: </w:t>
      </w:r>
      <w:r>
        <w:t xml:space="preserve">Methods; new Supplementary Table; Tables S3–S5.</w:t>
      </w:r>
    </w:p>
    <w:p>
      <w:pPr>
        <w:keepNext/>
        <w:spacing w:after="80" w:before="240"/>
      </w:pPr>
      <w:r>
        <w:rPr>
          <w:b/>
          <w:bCs/>
          <w:color w:val="1F3864"/>
        </w:rPr>
        <w:t xml:space="preserve">R2.15  Ethics, consent and data governance</w:t>
      </w:r>
      <w:r>
        <w:rPr>
          <w:color w:val="7F7F7F"/>
          <w:sz w:val="19"/>
          <w:szCs w:val="19"/>
        </w:rPr>
        <w:t xml:space="preserve">   Owner: </w:t>
      </w:r>
      <w:r>
        <w:rPr>
          <w:b/>
          <w:bCs/>
          <w:color w:val="7F7F7F"/>
          <w:sz w:val="19"/>
          <w:szCs w:val="19"/>
        </w:rPr>
        <w:t xml:space="preserve">Fei Chen (Zhujiang), Shared (NHC-MISD-TUS)</w:t>
      </w:r>
    </w:p>
    <w:p>
      <w:pPr>
        <w:pBdr>
          <w:left w:val="single" w:color="1F3864" w:sz="18" w:space="6"/>
        </w:pBdr>
        <w:shd w:fill="EEF1F6" w:color="auto" w:val="clear"/>
        <w:spacing w:after="120" w:line="264"/>
        <w:ind w:left="200"/>
      </w:pPr>
      <w:r>
        <w:rPr>
          <w:i/>
          <w:iCs/>
          <w:color w:val="404040"/>
          <w:sz w:val="20"/>
          <w:szCs w:val="20"/>
        </w:rPr>
        <w:t xml:space="preserve">The manuscript provides an ethics approval number but does not state whether informed consent was obtained or waived. … Authorization by a co-author to use NHC-MISD-TUS does not replace documentation of ethical approval and regulatory compliance.</w:t>
      </w:r>
    </w:p>
    <w:p>
      <w:pPr>
        <w:spacing w:after="100" w:line="276"/>
      </w:pPr>
      <w:r>
        <w:rPr>
          <w:b/>
          <w:bCs/>
        </w:rPr>
        <w:t xml:space="preserve">Response: </w:t>
      </w:r>
      <w:r>
        <w:t xml:space="preserve">We have expanded the ethics statement. Institutional datasets (ZJH-8K, ZJH-TS, TNVideo, SMU-HMC, </w:t>
      </w:r>
      <w:r>
        <w:rPr>
          <w:highlight w:val="yellow"/>
          <w:highlightCs w:val="yellow"/>
        </w:rPr>
        <w:t xml:space="preserve">[…]</w:t>
      </w:r>
      <w:r>
        <w:t xml:space="preserve">) were collected retrospectively between </w:t>
      </w:r>
      <w:r>
        <w:rPr>
          <w:highlight w:val="yellow"/>
          <w:highlightCs w:val="yellow"/>
        </w:rPr>
        <w:t xml:space="preserve">[dates]</w:t>
      </w:r>
      <w:r>
        <w:t xml:space="preserve"> under approval 2026-KY-081-01 from the Medical Ethics Committee of Zhujiang Hospital, which </w:t>
      </w:r>
      <w:r>
        <w:rPr>
          <w:highlight w:val="yellow"/>
          <w:highlightCs w:val="yellow"/>
        </w:rPr>
        <w:t xml:space="preserve">[waived the requirement for informed consent because of the retrospective design and use of de-identified data]</w:t>
      </w:r>
      <w:r>
        <w:t xml:space="preserve">. Images were de-identified by </w:t>
      </w:r>
      <w:r>
        <w:rPr>
          <w:highlight w:val="yellow"/>
          <w:highlightCs w:val="yellow"/>
        </w:rPr>
        <w:t xml:space="preserve">[removing DICOM metadata and cropping burned-in text]</w:t>
      </w:r>
      <w:r>
        <w:t xml:space="preserve"> and stored </w:t>
      </w:r>
      <w:r>
        <w:rPr>
          <w:highlight w:val="yellow"/>
          <w:highlightCs w:val="yellow"/>
        </w:rPr>
        <w:t xml:space="preserve">[on secure institutional servers]</w:t>
      </w:r>
      <w:r>
        <w:t xml:space="preserve">. NHC-MISD-TUS was used under </w:t>
      </w:r>
      <w:r>
        <w:rPr>
          <w:highlight w:val="yellow"/>
          <w:highlightCs w:val="yellow"/>
        </w:rPr>
        <w:t xml:space="preserve">[approval number / data-use agreement]</w:t>
      </w:r>
      <w:r>
        <w:t xml:space="preserve"> from </w:t>
      </w:r>
      <w:r>
        <w:rPr>
          <w:highlight w:val="yellow"/>
          <w:highlightCs w:val="yellow"/>
        </w:rPr>
        <w:t xml:space="preserve">[issuing body]</w:t>
      </w:r>
      <w:r>
        <w:t xml:space="preserve">. Public datasets were used under their licences.</w:t>
      </w:r>
    </w:p>
    <w:p>
      <w:pPr>
        <w:spacing w:after="120" w:line="276"/>
      </w:pPr>
      <w:r>
        <w:rPr>
          <w:b/>
          <w:bCs/>
          <w:color w:val="2E7D32"/>
        </w:rPr>
        <w:t xml:space="preserve">Changes to the manuscript: </w:t>
      </w:r>
      <w:r>
        <w:t xml:space="preserve">Ethics and data availability sections.</w:t>
      </w:r>
    </w:p>
    <w:p>
      <w:pPr>
        <w:keepNext/>
        <w:spacing w:after="80" w:before="240"/>
      </w:pPr>
      <w:r>
        <w:rPr>
          <w:b/>
          <w:bCs/>
          <w:color w:val="1F3864"/>
        </w:rPr>
        <w:t xml:space="preserve">R2.16  Failure modes of the ReAct workflow</w:t>
      </w:r>
      <w:r>
        <w:rPr>
          <w:color w:val="7F7F7F"/>
          <w:sz w:val="19"/>
          <w:szCs w:val="19"/>
        </w:rPr>
        <w:t xml:space="preserve">   Owner: </w:t>
      </w:r>
      <w:r>
        <w:rPr>
          <w:b/>
          <w:bCs/>
          <w:color w:val="7F7F7F"/>
          <w:sz w:val="19"/>
          <w:szCs w:val="19"/>
        </w:rPr>
        <w:t xml:space="preserve">Shiyu</w:t>
      </w:r>
    </w:p>
    <w:p>
      <w:pPr>
        <w:pBdr>
          <w:left w:val="single" w:color="1F3864" w:sz="18" w:space="6"/>
        </w:pBdr>
        <w:shd w:fill="EEF1F6" w:color="auto" w:val="clear"/>
        <w:spacing w:after="120" w:line="264"/>
        <w:ind w:left="200"/>
      </w:pPr>
      <w:r>
        <w:rPr>
          <w:i/>
          <w:iCs/>
          <w:color w:val="404040"/>
          <w:sz w:val="20"/>
          <w:szCs w:val="20"/>
        </w:rPr>
        <w:t xml:space="preserve">The ReAct-style planner–executor workflow lacks systematic failure-mode evaluation. …</w:t>
      </w:r>
    </w:p>
    <w:p>
      <w:pPr>
        <w:spacing w:after="100" w:line="276"/>
      </w:pPr>
      <w:r>
        <w:rPr>
          <w:b/>
          <w:bCs/>
        </w:rPr>
        <w:t xml:space="preserve">Response: </w:t>
      </w:r>
      <w:r>
        <w:t xml:space="preserve">We analysed the execution logs of all </w:t>
      </w:r>
      <w:r>
        <w:rPr>
          <w:highlight w:val="yellow"/>
          <w:highlightCs w:val="yellow"/>
        </w:rPr>
        <w:t xml:space="preserve">[N]</w:t>
      </w:r>
      <w:r>
        <w:t xml:space="preserve"> report-generation test cases. Invalid tool calls occurred in </w:t>
      </w:r>
      <w:r>
        <w:rPr>
          <w:highlight w:val="yellow"/>
          <w:highlightCs w:val="yellow"/>
        </w:rPr>
        <w:t xml:space="preserve">[X%]</w:t>
      </w:r>
      <w:r>
        <w:t xml:space="preserve">, unnecessary calls in </w:t>
      </w:r>
      <w:r>
        <w:rPr>
          <w:highlight w:val="yellow"/>
          <w:highlightCs w:val="yellow"/>
        </w:rPr>
        <w:t xml:space="preserve">[…]</w:t>
      </w:r>
      <w:r>
        <w:t xml:space="preserve">, hallucinated tasks in </w:t>
      </w:r>
      <w:r>
        <w:rPr>
          <w:highlight w:val="yellow"/>
          <w:highlightCs w:val="yellow"/>
        </w:rPr>
        <w:t xml:space="preserve">[…]</w:t>
      </w:r>
      <w:r>
        <w:t xml:space="preserve">, repeated calls in </w:t>
      </w:r>
      <w:r>
        <w:rPr>
          <w:highlight w:val="yellow"/>
          <w:highlightCs w:val="yellow"/>
        </w:rPr>
        <w:t xml:space="preserve">[…]</w:t>
      </w:r>
      <w:r>
        <w:t xml:space="preserve">, execution failures in </w:t>
      </w:r>
      <w:r>
        <w:rPr>
          <w:highlight w:val="yellow"/>
          <w:highlightCs w:val="yellow"/>
        </w:rPr>
        <w:t xml:space="preserve">[…]</w:t>
      </w:r>
      <w:r>
        <w:t xml:space="preserve">, with </w:t>
      </w:r>
      <w:r>
        <w:rPr>
          <w:highlight w:val="yellow"/>
          <w:highlightCs w:val="yellow"/>
        </w:rPr>
        <w:t xml:space="preserve">[…]</w:t>
      </w:r>
      <w:r>
        <w:t xml:space="preserve"> retries and </w:t>
      </w:r>
      <w:r>
        <w:rPr>
          <w:highlight w:val="yellow"/>
          <w:highlightCs w:val="yellow"/>
        </w:rPr>
        <w:t xml:space="preserve">[…]</w:t>
      </w:r>
      <w:r>
        <w:t xml:space="preserve"> rollbacks (Supplementary Table S</w:t>
      </w:r>
      <w:r>
        <w:rPr>
          <w:highlight w:val="yellow"/>
          <w:highlightCs w:val="yellow"/>
        </w:rPr>
        <w:t xml:space="preserve">[X]</w:t>
      </w:r>
      <w:r>
        <w:t xml:space="preserve">). We describe the safeguards that constrain these failures: the tool contract, schema validation of plans, optional plan approval and </w:t>
      </w:r>
      <w:r>
        <w:rPr>
          <w:highlight w:val="yellow"/>
          <w:highlightCs w:val="yellow"/>
        </w:rPr>
        <w:t xml:space="preserve">[…]</w:t>
      </w:r>
      <w:r>
        <w:t xml:space="preserve">. Supplementary Fig. S</w:t>
      </w:r>
      <w:r>
        <w:rPr>
          <w:highlight w:val="yellow"/>
          <w:highlightCs w:val="yellow"/>
        </w:rPr>
        <w:t xml:space="preserve">[X]</w:t>
      </w:r>
      <w:r>
        <w:t xml:space="preserve"> shows representative traces for a successful case, a case without nodules, a multi-nodule case and a case with conflicting intermediate evidence, including how the conflict was surfaced as a warning to the clinician.</w:t>
      </w:r>
    </w:p>
    <w:p>
      <w:pPr>
        <w:spacing w:after="120" w:line="276"/>
      </w:pPr>
      <w:r>
        <w:rPr>
          <w:b/>
          <w:bCs/>
          <w:color w:val="2E7D32"/>
        </w:rPr>
        <w:t xml:space="preserve">Changes to the manuscript: </w:t>
      </w:r>
      <w:r>
        <w:t xml:space="preserve">New Results paragraph; Supplementary Table and Figure.</w:t>
      </w:r>
    </w:p>
    <w:p>
      <w:pPr>
        <w:keepNext/>
        <w:spacing w:after="80" w:before="240"/>
      </w:pPr>
      <w:r>
        <w:rPr>
          <w:b/>
          <w:bCs/>
          <w:color w:val="1F3864"/>
        </w:rPr>
        <w:t xml:space="preserve">R2.17  Concurrency and conflict resolution</w:t>
      </w:r>
      <w:r>
        <w:rPr>
          <w:color w:val="7F7F7F"/>
          <w:sz w:val="19"/>
          <w:szCs w:val="19"/>
        </w:rPr>
        <w:t xml:space="preserve">   Owner: </w:t>
      </w:r>
      <w:r>
        <w:rPr>
          <w:b/>
          <w:bCs/>
          <w:color w:val="7F7F7F"/>
          <w:sz w:val="19"/>
          <w:szCs w:val="19"/>
        </w:rPr>
        <w:t xml:space="preserve">Shiyu</w:t>
      </w:r>
    </w:p>
    <w:p>
      <w:pPr>
        <w:pBdr>
          <w:left w:val="single" w:color="1F3864" w:sz="18" w:space="6"/>
        </w:pBdr>
        <w:shd w:fill="EEF1F6" w:color="auto" w:val="clear"/>
        <w:spacing w:after="120" w:line="264"/>
        <w:ind w:left="200"/>
      </w:pPr>
      <w:r>
        <w:rPr>
          <w:i/>
          <w:iCs/>
          <w:color w:val="404040"/>
          <w:sz w:val="20"/>
          <w:szCs w:val="20"/>
        </w:rPr>
        <w:t xml:space="preserve">Agent workflow lacks concurrency control and conflict resolution mechanisms: When lymph-node screening and nodule analysis execute concurrently, how is duplication avoided if both detect the same hypoechoic structure in the lateral neck region?</w:t>
      </w:r>
    </w:p>
    <w:p>
      <w:pPr>
        <w:spacing w:after="100" w:line="276"/>
      </w:pPr>
      <w:r>
        <w:rPr>
          <w:b/>
          <w:bCs/>
        </w:rPr>
        <w:t xml:space="preserve">Response: </w:t>
      </w:r>
      <w:r>
        <w:t xml:space="preserve">We thank the reviewer. </w:t>
      </w:r>
      <w:r>
        <w:rPr>
          <w:highlight w:val="yellow"/>
          <w:highlightCs w:val="yellow"/>
        </w:rPr>
        <w:t xml:space="preserve">[Describe actual behaviour, e.g.: tool calls are executed sequentially within a case, and lymph-node screening is only triggered on images that the anatomical-context parser classifies as neck region (Supplementary Table S13), so thyroid-region and neck-region images are routed to different branches.]</w:t>
      </w:r>
      <w:r>
        <w:t xml:space="preserve"> When a structure is detected by both branches, the fusion stage </w:t>
      </w:r>
      <w:r>
        <w:rPr>
          <w:highlight w:val="yellow"/>
          <w:highlightCs w:val="yellow"/>
        </w:rPr>
        <w:t xml:space="preserve">[resolves it by anatomical region and spatial overlap with the thyroid gland mask]</w:t>
      </w:r>
      <w:r>
        <w:t xml:space="preserve"> and records a warning in the evidence store for clinician review. In the test sets this occurred in </w:t>
      </w:r>
      <w:r>
        <w:rPr>
          <w:highlight w:val="yellow"/>
          <w:highlightCs w:val="yellow"/>
        </w:rPr>
        <w:t xml:space="preserve">[N]</w:t>
      </w:r>
      <w:r>
        <w:t xml:space="preserve"> cases. We have added this to Methods 4.5.</w:t>
      </w:r>
    </w:p>
    <w:p>
      <w:pPr>
        <w:spacing w:after="120" w:line="276"/>
      </w:pPr>
      <w:r>
        <w:rPr>
          <w:b/>
          <w:bCs/>
          <w:color w:val="2E7D32"/>
        </w:rPr>
        <w:t xml:space="preserve">Changes to the manuscript: </w:t>
      </w:r>
      <w:r>
        <w:t xml:space="preserve">Methods 4.5.</w:t>
      </w:r>
    </w:p>
    <w:p>
      <w:pPr>
        <w:keepNext/>
        <w:spacing w:after="80" w:before="240"/>
      </w:pPr>
      <w:r>
        <w:rPr>
          <w:b/>
          <w:bCs/>
          <w:color w:val="1F3864"/>
        </w:rPr>
        <w:t xml:space="preserve">R2.18  ThyClinScore weights</w:t>
      </w:r>
      <w:r>
        <w:rPr>
          <w:color w:val="7F7F7F"/>
          <w:sz w:val="19"/>
          <w:szCs w:val="19"/>
        </w:rPr>
        <w:t xml:space="preserve">   Owner: </w:t>
      </w:r>
      <w:r>
        <w:rPr>
          <w:b/>
          <w:bCs/>
          <w:color w:val="7F7F7F"/>
          <w:sz w:val="19"/>
          <w:szCs w:val="19"/>
        </w:rPr>
        <w:t xml:space="preserve">Shiyu</w:t>
      </w:r>
    </w:p>
    <w:p>
      <w:pPr>
        <w:pBdr>
          <w:left w:val="single" w:color="1F3864" w:sz="18" w:space="6"/>
        </w:pBdr>
        <w:shd w:fill="EEF1F6" w:color="auto" w:val="clear"/>
        <w:spacing w:after="120" w:line="264"/>
        <w:ind w:left="200"/>
      </w:pPr>
      <w:r>
        <w:rPr>
          <w:i/>
          <w:iCs/>
          <w:color w:val="404040"/>
          <w:sz w:val="20"/>
          <w:szCs w:val="20"/>
        </w:rPr>
        <w:t xml:space="preserve">The ThyClinScore weights λ and η directly affect report-quality assessment, but their selection, optimization dataset, and sensitivity analysis are not reported … validation against radiologist ratings and inter-rater reliability analysis are lacking.</w:t>
      </w:r>
    </w:p>
    <w:p>
      <w:pPr>
        <w:spacing w:after="100" w:line="276"/>
      </w:pPr>
      <w:r>
        <w:rPr>
          <w:b/>
          <w:bCs/>
        </w:rPr>
        <w:t xml:space="preserve">Response: </w:t>
      </w:r>
      <w:r>
        <w:t xml:space="preserve">We now report all ThyClinScore parameters (λ = </w:t>
      </w:r>
      <w:r>
        <w:rPr>
          <w:highlight w:val="yellow"/>
          <w:highlightCs w:val="yellow"/>
        </w:rPr>
        <w:t xml:space="preserve">[X]</w:t>
      </w:r>
      <w:r>
        <w:t xml:space="preserve">, η = </w:t>
      </w:r>
      <w:r>
        <w:rPr>
          <w:highlight w:val="yellow"/>
          <w:highlightCs w:val="yellow"/>
        </w:rPr>
        <w:t xml:space="preserve">[Y]</w:t>
      </w:r>
      <w:r>
        <w:t xml:space="preserve">, w_q, u_r, τ and the matching threshold) and how they were set (</w:t>
      </w:r>
      <w:r>
        <w:rPr>
          <w:highlight w:val="yellow"/>
          <w:highlightCs w:val="yellow"/>
        </w:rPr>
        <w:t xml:space="preserve">[a priori by clinical consensus / tuned on a development subset of N reports disjoint from the test sets]</w:t>
      </w:r>
      <w:r>
        <w:t xml:space="preserve">). The sensitivity analysis and the radiologist validation with inter-rater reliability are described in our response to Reviewer 1, comment 5.</w:t>
      </w:r>
    </w:p>
    <w:p>
      <w:pPr>
        <w:spacing w:after="120" w:line="276"/>
      </w:pPr>
      <w:r>
        <w:rPr>
          <w:b/>
          <w:bCs/>
          <w:color w:val="2E7D32"/>
        </w:rPr>
        <w:t xml:space="preserve">Changes to the manuscript: </w:t>
      </w:r>
      <w:r>
        <w:t xml:space="preserve">Methods 4.4; Supplementary Table S</w:t>
      </w:r>
      <w:r>
        <w:rPr>
          <w:highlight w:val="yellow"/>
          <w:highlightCs w:val="yellow"/>
        </w:rPr>
        <w:t xml:space="preserve">[X]</w:t>
      </w:r>
      <w:r>
        <w:t xml:space="preserve">.</w:t>
      </w:r>
    </w:p>
    <w:p>
      <w:pPr>
        <w:keepNext/>
        <w:spacing w:after="80" w:before="240"/>
      </w:pPr>
      <w:r>
        <w:rPr>
          <w:b/>
          <w:bCs/>
          <w:color w:val="1F3864"/>
        </w:rPr>
        <w:t xml:space="preserve">R2.19  “Training-free” wording and curation</w:t>
      </w:r>
      <w:r>
        <w:rPr>
          <w:color w:val="7F7F7F"/>
          <w:sz w:val="19"/>
          <w:szCs w:val="19"/>
        </w:rPr>
        <w:t xml:space="preserve">   Owner: </w:t>
      </w:r>
      <w:r>
        <w:rPr>
          <w:b/>
          <w:bCs/>
          <w:color w:val="7F7F7F"/>
          <w:sz w:val="19"/>
          <w:szCs w:val="19"/>
        </w:rPr>
        <w:t xml:space="preserve">Shiyu</w:t>
      </w:r>
    </w:p>
    <w:p>
      <w:pPr>
        <w:pBdr>
          <w:left w:val="single" w:color="1F3864" w:sz="18" w:space="6"/>
        </w:pBdr>
        <w:shd w:fill="EEF1F6" w:color="auto" w:val="clear"/>
        <w:spacing w:after="120" w:line="264"/>
        <w:ind w:left="200"/>
      </w:pPr>
      <w:r>
        <w:rPr>
          <w:i/>
          <w:iCs/>
          <w:color w:val="404040"/>
          <w:sz w:val="20"/>
          <w:szCs w:val="20"/>
        </w:rPr>
        <w:t xml:space="preserve">The term "training-free" should be qualified. … Clinician assessment of readability, factual consistency, and clinical usability is also needed beyond lexical-overlap metrics such as BLEU and ROUGE.</w:t>
      </w:r>
    </w:p>
    <w:p>
      <w:pPr>
        <w:spacing w:after="100" w:line="276"/>
      </w:pPr>
      <w:r>
        <w:rPr>
          <w:b/>
          <w:bCs/>
        </w:rPr>
        <w:t xml:space="preserve">Response: </w:t>
      </w:r>
      <w:r>
        <w:t xml:space="preserve">We agree and now describe the report realisation step as “requiring no model training” rather than “training-free”, noting that it depends on curated resources. Methods 4.5 and a new Supplementary Note describe corpus selection, decomposition into the five clause categories (</w:t>
      </w:r>
      <w:r>
        <w:rPr>
          <w:highlight w:val="yellow"/>
          <w:highlightCs w:val="yellow"/>
        </w:rPr>
        <w:t xml:space="preserve">[rule-based / LLM-assisted with manual checking]</w:t>
      </w:r>
      <w:r>
        <w:t xml:space="preserve">), template de-duplication (</w:t>
      </w:r>
      <w:r>
        <w:rPr>
          <w:highlight w:val="yellow"/>
          <w:highlightCs w:val="yellow"/>
        </w:rPr>
        <w:t xml:space="preserve">[method]</w:t>
      </w:r>
      <w:r>
        <w:t xml:space="preserve">), the </w:t>
      </w:r>
      <w:r>
        <w:rPr>
          <w:highlight w:val="yellow"/>
          <w:highlightCs w:val="yellow"/>
        </w:rPr>
        <w:t xml:space="preserve">[N]</w:t>
      </w:r>
      <w:r>
        <w:t xml:space="preserve"> slot definitions and filling rules, clause-assembly rules, the manual effort involved (</w:t>
      </w:r>
      <w:r>
        <w:rPr>
          <w:highlight w:val="yellow"/>
          <w:highlightCs w:val="yellow"/>
        </w:rPr>
        <w:t xml:space="preserve">[approximately X person-hours]</w:t>
      </w:r>
      <w:r>
        <w:t xml:space="preserve">) and how a new centre’s style is adopted (Supplementary Fig. S6). Readability, factual consistency and clinical usability are now rated by </w:t>
      </w:r>
      <w:r>
        <w:rPr>
          <w:highlight w:val="yellow"/>
          <w:highlightCs w:val="yellow"/>
        </w:rPr>
        <w:t xml:space="preserve">[N]</w:t>
      </w:r>
      <w:r>
        <w:t xml:space="preserve"> blinded radiologists (Reviewer 1, comment 5).</w:t>
      </w:r>
    </w:p>
    <w:p>
      <w:pPr>
        <w:spacing w:after="120" w:line="276"/>
      </w:pPr>
      <w:r>
        <w:rPr>
          <w:b/>
          <w:bCs/>
          <w:color w:val="2E7D32"/>
        </w:rPr>
        <w:t xml:space="preserve">Changes to the manuscript: </w:t>
      </w:r>
      <w:r>
        <w:t xml:space="preserve">Section 4.5; Supplementary Note.</w:t>
      </w:r>
    </w:p>
    <w:p>
      <w:pPr>
        <w:keepNext/>
        <w:spacing w:after="80" w:before="240"/>
      </w:pPr>
      <w:r>
        <w:rPr>
          <w:b/>
          <w:bCs/>
          <w:color w:val="1F3864"/>
        </w:rPr>
        <w:t xml:space="preserve">R2.20  Connected-component post-processing</w:t>
      </w:r>
      <w:r>
        <w:rPr>
          <w:color w:val="7F7F7F"/>
          <w:sz w:val="19"/>
          <w:szCs w:val="19"/>
        </w:rPr>
        <w:t xml:space="preserve">   Owner: </w:t>
      </w:r>
      <w:r>
        <w:rPr>
          <w:b/>
          <w:bCs/>
          <w:color w:val="7F7F7F"/>
          <w:sz w:val="19"/>
          <w:szCs w:val="19"/>
        </w:rPr>
        <w:t xml:space="preserve">Baidong</w:t>
      </w:r>
    </w:p>
    <w:p>
      <w:pPr>
        <w:pBdr>
          <w:left w:val="single" w:color="1F3864" w:sz="18" w:space="6"/>
        </w:pBdr>
        <w:shd w:fill="EEF1F6" w:color="auto" w:val="clear"/>
        <w:spacing w:after="120" w:line="264"/>
        <w:ind w:left="200"/>
      </w:pPr>
      <w:r>
        <w:rPr>
          <w:i/>
          <w:iCs/>
          <w:color w:val="404040"/>
          <w:sz w:val="20"/>
          <w:szCs w:val="20"/>
        </w:rPr>
        <w:t xml:space="preserve">Thresholds for connected-component analysis in post-processing are unspecified. … (a) the minimum connected-component area threshold; (b) whether small nodules (&lt; 5 mm) may be erroneously removed; (c) the algorithm for separating multiple nodules.</w:t>
      </w:r>
    </w:p>
    <w:p>
      <w:pPr>
        <w:spacing w:after="100" w:line="276"/>
      </w:pPr>
      <w:r>
        <w:rPr>
          <w:b/>
          <w:bCs/>
        </w:rPr>
        <w:t xml:space="preserve">Response: </w:t>
      </w:r>
      <w:r>
        <w:t xml:space="preserve">We have added these details to Methods 4.3. (a) </w:t>
      </w:r>
      <w:r>
        <w:rPr>
          <w:highlight w:val="yellow"/>
          <w:highlightCs w:val="yellow"/>
        </w:rPr>
        <w:t xml:space="preserve">[Components smaller than X pixels / X mm² are removed; the largest component is retained for radiomics]</w:t>
      </w:r>
      <w:r>
        <w:t xml:space="preserve">. This refinement is applied </w:t>
      </w:r>
      <w:r>
        <w:rPr>
          <w:highlight w:val="yellow"/>
          <w:highlightCs w:val="yellow"/>
        </w:rPr>
        <w:t xml:space="preserve">[only to the radiomics input; reported Dice values use the unrefined mask / also to the reported mask]</w:t>
      </w:r>
      <w:r>
        <w:t xml:space="preserve">. (b) The test sets contain </w:t>
      </w:r>
      <w:r>
        <w:rPr>
          <w:highlight w:val="yellow"/>
          <w:highlightCs w:val="yellow"/>
        </w:rPr>
        <w:t xml:space="preserve">[N]</w:t>
      </w:r>
      <w:r>
        <w:t xml:space="preserve"> nodules smaller than 5 mm, of which </w:t>
      </w:r>
      <w:r>
        <w:rPr>
          <w:highlight w:val="yellow"/>
          <w:highlightCs w:val="yellow"/>
        </w:rPr>
        <w:t xml:space="preserve">[M]</w:t>
      </w:r>
      <w:r>
        <w:t xml:space="preserve"> were removed by this step; we report Dice for this subgroup separately. (c) Multiple nodules are </w:t>
      </w:r>
      <w:r>
        <w:rPr>
          <w:highlight w:val="yellow"/>
          <w:highlightCs w:val="yellow"/>
        </w:rPr>
        <w:t xml:space="preserve">[separated by connected-component labelling and analysed one at a time / handled by …]</w:t>
      </w:r>
      <w:r>
        <w:t xml:space="preserve">.</w:t>
      </w:r>
    </w:p>
    <w:p>
      <w:pPr>
        <w:spacing w:after="120" w:line="276"/>
      </w:pPr>
      <w:r>
        <w:rPr>
          <w:b/>
          <w:bCs/>
          <w:color w:val="2E7D32"/>
        </w:rPr>
        <w:t xml:space="preserve">Changes to the manuscript: </w:t>
      </w:r>
      <w:r>
        <w:t xml:space="preserve">Methods 4.3; Supplementary Table S</w:t>
      </w:r>
      <w:r>
        <w:rPr>
          <w:highlight w:val="yellow"/>
          <w:highlightCs w:val="yellow"/>
        </w:rPr>
        <w:t xml:space="preserve">[X]</w:t>
      </w:r>
      <w:r>
        <w:t xml:space="preserve">.</w:t>
      </w:r>
    </w:p>
    <w:p>
      <w:pPr>
        <w:keepNext/>
        <w:spacing w:after="80" w:before="240"/>
      </w:pPr>
      <w:r>
        <w:rPr>
          <w:b/>
          <w:bCs/>
          <w:color w:val="1F3864"/>
        </w:rPr>
        <w:t xml:space="preserve">R2.21  AutoGluon radiomics branch</w:t>
      </w:r>
      <w:r>
        <w:rPr>
          <w:color w:val="7F7F7F"/>
          <w:sz w:val="19"/>
          <w:szCs w:val="19"/>
        </w:rPr>
        <w:t xml:space="preserve">   Owner: </w:t>
      </w:r>
      <w:r>
        <w:rPr>
          <w:b/>
          <w:bCs/>
          <w:color w:val="7F7F7F"/>
          <w:sz w:val="19"/>
          <w:szCs w:val="19"/>
        </w:rPr>
        <w:t xml:space="preserve">Baidong</w:t>
      </w:r>
    </w:p>
    <w:p>
      <w:pPr>
        <w:pBdr>
          <w:left w:val="single" w:color="1F3864" w:sz="18" w:space="6"/>
        </w:pBdr>
        <w:shd w:fill="EEF1F6" w:color="auto" w:val="clear"/>
        <w:spacing w:after="120" w:line="264"/>
        <w:ind w:left="200"/>
      </w:pPr>
      <w:r>
        <w:rPr>
          <w:i/>
          <w:iCs/>
          <w:color w:val="404040"/>
          <w:sz w:val="20"/>
          <w:szCs w:val="20"/>
        </w:rPr>
        <w:t xml:space="preserve">The AutoGluon-based radiomics branch is insufficiently described.</w:t>
      </w:r>
    </w:p>
    <w:p>
      <w:pPr>
        <w:spacing w:after="100" w:line="276"/>
      </w:pPr>
      <w:r>
        <w:rPr>
          <w:b/>
          <w:bCs/>
        </w:rPr>
        <w:t xml:space="preserve">Response: </w:t>
      </w:r>
      <w:r>
        <w:t xml:space="preserve">We have expanded the description: PyRadiomics </w:t>
      </w:r>
      <w:r>
        <w:rPr>
          <w:highlight w:val="yellow"/>
          <w:highlightCs w:val="yellow"/>
        </w:rPr>
        <w:t xml:space="preserve">[version]</w:t>
      </w:r>
      <w:r>
        <w:t xml:space="preserve"> with </w:t>
      </w:r>
      <w:r>
        <w:rPr>
          <w:highlight w:val="yellow"/>
          <w:highlightCs w:val="yellow"/>
        </w:rPr>
        <w:t xml:space="preserve">[bin width, normalisation, 2D settings]</w:t>
      </w:r>
      <w:r>
        <w:t xml:space="preserve"> produced </w:t>
      </w:r>
      <w:r>
        <w:rPr>
          <w:highlight w:val="yellow"/>
          <w:highlightCs w:val="yellow"/>
        </w:rPr>
        <w:t xml:space="preserve">[N]</w:t>
      </w:r>
      <w:r>
        <w:t xml:space="preserve"> shape, first-order and texture features; </w:t>
      </w:r>
      <w:r>
        <w:rPr>
          <w:highlight w:val="yellow"/>
          <w:highlightCs w:val="yellow"/>
        </w:rPr>
        <w:t xml:space="preserve">[feature selection, if any]</w:t>
      </w:r>
      <w:r>
        <w:t xml:space="preserve">. AutoGluon-Tabular </w:t>
      </w:r>
      <w:r>
        <w:rPr>
          <w:highlight w:val="yellow"/>
          <w:highlightCs w:val="yellow"/>
        </w:rPr>
        <w:t xml:space="preserve">[version]</w:t>
      </w:r>
      <w:r>
        <w:t xml:space="preserve"> was run with the </w:t>
      </w:r>
      <w:r>
        <w:rPr>
          <w:highlight w:val="yellow"/>
          <w:highlightCs w:val="yellow"/>
        </w:rPr>
        <w:t xml:space="preserve">[preset]</w:t>
      </w:r>
      <w:r>
        <w:t xml:space="preserve"> preset, </w:t>
      </w:r>
      <w:r>
        <w:rPr>
          <w:highlight w:val="yellow"/>
          <w:highlightCs w:val="yellow"/>
        </w:rPr>
        <w:t xml:space="preserve">[k]</w:t>
      </w:r>
      <w:r>
        <w:t xml:space="preserve">-fold bagging, a </w:t>
      </w:r>
      <w:r>
        <w:rPr>
          <w:highlight w:val="yellow"/>
          <w:highlightCs w:val="yellow"/>
        </w:rPr>
        <w:t xml:space="preserve">[time limit]</w:t>
      </w:r>
      <w:r>
        <w:t xml:space="preserve">, </w:t>
      </w:r>
      <w:r>
        <w:rPr>
          <w:highlight w:val="yellow"/>
          <w:highlightCs w:val="yellow"/>
        </w:rPr>
        <w:t xml:space="preserve">[evaluation metric]</w:t>
      </w:r>
      <w:r>
        <w:t xml:space="preserve"> and </w:t>
      </w:r>
      <w:r>
        <w:rPr>
          <w:highlight w:val="yellow"/>
          <w:highlightCs w:val="yellow"/>
        </w:rPr>
        <w:t xml:space="preserve">[class-imbalance handling]</w:t>
      </w:r>
      <w:r>
        <w:t xml:space="preserve">, trained on </w:t>
      </w:r>
      <w:r>
        <w:rPr>
          <w:highlight w:val="yellow"/>
          <w:highlightCs w:val="yellow"/>
        </w:rPr>
        <w:t xml:space="preserve">[which data]</w:t>
      </w:r>
      <w:r>
        <w:t xml:space="preserve">. The final ensemble comprised </w:t>
      </w:r>
      <w:r>
        <w:rPr>
          <w:highlight w:val="yellow"/>
          <w:highlightCs w:val="yellow"/>
        </w:rPr>
        <w:t xml:space="preserve">[model types]</w:t>
      </w:r>
      <w:r>
        <w:t xml:space="preserve">. Configuration files are in the code repository.</w:t>
      </w:r>
    </w:p>
    <w:p>
      <w:pPr>
        <w:spacing w:after="120" w:line="276"/>
      </w:pPr>
      <w:r>
        <w:rPr>
          <w:b/>
          <w:bCs/>
          <w:color w:val="2E7D32"/>
        </w:rPr>
        <w:t xml:space="preserve">Changes to the manuscript: </w:t>
      </w:r>
      <w:r>
        <w:t xml:space="preserve">Methods 4.3; Supplementary Note.</w:t>
      </w:r>
    </w:p>
    <w:p>
      <w:pPr>
        <w:keepNext/>
        <w:spacing w:after="80" w:before="240"/>
      </w:pPr>
      <w:r>
        <w:rPr>
          <w:b/>
          <w:bCs/>
          <w:color w:val="1F3864"/>
        </w:rPr>
        <w:t xml:space="preserve">R2.22  Language</w:t>
      </w:r>
      <w:r>
        <w:rPr>
          <w:color w:val="7F7F7F"/>
          <w:sz w:val="19"/>
          <w:szCs w:val="19"/>
        </w:rPr>
        <w:t xml:space="preserve">   Owner: </w:t>
      </w:r>
      <w:r>
        <w:rPr>
          <w:b/>
          <w:bCs/>
          <w:color w:val="7F7F7F"/>
          <w:sz w:val="19"/>
          <w:szCs w:val="19"/>
        </w:rPr>
        <w:t xml:space="preserve">Shared</w:t>
      </w:r>
    </w:p>
    <w:p>
      <w:pPr>
        <w:pBdr>
          <w:left w:val="single" w:color="1F3864" w:sz="18" w:space="6"/>
        </w:pBdr>
        <w:shd w:fill="EEF1F6" w:color="auto" w:val="clear"/>
        <w:spacing w:after="120" w:line="264"/>
        <w:ind w:left="200"/>
      </w:pPr>
      <w:r>
        <w:rPr>
          <w:i/>
          <w:iCs/>
          <w:color w:val="404040"/>
          <w:sz w:val="20"/>
          <w:szCs w:val="20"/>
        </w:rPr>
        <w:t xml:space="preserve">Please check the manuscript for grammatical errors, such as "ThyroidXAgent improved produced."</w:t>
      </w:r>
    </w:p>
    <w:p>
      <w:pPr>
        <w:spacing w:after="100" w:line="276"/>
      </w:pPr>
      <w:r>
        <w:rPr>
          <w:b/>
          <w:bCs/>
        </w:rPr>
        <w:t xml:space="preserve">Response: </w:t>
      </w:r>
      <w:r>
        <w:t xml:space="preserve">Thank you. We corrected this sentence and other errors (e.g. “evidence-centerd”, the conflict-of-interest statement and figure labels such as “Metastatis” and “Pipline”), and the manuscript was </w:t>
      </w:r>
      <w:r>
        <w:rPr>
          <w:highlight w:val="yellow"/>
          <w:highlightCs w:val="yellow"/>
        </w:rPr>
        <w:t xml:space="preserve">[professionally edited]</w:t>
      </w:r>
      <w:r>
        <w:t xml:space="preserve">.</w:t>
      </w:r>
    </w:p>
    <w:p>
      <w:pPr>
        <w:spacing w:after="120" w:line="276"/>
      </w:pPr>
      <w:r>
        <w:rPr>
          <w:b/>
          <w:bCs/>
          <w:color w:val="2E7D32"/>
        </w:rPr>
        <w:t xml:space="preserve">Changes to the manuscript: </w:t>
      </w:r>
      <w:r>
        <w:t xml:space="preserve">Throughout.</w:t>
      </w:r>
    </w:p>
    <w:p>
      <w:pPr>
        <w:keepNext/>
        <w:spacing w:after="80" w:before="240"/>
      </w:pPr>
      <w:r>
        <w:rPr>
          <w:b/>
          <w:bCs/>
          <w:color w:val="1F3864"/>
        </w:rPr>
        <w:t xml:space="preserve">R2.23  TI-RADS system</w:t>
      </w:r>
      <w:r>
        <w:rPr>
          <w:color w:val="7F7F7F"/>
          <w:sz w:val="19"/>
          <w:szCs w:val="19"/>
        </w:rPr>
        <w:t xml:space="preserve">   Owner: </w:t>
      </w:r>
      <w:r>
        <w:rPr>
          <w:b/>
          <w:bCs/>
          <w:color w:val="7F7F7F"/>
          <w:sz w:val="19"/>
          <w:szCs w:val="19"/>
        </w:rPr>
        <w:t xml:space="preserve">Fei Chen</w:t>
      </w:r>
    </w:p>
    <w:p>
      <w:pPr>
        <w:pBdr>
          <w:left w:val="single" w:color="1F3864" w:sz="18" w:space="6"/>
        </w:pBdr>
        <w:shd w:fill="EEF1F6" w:color="auto" w:val="clear"/>
        <w:spacing w:after="120" w:line="264"/>
        <w:ind w:left="200"/>
      </w:pPr>
      <w:r>
        <w:rPr>
          <w:i/>
          <w:iCs/>
          <w:color w:val="404040"/>
          <w:sz w:val="20"/>
          <w:szCs w:val="20"/>
        </w:rPr>
        <w:t xml:space="preserve">Please specify whether TI-RADS refers to ACR TI-RADS, C-TIRADS, or another system, as categories such as "TI-RADS 4b" are system-specific.</w:t>
      </w:r>
    </w:p>
    <w:p>
      <w:pPr>
        <w:spacing w:after="100" w:line="276"/>
      </w:pPr>
      <w:r>
        <w:rPr>
          <w:b/>
          <w:bCs/>
        </w:rPr>
        <w:t xml:space="preserve">Response: </w:t>
      </w:r>
      <w:r>
        <w:t xml:space="preserve">We thank the reviewer. The institutional reports use </w:t>
      </w:r>
      <w:r>
        <w:rPr>
          <w:highlight w:val="yellow"/>
          <w:highlightCs w:val="yellow"/>
        </w:rPr>
        <w:t xml:space="preserve">[C-TIRADS (2020 Chinese guideline)]</w:t>
      </w:r>
      <w:r>
        <w:t xml:space="preserve">, which includes category 4b; ACR TI-RADS (TR1–TR5) is not used for report labels. We now state this in Methods and cite the guideline, and </w:t>
      </w:r>
      <w:r>
        <w:rPr>
          <w:highlight w:val="yellow"/>
          <w:highlightCs w:val="yellow"/>
        </w:rPr>
        <w:t xml:space="preserve">[describe how categories were harmonised for KMVE / other cohorts]</w:t>
      </w:r>
      <w:r>
        <w:t xml:space="preserve">.</w:t>
      </w:r>
    </w:p>
    <w:p>
      <w:pPr>
        <w:spacing w:after="120" w:line="276"/>
      </w:pPr>
      <w:r>
        <w:rPr>
          <w:b/>
          <w:bCs/>
          <w:color w:val="2E7D32"/>
        </w:rPr>
        <w:t xml:space="preserve">Changes to the manuscript: </w:t>
      </w:r>
      <w:r>
        <w:t xml:space="preserve">Methods 4.1 and 4.4.</w:t>
      </w:r>
    </w:p>
    <w:p>
      <w:pPr>
        <w:keepNext/>
        <w:spacing w:after="80" w:before="240"/>
      </w:pPr>
      <w:r>
        <w:rPr>
          <w:b/>
          <w:bCs/>
          <w:color w:val="1F3864"/>
        </w:rPr>
        <w:t xml:space="preserve">R2 code-availability remarks</w:t>
      </w:r>
      <w:r>
        <w:rPr>
          <w:color w:val="7F7F7F"/>
          <w:sz w:val="19"/>
          <w:szCs w:val="19"/>
        </w:rPr>
        <w:t xml:space="preserve">   Owner: </w:t>
      </w:r>
      <w:r>
        <w:rPr>
          <w:b/>
          <w:bCs/>
          <w:color w:val="7F7F7F"/>
          <w:sz w:val="19"/>
          <w:szCs w:val="19"/>
        </w:rPr>
        <w:t xml:space="preserve">Shared</w:t>
      </w:r>
    </w:p>
    <w:p>
      <w:pPr>
        <w:pBdr>
          <w:left w:val="single" w:color="1F3864" w:sz="18" w:space="6"/>
        </w:pBdr>
        <w:shd w:fill="EEF1F6" w:color="auto" w:val="clear"/>
        <w:spacing w:after="120" w:line="264"/>
        <w:ind w:left="200"/>
      </w:pPr>
      <w:r>
        <w:rPr>
          <w:i/>
          <w:iCs/>
          <w:color w:val="404040"/>
          <w:sz w:val="20"/>
          <w:szCs w:val="20"/>
        </w:rPr>
        <w:t xml:space="preserve">The repository includes source code, configuration files, experiment scripts, and installation instructions. Basic static checks passed. The repository also lacks automated tests, a fixed release, and a clear licence. …</w:t>
      </w:r>
    </w:p>
    <w:p>
      <w:pPr>
        <w:spacing w:after="100" w:line="276"/>
      </w:pPr>
      <w:r>
        <w:rPr>
          <w:b/>
          <w:bCs/>
        </w:rPr>
        <w:t xml:space="preserve">Response: </w:t>
      </w:r>
      <w:r>
        <w:t xml:space="preserve">We thank the reviewer for checking the repository. We have added a </w:t>
      </w:r>
      <w:r>
        <w:rPr>
          <w:highlight w:val="yellow"/>
          <w:highlightCs w:val="yellow"/>
        </w:rPr>
        <w:t xml:space="preserve">[licence name]</w:t>
      </w:r>
      <w:r>
        <w:t xml:space="preserve"> licence, unit and integration tests with continuous integration, a pinned environment </w:t>
      </w:r>
      <w:r>
        <w:rPr>
          <w:highlight w:val="yellow"/>
          <w:highlightCs w:val="yellow"/>
        </w:rPr>
        <w:t xml:space="preserve">[and container image]</w:t>
      </w:r>
      <w:r>
        <w:t xml:space="preserve">, and scripts that reproduce each main table and figure. A fixed release (</w:t>
      </w:r>
      <w:r>
        <w:rPr>
          <w:highlight w:val="yellow"/>
          <w:highlightCs w:val="yellow"/>
        </w:rPr>
        <w:t xml:space="preserve">[v1.0.0]</w:t>
      </w:r>
      <w:r>
        <w:t xml:space="preserve">) is archived at </w:t>
      </w:r>
      <w:r>
        <w:rPr>
          <w:highlight w:val="yellow"/>
          <w:highlightCs w:val="yellow"/>
        </w:rPr>
        <w:t xml:space="preserve">[Zenodo DOI]</w:t>
      </w:r>
      <w:r>
        <w:t xml:space="preserve">, and the manuscript cites this version.</w:t>
      </w:r>
    </w:p>
    <w:p>
      <w:pPr>
        <w:spacing w:after="120" w:line="276"/>
      </w:pPr>
      <w:r>
        <w:rPr>
          <w:b/>
          <w:bCs/>
          <w:color w:val="2E7D32"/>
        </w:rPr>
        <w:t xml:space="preserve">Changes to the manuscript: </w:t>
      </w:r>
      <w:r>
        <w:t xml:space="preserve">Code availability section.</w:t>
      </w:r>
    </w:p>
    <w:p>
      <w:pPr>
        <w:pStyle w:val="Heading2"/>
      </w:pPr>
      <w:r>
        <w:t xml:space="preserve">Reviewer 3</w:t>
      </w:r>
    </w:p>
    <w:p>
      <w:pPr>
        <w:spacing w:after="120" w:line="276"/>
      </w:pPr>
      <w:r>
        <w:rPr>
          <w:b/>
          <w:bCs/>
        </w:rPr>
        <w:t xml:space="preserve">General comment.</w:t>
      </w:r>
      <w:r>
        <w:t xml:space="preserve"> We thank the reviewer for the positive assessment of the study’s direction and for the specific suggestions, which we have addressed below.</w:t>
      </w:r>
    </w:p>
    <w:p>
      <w:pPr>
        <w:keepNext/>
        <w:spacing w:after="80" w:before="240"/>
      </w:pPr>
      <w:r>
        <w:rPr>
          <w:b/>
          <w:bCs/>
          <w:color w:val="1F3864"/>
        </w:rPr>
        <w:t xml:space="preserve">R3 Major 1  Agent vs ensembling</w:t>
      </w:r>
      <w:r>
        <w:rPr>
          <w:color w:val="7F7F7F"/>
          <w:sz w:val="19"/>
          <w:szCs w:val="19"/>
        </w:rPr>
        <w:t xml:space="preserve">   Owner: </w:t>
      </w:r>
      <w:r>
        <w:rPr>
          <w:b/>
          <w:bCs/>
          <w:color w:val="7F7F7F"/>
          <w:sz w:val="19"/>
          <w:szCs w:val="19"/>
        </w:rPr>
        <w:t xml:space="preserve">Baidong</w:t>
      </w:r>
    </w:p>
    <w:p>
      <w:pPr>
        <w:pBdr>
          <w:left w:val="single" w:color="1F3864" w:sz="18" w:space="6"/>
        </w:pBdr>
        <w:shd w:fill="EEF1F6" w:color="auto" w:val="clear"/>
        <w:spacing w:after="120" w:line="264"/>
        <w:ind w:left="200"/>
      </w:pPr>
      <w:r>
        <w:rPr>
          <w:i/>
          <w:iCs/>
          <w:color w:val="404040"/>
          <w:sz w:val="20"/>
          <w:szCs w:val="20"/>
        </w:rPr>
        <w:t xml:space="preserve">Including controlled baseline comparisons with majority voting, probability averaging, rule-based routing, and a non-LLM learned router based on the same expert pool would better clarify the unique advantage provided by the agent.</w:t>
      </w:r>
    </w:p>
    <w:p>
      <w:pPr>
        <w:spacing w:after="100" w:line="276"/>
      </w:pPr>
      <w:r>
        <w:rPr>
          <w:b/>
          <w:bCs/>
        </w:rPr>
        <w:t xml:space="preserve">Response: </w:t>
      </w:r>
      <w:r>
        <w:t xml:space="preserve">We have added all four comparisons on the same expert pool, together with a single best expert, confidence-based routing and an oracle upper bound. The design and results are described in our response to Reviewer 1, comment 2 (new Fig. </w:t>
      </w:r>
      <w:r>
        <w:rPr>
          <w:highlight w:val="yellow"/>
          <w:highlightCs w:val="yellow"/>
        </w:rPr>
        <w:t xml:space="preserve">[X]</w:t>
      </w:r>
      <w:r>
        <w:t xml:space="preserve">, Supplementary Table S</w:t>
      </w:r>
      <w:r>
        <w:rPr>
          <w:highlight w:val="yellow"/>
          <w:highlightCs w:val="yellow"/>
        </w:rPr>
        <w:t xml:space="preserve">[X]</w:t>
      </w:r>
      <w:r>
        <w:t xml:space="preserve">).</w:t>
      </w:r>
    </w:p>
    <w:p>
      <w:pPr>
        <w:spacing w:after="120" w:line="276"/>
      </w:pPr>
      <w:r>
        <w:rPr>
          <w:b/>
          <w:bCs/>
          <w:color w:val="2E7D32"/>
        </w:rPr>
        <w:t xml:space="preserve">Changes to the manuscript: </w:t>
      </w:r>
      <w:r>
        <w:t xml:space="preserve">New Results subsection.</w:t>
      </w:r>
    </w:p>
    <w:p>
      <w:pPr>
        <w:keepNext/>
        <w:spacing w:after="80" w:before="240"/>
      </w:pPr>
      <w:r>
        <w:rPr>
          <w:b/>
          <w:bCs/>
          <w:color w:val="1F3864"/>
        </w:rPr>
        <w:t xml:space="preserve">R3 Major 2  Metadata and centre-specific preferences</w:t>
      </w:r>
      <w:r>
        <w:rPr>
          <w:color w:val="7F7F7F"/>
          <w:sz w:val="19"/>
          <w:szCs w:val="19"/>
        </w:rPr>
        <w:t xml:space="preserve">   Owner: </w:t>
      </w:r>
      <w:r>
        <w:rPr>
          <w:b/>
          <w:bCs/>
          <w:color w:val="7F7F7F"/>
          <w:sz w:val="19"/>
          <w:szCs w:val="19"/>
        </w:rPr>
        <w:t xml:space="preserve">Baidong</w:t>
      </w:r>
    </w:p>
    <w:p>
      <w:pPr>
        <w:pBdr>
          <w:left w:val="single" w:color="1F3864" w:sz="18" w:space="6"/>
        </w:pBdr>
        <w:shd w:fill="EEF1F6" w:color="auto" w:val="clear"/>
        <w:spacing w:after="120" w:line="264"/>
        <w:ind w:left="200"/>
      </w:pPr>
      <w:r>
        <w:rPr>
          <w:i/>
          <w:iCs/>
          <w:color w:val="404040"/>
          <w:sz w:val="20"/>
          <w:szCs w:val="20"/>
        </w:rPr>
        <w:t xml:space="preserve">The LLM router leverages metadata such as device and data source in addition to prediction quality signals. This may allow the system to learn center-specific expert preferences rather than case-level routing. Please provide ablation analysis to evaluate the effect from data-source, scanner metadata and report expert-selection patterns across centers.</w:t>
      </w:r>
    </w:p>
    <w:p>
      <w:pPr>
        <w:spacing w:after="100" w:line="276"/>
      </w:pPr>
      <w:r>
        <w:rPr>
          <w:b/>
          <w:bCs/>
        </w:rPr>
        <w:t xml:space="preserve">Response: </w:t>
      </w:r>
      <w:r>
        <w:t xml:space="preserve">We agree this needs testing. We ran the router with (i) all inputs, (ii) without data source, (iii) without device, (iv) without both, and (v) quality signals only. Removing metadata changed Dice by </w:t>
      </w:r>
      <w:r>
        <w:rPr>
          <w:highlight w:val="yellow"/>
          <w:highlightCs w:val="yellow"/>
        </w:rPr>
        <w:t xml:space="preserve">[X]</w:t>
      </w:r>
      <w:r>
        <w:t xml:space="preserve"> and AUROC by </w:t>
      </w:r>
      <w:r>
        <w:rPr>
          <w:highlight w:val="yellow"/>
          <w:highlightCs w:val="yellow"/>
        </w:rPr>
        <w:t xml:space="preserve">[Y]</w:t>
      </w:r>
      <w:r>
        <w:t xml:space="preserve">. Expert-selection frequencies per centre are shown in Supplementary Fig. S</w:t>
      </w:r>
      <w:r>
        <w:rPr>
          <w:highlight w:val="yellow"/>
          <w:highlightCs w:val="yellow"/>
        </w:rPr>
        <w:t xml:space="preserve">[X]</w:t>
      </w:r>
      <w:r>
        <w:t xml:space="preserve">; within-centre selection was </w:t>
      </w:r>
      <w:r>
        <w:rPr>
          <w:highlight w:val="yellow"/>
          <w:highlightCs w:val="yellow"/>
        </w:rPr>
        <w:t xml:space="preserve">[varied / concentrated]</w:t>
      </w:r>
      <w:r>
        <w:t xml:space="preserve">, with </w:t>
      </w:r>
      <w:r>
        <w:rPr>
          <w:highlight w:val="yellow"/>
          <w:highlightCs w:val="yellow"/>
        </w:rPr>
        <w:t xml:space="preserve">[mutual information between centre and selected expert of Z]</w:t>
      </w:r>
      <w:r>
        <w:t xml:space="preserve">, indicating </w:t>
      </w:r>
      <w:r>
        <w:rPr>
          <w:highlight w:val="yellow"/>
          <w:highlightCs w:val="yellow"/>
        </w:rPr>
        <w:t xml:space="preserve">[case-level / partly centre-level]</w:t>
      </w:r>
      <w:r>
        <w:t xml:space="preserve"> routing. Because the 35 NHC-MISD-TUS centres were never seen during development, metadata could not encode learned centre preferences there.</w:t>
      </w:r>
    </w:p>
    <w:p>
      <w:pPr>
        <w:spacing w:after="120" w:line="276"/>
      </w:pPr>
      <w:r>
        <w:rPr>
          <w:b/>
          <w:bCs/>
          <w:color w:val="2E7D32"/>
        </w:rPr>
        <w:t xml:space="preserve">Changes to the manuscript: </w:t>
      </w:r>
      <w:r>
        <w:t xml:space="preserve">Results; Supplementary Table and Figure.</w:t>
      </w:r>
    </w:p>
    <w:p>
      <w:pPr>
        <w:keepNext/>
        <w:spacing w:after="80" w:before="240"/>
      </w:pPr>
      <w:r>
        <w:rPr>
          <w:b/>
          <w:bCs/>
          <w:color w:val="1F3864"/>
        </w:rPr>
        <w:t xml:space="preserve">R3 Major 3  Data hierarchy</w:t>
      </w:r>
      <w:r>
        <w:rPr>
          <w:color w:val="7F7F7F"/>
          <w:sz w:val="19"/>
          <w:szCs w:val="19"/>
        </w:rPr>
        <w:t xml:space="preserve">   Owner: </w:t>
      </w:r>
      <w:r>
        <w:rPr>
          <w:b/>
          <w:bCs/>
          <w:color w:val="7F7F7F"/>
          <w:sz w:val="19"/>
          <w:szCs w:val="19"/>
        </w:rPr>
        <w:t xml:space="preserve">Shared (Baidong + Shiyu inputs)</w:t>
      </w:r>
    </w:p>
    <w:p>
      <w:pPr>
        <w:pBdr>
          <w:left w:val="single" w:color="1F3864" w:sz="18" w:space="6"/>
        </w:pBdr>
        <w:shd w:fill="EEF1F6" w:color="auto" w:val="clear"/>
        <w:spacing w:after="120" w:line="264"/>
        <w:ind w:left="200"/>
      </w:pPr>
      <w:r>
        <w:rPr>
          <w:i/>
          <w:iCs/>
          <w:color w:val="404040"/>
          <w:sz w:val="20"/>
          <w:szCs w:val="20"/>
        </w:rPr>
        <w:t xml:space="preserve">The definition of “28,458 non-overlapping test cases” is unclear. Please clearly describe the data hierarchy and confirm that all train/validation/test splits are patient disjoint. Besides, a simple flowchart showing the relationship of patient, examination, image/video, lesion and task would greatly improve the clarity.</w:t>
      </w:r>
    </w:p>
    <w:p>
      <w:pPr>
        <w:spacing w:after="100" w:line="276"/>
      </w:pPr>
      <w:r>
        <w:rPr>
          <w:b/>
          <w:bCs/>
        </w:rPr>
        <w:t xml:space="preserve">Response: </w:t>
      </w:r>
      <w:r>
        <w:t xml:space="preserve">We have replaced the phrase (see Reviewer 2, comment 3), described patient-disjointness for every split (Reviewer 1, comment 1; </w:t>
      </w:r>
      <w:r>
        <w:rPr>
          <w:highlight w:val="yellow"/>
          <w:highlightCs w:val="yellow"/>
        </w:rPr>
        <w:t xml:space="preserve">[stating explicitly where it could not be verified for public cohorts]</w:t>
      </w:r>
      <w:r>
        <w:t xml:space="preserve">), and added the suggested flowchart linking patients, examinations, images/videos, lesions and tasks for every cohort (new </w:t>
      </w:r>
      <w:r>
        <w:rPr>
          <w:highlight w:val="yellow"/>
          <w:highlightCs w:val="yellow"/>
        </w:rPr>
        <w:t xml:space="preserve">[Fig. 1e / Supplementary Fig. S X]</w:t>
      </w:r>
      <w:r>
        <w:t xml:space="preserve">).</w:t>
      </w:r>
    </w:p>
    <w:p>
      <w:pPr>
        <w:spacing w:after="120" w:line="276"/>
      </w:pPr>
      <w:r>
        <w:rPr>
          <w:b/>
          <w:bCs/>
          <w:color w:val="2E7D32"/>
        </w:rPr>
        <w:t xml:space="preserve">Changes to the manuscript: </w:t>
      </w:r>
      <w:r>
        <w:t xml:space="preserve">Section 2.1; new flowchart.</w:t>
      </w:r>
    </w:p>
    <w:p>
      <w:pPr>
        <w:keepNext/>
        <w:spacing w:after="80" w:before="240"/>
      </w:pPr>
      <w:r>
        <w:rPr>
          <w:b/>
          <w:bCs/>
          <w:color w:val="1F3864"/>
        </w:rPr>
        <w:t xml:space="preserve">R3 Major 4  Reader study statistics and claims</w:t>
      </w:r>
      <w:r>
        <w:rPr>
          <w:color w:val="7F7F7F"/>
          <w:sz w:val="19"/>
          <w:szCs w:val="19"/>
        </w:rPr>
        <w:t xml:space="preserve">   Owner: </w:t>
      </w:r>
      <w:r>
        <w:rPr>
          <w:b/>
          <w:bCs/>
          <w:color w:val="7F7F7F"/>
          <w:sz w:val="19"/>
          <w:szCs w:val="19"/>
        </w:rPr>
        <w:t xml:space="preserve">Fei Chen</w:t>
      </w:r>
    </w:p>
    <w:p>
      <w:pPr>
        <w:pBdr>
          <w:left w:val="single" w:color="1F3864" w:sz="18" w:space="6"/>
        </w:pBdr>
        <w:shd w:fill="EEF1F6" w:color="auto" w:val="clear"/>
        <w:spacing w:after="120" w:line="264"/>
        <w:ind w:left="200"/>
      </w:pPr>
      <w:r>
        <w:rPr>
          <w:i/>
          <w:iCs/>
          <w:color w:val="404040"/>
          <w:sz w:val="20"/>
          <w:szCs w:val="20"/>
        </w:rPr>
        <w:t xml:space="preserve">The reporting study includes only two physicians and 145 videos. … Please report confidence intervals, appropriate paired or mixed-effects statistics, and clearly distinguish annotation consistency from validated diagnostic accuracy.</w:t>
      </w:r>
    </w:p>
    <w:p>
      <w:pPr>
        <w:spacing w:after="100" w:line="276"/>
      </w:pPr>
      <w:r>
        <w:rPr>
          <w:b/>
          <w:bCs/>
        </w:rPr>
        <w:t xml:space="preserve">Response: </w:t>
      </w:r>
      <w:r>
        <w:t xml:space="preserve">We agree and have moderated the conclusions. All reader-study results now include 95% CIs and mixed-effects analyses with reader and case random effects (Reviewer 2, comment 13). We renamed the outcome “annotation-derived diagnostic-direction concordance” and state clearly that it is derived from frame-level bounding-box labels, not from histopathology, so it does not measure validated diagnostic accuracy. </w:t>
      </w:r>
      <w:r>
        <w:rPr>
          <w:highlight w:val="yellow"/>
          <w:highlightCs w:val="yellow"/>
        </w:rPr>
        <w:t xml:space="preserve">[If pathology is available for a subset of TNVideo, report it here.]</w:t>
      </w:r>
      <w:r>
        <w:t xml:space="preserve"> The expanded reader study is described in our response to Reviewer 1, comment 6.</w:t>
      </w:r>
    </w:p>
    <w:p>
      <w:pPr>
        <w:spacing w:after="120" w:line="276"/>
      </w:pPr>
      <w:r>
        <w:rPr>
          <w:b/>
          <w:bCs/>
          <w:color w:val="2E7D32"/>
        </w:rPr>
        <w:t xml:space="preserve">Changes to the manuscript: </w:t>
      </w:r>
      <w:r>
        <w:t xml:space="preserve">Abstract; Results 2.6; Methods 4.6; Discussion.</w:t>
      </w:r>
    </w:p>
    <w:p>
      <w:pPr>
        <w:keepNext/>
        <w:spacing w:after="80" w:before="240"/>
      </w:pPr>
      <w:r>
        <w:rPr>
          <w:b/>
          <w:bCs/>
          <w:color w:val="1F3864"/>
        </w:rPr>
        <w:t xml:space="preserve">R3 Major 5  ThyClinScore validation and submetrics</w:t>
      </w:r>
      <w:r>
        <w:rPr>
          <w:color w:val="7F7F7F"/>
          <w:sz w:val="19"/>
          <w:szCs w:val="19"/>
        </w:rPr>
        <w:t xml:space="preserve">   Owner: </w:t>
      </w:r>
      <w:r>
        <w:rPr>
          <w:b/>
          <w:bCs/>
          <w:color w:val="7F7F7F"/>
          <w:sz w:val="19"/>
          <w:szCs w:val="19"/>
        </w:rPr>
        <w:t xml:space="preserve">Shiyu (with Fei Chen)</w:t>
      </w:r>
    </w:p>
    <w:p>
      <w:pPr>
        <w:pBdr>
          <w:left w:val="single" w:color="1F3864" w:sz="18" w:space="6"/>
        </w:pBdr>
        <w:shd w:fill="EEF1F6" w:color="auto" w:val="clear"/>
        <w:spacing w:after="120" w:line="264"/>
        <w:ind w:left="200"/>
      </w:pPr>
      <w:r>
        <w:rPr>
          <w:i/>
          <w:iCs/>
          <w:color w:val="404040"/>
          <w:sz w:val="20"/>
          <w:szCs w:val="20"/>
        </w:rPr>
        <w:t xml:space="preserve">ThyClinScore is mainly validated by correlation with an LLM judge. … please validate the metric against blinded ratings from multiple radiologists and provide sensitivity analysis for the main weights and thresholds used. The manuscript should also acknowledge that ThyroidXAgent does not outperform all baselines across every semantic submetric.</w:t>
      </w:r>
    </w:p>
    <w:p>
      <w:pPr>
        <w:spacing w:after="100" w:line="276"/>
      </w:pPr>
      <w:r>
        <w:rPr>
          <w:b/>
          <w:bCs/>
        </w:rPr>
        <w:t xml:space="preserve">Response: </w:t>
      </w:r>
      <w:r>
        <w:t xml:space="preserve">The radiologist validation and sensitivity analyses are described in our response to Reviewer 1, comment 5. We also now state explicitly in Results 2.6 that ThyroidXAgent does not lead on every submetric. Examples from Supplementary Table S15:</w:t>
      </w:r>
    </w:p>
    <w:p>
      <w:pPr>
        <w:pStyle w:val="ListParagraph"/>
        <w:numPr>
          <w:ilvl w:val="0"/>
          <w:numId w:val="2"/>
        </w:numPr>
        <w:spacing w:after="60" w:line="264"/>
      </w:pPr>
      <w:r>
        <w:t xml:space="preserve">KMVE: lower FDR for MedGemma (0.1877 vs 0.4858), higher lesion F1 for Gemini 2.5 Pro (0.4648 vs 0.3623), higher completeness for Claude-Sonnet-4.6 (0.6707 vs 0.6416) and marginally higher consistency for LLaVA-Med (0.5669 vs 0.5654).</w:t>
      </w:r>
    </w:p>
    <w:p>
      <w:pPr>
        <w:pStyle w:val="ListParagraph"/>
        <w:numPr>
          <w:ilvl w:val="0"/>
          <w:numId w:val="2"/>
        </w:numPr>
        <w:spacing w:after="60" w:line="264"/>
      </w:pPr>
      <w:r>
        <w:t xml:space="preserve">ZJH-TS: higher feature accuracy for LLaVA-Med (0.6595 vs 0.5820) and higher consistency for Qwen3.5 Plus (0.4767 vs 0.4564).</w:t>
      </w:r>
    </w:p>
    <w:p>
      <w:pPr>
        <w:pStyle w:val="ListParagraph"/>
        <w:numPr>
          <w:ilvl w:val="0"/>
          <w:numId w:val="2"/>
        </w:numPr>
        <w:spacing w:after="60" w:line="264"/>
      </w:pPr>
      <w:r>
        <w:t xml:space="preserve">SMU-HMC: lower FDR for LLaVA-Med (0.1625 vs 0.2238).</w:t>
      </w:r>
    </w:p>
    <w:p>
      <w:pPr>
        <w:spacing w:after="100" w:line="276"/>
      </w:pPr>
      <w:r>
        <w:t xml:space="preserve">We discuss these differences, noting that some reflect conservative outputs that report few lesions (for example, LLaVA-Med predicted no abnormality for every KMVE case).</w:t>
      </w:r>
    </w:p>
    <w:p>
      <w:pPr>
        <w:spacing w:after="120" w:line="276"/>
      </w:pPr>
      <w:r>
        <w:rPr>
          <w:b/>
          <w:bCs/>
          <w:color w:val="2E7D32"/>
        </w:rPr>
        <w:t xml:space="preserve">Changes to the manuscript: </w:t>
      </w:r>
      <w:r>
        <w:t xml:space="preserve">Results 2.6; Methods 4.4; Fig. 4.</w:t>
      </w:r>
    </w:p>
    <w:p>
      <w:pPr>
        <w:keepNext/>
        <w:spacing w:after="80" w:before="240"/>
      </w:pPr>
      <w:r>
        <w:rPr>
          <w:b/>
          <w:bCs/>
          <w:color w:val="1F3864"/>
        </w:rPr>
        <w:t xml:space="preserve">R3 Minor 1  Different inputs for baselines</w:t>
      </w:r>
      <w:r>
        <w:rPr>
          <w:color w:val="7F7F7F"/>
          <w:sz w:val="19"/>
          <w:szCs w:val="19"/>
        </w:rPr>
        <w:t xml:space="preserve">   Owner: </w:t>
      </w:r>
      <w:r>
        <w:rPr>
          <w:b/>
          <w:bCs/>
          <w:color w:val="7F7F7F"/>
          <w:sz w:val="19"/>
          <w:szCs w:val="19"/>
        </w:rPr>
        <w:t xml:space="preserve">Shiyu</w:t>
      </w:r>
    </w:p>
    <w:p>
      <w:pPr>
        <w:pBdr>
          <w:left w:val="single" w:color="1F3864" w:sz="18" w:space="6"/>
        </w:pBdr>
        <w:shd w:fill="EEF1F6" w:color="auto" w:val="clear"/>
        <w:spacing w:after="120" w:line="264"/>
        <w:ind w:left="200"/>
      </w:pPr>
      <w:r>
        <w:rPr>
          <w:i/>
          <w:iCs/>
          <w:color w:val="404040"/>
          <w:sz w:val="20"/>
          <w:szCs w:val="20"/>
        </w:rPr>
        <w:t xml:space="preserve">ThyroidXAgent receives structured outputs from multiple specialized tools, whereas several multimodal LLM baselines appear to work more directly from images. The manuscript should clarify this difference and avoid interpreting these comparisons as a pure test of language-generation ability.</w:t>
      </w:r>
    </w:p>
    <w:p>
      <w:pPr>
        <w:spacing w:after="100" w:line="276"/>
      </w:pPr>
      <w:r>
        <w:rPr>
          <w:b/>
          <w:bCs/>
        </w:rPr>
        <w:t xml:space="preserve">Response: </w:t>
      </w:r>
      <w:r>
        <w:t xml:space="preserve">We agree. We now state in Results 2.6 and Methods that the multimodal LLM baselines received </w:t>
      </w:r>
      <w:r>
        <w:rPr>
          <w:highlight w:val="yellow"/>
          <w:highlightCs w:val="yellow"/>
        </w:rPr>
        <w:t xml:space="preserve">[images and a standardised prompt]</w:t>
      </w:r>
      <w:r>
        <w:t xml:space="preserve">, whereas ThyroidXAgent received structured tool evidence, so the comparison evaluates complete systems rather than language generation alone. To separate the two, we added an evidence-to-text control in which </w:t>
      </w:r>
      <w:r>
        <w:rPr>
          <w:highlight w:val="yellow"/>
          <w:highlightCs w:val="yellow"/>
        </w:rPr>
        <w:t xml:space="preserve">[GPT-5 and Qwen3.5 Plus]</w:t>
      </w:r>
      <w:r>
        <w:t xml:space="preserve"> receive the same structured evidence object as ThyroidXAgent and write the report themselves. </w:t>
      </w:r>
      <w:r>
        <w:rPr>
          <w:highlight w:val="yellow"/>
          <w:highlightCs w:val="yellow"/>
        </w:rPr>
        <w:t xml:space="preserve">[Results: …]</w:t>
      </w:r>
      <w:r>
        <w:t xml:space="preserve">.</w:t>
      </w:r>
    </w:p>
    <w:p>
      <w:pPr>
        <w:spacing w:after="120" w:line="276"/>
      </w:pPr>
      <w:r>
        <w:rPr>
          <w:b/>
          <w:bCs/>
          <w:color w:val="2E7D32"/>
        </w:rPr>
        <w:t xml:space="preserve">Changes to the manuscript: </w:t>
      </w:r>
      <w:r>
        <w:t xml:space="preserve">Results 2.6; Methods; Supplementary Tables S14–S15.</w:t>
      </w:r>
    </w:p>
    <w:p>
      <w:pPr>
        <w:spacing w:after="120" w:line="276"/>
      </w:pPr>
    </w:p>
    <w:p>
      <w:pPr>
        <w:spacing w:after="120" w:line="276"/>
      </w:pPr>
      <w:r>
        <w:t xml:space="preserve">We thank the reviewers again for their time and insightful comments, which have substantially strengthened the manuscript.</w:t>
      </w:r>
    </w:p>
    <w:p>
      <w:pPr>
        <w:spacing w:after="120" w:line="276"/>
      </w:pPr>
      <w:r>
        <w:t xml:space="preserve">Sincerely,</w:t>
      </w:r>
    </w:p>
    <w:p>
      <w:pPr>
        <w:spacing w:after="120" w:line="276"/>
      </w:pPr>
      <w:r>
        <w:rPr>
          <w:highlight w:val="yellow"/>
          <w:highlightCs w:val="yellow"/>
        </w:rPr>
        <w:t xml:space="preserve">[Corresponding authors]</w:t>
      </w:r>
      <w:r>
        <w:t xml:space="preserve">, on behalf of all authors</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ThyroidXAgent revision — internal draft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ThyroidXAgent revision plan and response</dc:title>
  <dc:creator>ThyroidXAgent team</dc:creator>
  <cp:lastModifiedBy>Un-named</cp:lastModifiedBy>
  <cp:revision>1</cp:revision>
  <dcterms:created xsi:type="dcterms:W3CDTF">2026-10-09T04:54:21.647Z</dcterms:created>
  <dcterms:modified xsi:type="dcterms:W3CDTF">2026-10-09T04:54:21.648Z</dcterms:modified>
</cp:coreProperties>
</file>

<file path=docProps/custom.xml><?xml version="1.0" encoding="utf-8"?>
<Properties xmlns="http://schemas.openxmlformats.org/officeDocument/2006/custom-properties" xmlns:vt="http://schemas.openxmlformats.org/officeDocument/2006/docPropsVTypes"/>
</file>