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1A1A1A"/>
          <w:sz w:val="40"/>
          <w:szCs w:val="40"/>
        </w:rPr>
        <w:t xml:space="preserve">Jason Herring</w:t>
      </w:r>
    </w:p>
    <w:p>
      <w:pPr>
        <w:spacing w:after="60"/>
      </w:pPr>
      <w:r>
        <w:rPr>
          <w:color w:val="1A1A1A"/>
          <w:spacing w:val="10"/>
          <w:sz w:val="22"/>
          <w:szCs w:val="22"/>
        </w:rPr>
        <w:t xml:space="preserve">Design Technologist / Principal — Creative Engineer</w:t>
      </w:r>
    </w:p>
    <w:p>
      <w:pPr>
        <w:pBdr>
          <w:bottom w:val="single" w:color="1A1A1A" w:sz="10" w:space="6"/>
        </w:pBdr>
        <w:spacing w:after="40"/>
      </w:pPr>
      <w:r>
        <w:rPr>
          <w:color w:val="555555"/>
          <w:sz w:val="18"/>
          <w:szCs w:val="18"/>
        </w:rPr>
        <w:t xml:space="preserve">San Francisco, CA   ·   jason@ordinarykids.com   ·   otherstori.es   ·   linkedin.com/in/ok-jason-herring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SUMMARY</w:t>
      </w:r>
    </w:p>
    <w:p>
      <w:pPr>
        <w:spacing w:after="40"/>
      </w:pPr>
      <w:r>
        <w:rPr>
          <w:color w:val="1A1A1A"/>
          <w:sz w:val="20"/>
          <w:szCs w:val="20"/>
        </w:rPr>
        <w:t xml:space="preserve">Principal-level design technologist who ships — I write the code and direct the creative. 20+ years at the seam of design and engineering, now leading AI prototyping on Intuit’s Foresight team: conversational and voice interfaces, real-time personality engines, and agentic systems. Built and shipped Intuit Labs (public beta to 1M+ users) and its first experiment, Delphi (delphi.intuit.com).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CORE SKILLS</w:t>
      </w:r>
    </w:p>
    <w:p>
      <w:pPr>
        <w:spacing w:after="40"/>
      </w:pPr>
      <w:r>
        <w:rPr>
          <w:color w:val="1A1A1A"/>
          <w:sz w:val="20"/>
          <w:szCs w:val="20"/>
        </w:rPr>
        <w:t xml:space="preserve">Design Engineering &amp; Creative Technology  ·  Conversational &amp; Voice AI  ·  Generative AI, LLMs, RAG &amp; Prompt Engineering  ·  Agentic / Multi-Agent Systems  ·  Real-Time Voice Pipelines (Vapi, LiveKit, Hume, HeyGen)  ·  Product Design, UX &amp; Design Systems (Figma)  ·  Web Design / Art Direction / Visual Design  ·  Motion &amp; Interaction Design  ·  Front-End Engineering (React, Next.js, TypeScript)  ·  Node.js / Python / API Design / Real-Time Systems  ·  Creative Direction &amp; Brand Vision  ·  Creative Strategy &amp; Concept Development  ·  Rapid Prototyping &amp; High-Fidelity Provocation  ·  Executive Demos &amp; Design Leadership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EXPERIENCE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Intuit — Senior Staff Design Technologist — Foresight (AI)</w:t>
      </w:r>
      <w:r>
        <w:rPr>
          <w:color w:val="555555"/>
          <w:sz w:val="18"/>
          <w:szCs w:val="18"/>
        </w:rPr>
        <w:t xml:space="preserve">	Apr 2024 – Present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Mountain View, CA · Key builder on Foresight, a 100+ person AI innovation team reporting into the Chief AI Officer org. Promoted Staff → Senior Staff; served as Group Manager (Feb–Jun 2026) before returning to a senior IC leadership track to keep building.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Shipped Intuit Labs (labs.intuit.com/ai) — the platform that turns AI innovation prototypes into shipping product — live in public beta to 1M+ international users, with rollout to all of QuickBooks underway.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both the site and the strategy behind Labs, defining how experiments graduate from speculative demo to guest-facing feature.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Developed Labs’ first experiment, Delphi (delphi.intuit.com) — financial general intelligence that turns QuickBooks data into forward-looking advisory recommendations.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Launched QuickBooks Labs, an internal experimentation surface embedded directly inside QuickBooks proper.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Lead R&amp;D on emerging technology as it lands — generative AI, real-time voice, and AI personality/emotion detection (Hume); built a real-time AI personality engine from scratch on ultra-low-latency pipelines (Vapi, Hume, LiveKit, HeyGen).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demos at executive forums and summits, and built org-wide AI-literacy workshops (Demystifying Python, Shipping Conversations, AI Avatars &amp; Voice).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Aleph — Director of Design &amp; Technology</w:t>
      </w:r>
      <w:r>
        <w:rPr>
          <w:color w:val="555555"/>
          <w:sz w:val="18"/>
          <w:szCs w:val="18"/>
        </w:rPr>
        <w:t xml:space="preserve">	Mar 2020 – Apr 2024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Creative and technical leadership for an enterprise development studio (React, React Native, Node, WordPress).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Grew annual revenue 85%+ over four years through new-client acquisition and expanded scopes.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Directed a Helix clinical-trials mobile app — notifications, dashboards, and protocol-compliance tools — lifting user-acquisition success 22%.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Built and led a team of 8 engineers and 3 designers; introduced AI workflows (ChatGPT, Midjourney, Stable Diffusion) into design and delivery.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KQED — Lead UX Designer → Director of Digital Design &amp; Development</w:t>
      </w:r>
      <w:r>
        <w:rPr>
          <w:color w:val="555555"/>
          <w:sz w:val="18"/>
          <w:szCs w:val="18"/>
        </w:rPr>
        <w:t xml:space="preserve">	Jan 2015 – Mar 2020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Joined as Lead UX Designer and promoted to Director — from hands-on product design to leading the design and technology that transformed KQED.org for millions of listeners and readers.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The Listening Project: led a complete redesign of KQED Radio, News, Arts, Science, and the homepage — persistent audio player, flexible editorial content system, and a real-time “trending” experience.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2016 Election Voter Guide: shipped one of public media’s first single-page apps (WordPress → Elasticsearch + React), adopted as a model across NPR member stations; the election dashboard drew 1M+ views on election night.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Led the multi-year KQED.org redesign and migrated a large WordPress CMS from AWS to Kubernetes on Google Cloud — canary deploys and instant rollbacks, powering hundreds of thousands of articles and partner feeds (NPR, Apple News, Google News).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Designed automated audio workflows for Alexa, Google Assistant, and NPR One; built real-time 2018 election infrastructure across every Bay Area county.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OrdinaryKids — Founder &amp; Creative Director</w:t>
      </w:r>
      <w:r>
        <w:rPr>
          <w:color w:val="555555"/>
          <w:sz w:val="18"/>
          <w:szCs w:val="18"/>
        </w:rPr>
        <w:t xml:space="preserve">	Jan 2001 – Jan 2015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Founded and ran a generative-art and creative-technology studio for 13 years — a small team treating code as a creative medium, and a hub of the SF interactive design scene.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Pioneered generative and interactive work in ActionScript, Processing, and early creative-coding tools — custom code-driven visual systems, generative type and identity, and audio-reactive experiences years before “creative technology” was a discipline.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Delivered flagship brand work for Nike (Skateboarding, Running, Sportswear), Adidas Skateboarding, and Brita, alongside cultural projects for MoMA, Stüssy, HUF, Tracy Chapman, and Aesop Rock — including the “None Shall Pass” music video.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Recognized with How Magazine Best of Show, a Communication Arts Interactive Annual cover, and FWA Site of the Day honors; work archived in Taschen’s History of Web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Ran a small, tight studio that anchored the SF design scene and launched a generation of Bay Area design and creative-technology careers.</w:t>
      </w:r>
    </w:p>
    <w:p>
      <w:pPr>
        <w:tabs>
          <w:tab w:val="right" w:pos="10080"/>
        </w:tabs>
        <w:spacing w:after="0" w:before="150"/>
      </w:pPr>
      <w:r>
        <w:rPr>
          <w:b/>
          <w:bCs/>
          <w:color w:val="1A1A1A"/>
          <w:sz w:val="21"/>
          <w:szCs w:val="21"/>
        </w:rPr>
        <w:t xml:space="preserve">DualForces — Partner &amp; Creative Director</w:t>
      </w:r>
      <w:r>
        <w:rPr>
          <w:color w:val="555555"/>
          <w:sz w:val="18"/>
          <w:szCs w:val="18"/>
        </w:rPr>
        <w:t xml:space="preserve">	Sep 2010 – Dec 2013</w:t>
      </w:r>
    </w:p>
    <w:p>
      <w:pPr>
        <w:spacing w:after="60" w:before="20"/>
      </w:pPr>
      <w:r>
        <w:rPr>
          <w:i/>
          <w:iCs/>
          <w:color w:val="555555"/>
          <w:sz w:val="19"/>
          <w:szCs w:val="19"/>
        </w:rPr>
        <w:t xml:space="preserve">San Francisco, CA · Concurrent with OrdinaryKids.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1A1A1A"/>
          <w:sz w:val="20"/>
          <w:szCs w:val="20"/>
        </w:rPr>
        <w:t xml:space="preserve">Creative-directed the Nike Free visual center — the first public use of real Nike+ data in a campaign — and ran the Nike FuelBand NYC activation (60+ events in 90 days).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EDUCATION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University of South Florida</w:t>
      </w:r>
      <w:r>
        <w:rPr>
          <w:color w:val="1A1A1A"/>
          <w:sz w:val="20"/>
          <w:szCs w:val="20"/>
        </w:rPr>
        <w:t xml:space="preserve"> — English Literature</w:t>
      </w:r>
    </w:p>
    <w:p>
      <w:pPr>
        <w:spacing w:after="20"/>
      </w:pPr>
      <w:r>
        <w:rPr>
          <w:b/>
          <w:bCs/>
          <w:color w:val="1A1A1A"/>
          <w:sz w:val="20"/>
          <w:szCs w:val="20"/>
        </w:rPr>
        <w:t xml:space="preserve">Hillsborough Community College</w:t>
      </w:r>
      <w:r>
        <w:rPr>
          <w:color w:val="1A1A1A"/>
          <w:sz w:val="20"/>
          <w:szCs w:val="20"/>
        </w:rPr>
        <w:t xml:space="preserve"> — Associate of Arts</w:t>
      </w:r>
    </w:p>
    <w:p>
      <w:pPr>
        <w:pBdr>
          <w:bottom w:val="single" w:color="BBBBBB" w:sz="6" w:space="2"/>
        </w:pBdr>
        <w:spacing w:after="120" w:before="260"/>
      </w:pPr>
      <w:r>
        <w:rPr>
          <w:b/>
          <w:bCs/>
          <w:color w:val="1A1A1A"/>
          <w:spacing w:val="30"/>
          <w:sz w:val="19"/>
          <w:szCs w:val="19"/>
        </w:rPr>
        <w:t xml:space="preserve">AWARDS &amp; RECOGNITION</w:t>
      </w:r>
    </w:p>
    <w:p>
      <w:r>
        <w:rPr>
          <w:color w:val="1A1A1A"/>
          <w:sz w:val="20"/>
          <w:szCs w:val="20"/>
        </w:rPr>
        <w:t xml:space="preserve">How Magazine, Best of Show (Interactive Annual)  ·  Cover, Communication Arts Interactive Annual  ·  Print Magazine  ·  FWA Site of the Day (multiple)  ·  Featured in Taschen’s History of Web Design</w:t>
      </w:r>
    </w:p>
    <w:sectPr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00"/>
      </w:pPr>
      <w:rPr>
        <w:color w:val="5555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2026-07-19T16:22:36.291Z</dcterms:created>
  <dcterms:modified xsi:type="dcterms:W3CDTF">2026-07-19T16:22:36.292Z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