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This loan supports the acquisition of an industrial property.</w:t>
      </w:r>
    </w:p>
    <w:p>
      <w:pPr>
        <w:pStyle w:val="Heading1"/>
      </w:pPr>
      <w:r>
        <w:t>Financial Analysis</w:t>
      </w:r>
    </w:p>
    <w:p>
      <w:r>
        <w:t>The DSCR covenant threshold is 1.20x per the credit agreement.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LTV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