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1F1F"/>
          <w:sz w:val="40"/>
          <w:szCs w:val="40"/>
        </w:rPr>
        <w:t xml:space="preserve">Vantage intake and orchestration: summary</w:t>
      </w:r>
    </w:p>
    <w:p>
      <w:pPr>
        <w:pBdr>
          <w:bottom w:val="single" w:color="BFBFBF" w:sz="4" w:space="6"/>
        </w:pBdr>
        <w:spacing w:after="2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Stephen Costello · Credit Risk Review · 18 September 2026 · Companion to the concept paper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One intake, two lanes, one orchestrator. Files are classified by content shape at upload: documents flow through DEEP; tabular data (CSV, Excel) flows through a profiling path built for it. At question time a planner routes each question to the cheapest machinery that can answer it with receipts. The same construction serves a three-column tracking sheet and portfolio-wide scenario screening, and the tailoring per use case lives in configuration, not code.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Why tabular data needs its own lane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CSV is not a document; it is a database that has not been loaded yet. Meaning lives in the schema and in relationships across cells, so embedding raw rows produces near-identical vectors, cannot answer computed questions ("how many", "what share"), and is slow and expensive at scale. The fix is to route by question kind: the LLM stops reading the content and starts writing the program that reads it.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kind</w:t>
            </w:r>
          </w:p>
        </w:tc>
        <w:tc>
          <w:tcPr>
            <w:tcW w:type="dxa" w:w="3931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557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 machinery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Computational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"Nominal and % of portfolio exposure with customer concentration above 20%"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writes a query; DuckDB executes it deterministically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Lookup / fuzzy match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"Find the entry about the watch supplier"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Hybrid search over selectively serialized rows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Semantic over free text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"Which comments mention covenant concerns?"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Embed the text-rich columns only; structured columns become filters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Intake: everything expensive happens once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At upload, a content-shape classifier assigns each file (or sheet) to a lane; extension is only the prior. Tabular units are profiled into a schema card (column roles, types, cardinality, language mix; a few hundred tokens regardless of row count), the analyst confirms the interpretation once, and semantic units are constructed from free-text fields plus disambiguating row context under a versioned Semantic Unit Specification, then embedded with one multilingual model. The index is a derived, rebuildable artifact; the uploaded file stays the authoritative data.</w:t>
      </w:r>
    </w:p>
    <w:p>
      <w:pPr>
        <w:spacing w:after="200" w:before="120"/>
        <w:jc w:val="center"/>
      </w:pPr>
      <w:r>
        <w:drawing>
          <wp:inline distT="0" distB="0" distL="0" distR="0">
            <wp:extent cx="59436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</w:p>
        </w:tc>
        <w:tc>
          <w:tcPr>
            <w:tcW w:type="dxa" w:w="3931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lane</w:t>
            </w:r>
          </w:p>
        </w:tc>
        <w:tc>
          <w:tcPr>
            <w:tcW w:type="dxa" w:w="3557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Tabular lane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PDF, Word, narrative sheets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CSV, Excel sheets, table-extract PDFs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Recovered by DEEP parsing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Given; captured as a schema card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Hybrid over chunks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over columns + semantic over text columns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Provenance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Document, page, source text, location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Executed query, returned rows, classification table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Question time: a router, not a pipeline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planner reads the cached schema card and dispatches only what the question needs. Stated predicates that map to columns go straight to SQL. Judgment terms ("impacted by rare-earth tariffs") trigger two independent passes run in parallel: a categorical pass over distinct values (which prioritizes but never excludes; banks, funds, and holdcos land in an indeterminate tier by rule) and a semantic pass over all free text. Their union is adjudicated per row with a text-grounded reason, producing three tiers: exposed, not exposed, and indeterminate, the last reported as a quantified caveat beside the answer. Analyst edits to the classification table re-run only the deterministic aggregate.</w:t>
      </w:r>
    </w:p>
    <w:p>
      <w:pPr>
        <w:spacing w:after="200" w:before="120"/>
        <w:jc w:val="center"/>
      </w:pPr>
      <w:r>
        <w:drawing>
          <wp:inline distT="0" distB="0" distL="0" distR="0">
            <wp:extent cx="5943600" cy="751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Exactly four LLM judgment points exist; everything between them is plain, auditable code.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W w:type="dxa" w:w="1872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931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Judgment</w:t>
            </w:r>
          </w:p>
        </w:tc>
        <w:tc>
          <w:tcPr>
            <w:tcW w:type="dxa" w:w="3557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Artifact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machinery the question needs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plan, shown with the answer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Classifier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Categorical pass over distinct values, concept-level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Tiered value classification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Adjudicator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Evidence-backed call per candidate row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Reasoned call per name, editable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writer</w:t>
            </w:r>
          </w:p>
        </w:tc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Translate intent to SQL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query, executed deterministically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Why it is safe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Every answer ships with receipts: the executed query and returned rows for computed answers; the plan, tiered classification, and per-name reasoned calls for judgment answers; the confirmed schema mapping and specification version for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Nothing is excluded by a model judgment alone; the only route out of scope runs through the adjudicator with a reason.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file's silence is quantified, not guessed over, matching the platform rule that an untraceable answer does not enter a deliverable.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Evaluation is sliced per language (DE/FR/IT/EN) and per question kind; ambiguity (unmappable terms, mixed currencies) escalates to the analyst.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Decided: the schema card is a first-class platform object, cached and reused; the content-shape classifier is a central service-layer capability invoked per use-case configuration, with profiling starting asynchronously at upload.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Decided: uploaded tabular files follow the same intake permissions shape as documents; open whether those attributes and tabular artifacts are retained in the central storage layer or only application-side.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Open: confirm the embedding model is multilingual and request the per-language retrieval evaluation.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Open: integration shape for the PICH rating-database check (export and join vs. governed connector).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Deferred: risk-posture configuration fields, candidate for a 2H27 release.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7248b1e9722b95c13f99c702f1521b1d0b6895.png"/><Relationship Id="rId8" Type="http://schemas.openxmlformats.org/officeDocument/2006/relationships/image" Target="media/602d67cff73a1f0e69177ffd0b88d5e27d33d9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2026-09-18T18:36:26.463Z</dcterms:created>
  <dcterms:modified xsi:type="dcterms:W3CDTF">2026-09-18T18:36:26.463Z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