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Credit Risk Review: The Analyst’s Process at a Glance</w:t>
      </w:r>
    </w:p>
    <w:p>
      <w:pPr>
        <w:spacing w:after="240"/>
      </w:pPr>
      <w:r>
        <w:rPr>
          <w:rFonts w:ascii="Arial" w:cs="Arial" w:eastAsia="Arial" w:hAnsi="Arial"/>
          <w:i/>
          <w:iCs/>
          <w:color w:val="666666"/>
          <w:sz w:val="19"/>
          <w:szCs w:val="19"/>
        </w:rPr>
        <w:t xml:space="preserve">Short-form user journey for IT planning · Sentinel shared capability platform · DRAFT — August 20, 2026</w:t>
      </w:r>
    </w:p>
    <w:p>
      <w:pPr>
        <w:pStyle w:val="Heading1"/>
        <w:spacing w:after="100" w:before="240"/>
      </w:pPr>
      <w:r>
        <w:rPr>
          <w:rFonts w:ascii="Arial" w:cs="Arial" w:eastAsia="Arial" w:hAnsi="Arial"/>
          <w:b/>
          <w:bCs/>
          <w:color w:val="1F3864"/>
          <w:sz w:val="24"/>
          <w:szCs w:val="24"/>
        </w:rPr>
        <w:t xml:space="preserve">Purpose</w:t>
      </w:r>
    </w:p>
    <w:p>
      <w:pPr>
        <w:spacing w:after="120"/>
      </w:pPr>
      <w:r>
        <w:rPr>
          <w:rFonts w:ascii="Arial" w:cs="Arial" w:eastAsia="Arial" w:hAnsi="Arial"/>
          <w:sz w:val="21"/>
          <w:szCs w:val="21"/>
        </w:rPr>
        <w:t xml:space="preserve">This one-pager gives the platform team a working picture of what a Credit Risk Review (CRR) analyst actually does, end to end, so build planning can be grounded in the real process. A detailed end-user process walkthrough will follow; treat this as the orientation, not the specification.</w:t>
      </w:r>
    </w:p>
    <w:p>
      <w:pPr>
        <w:pStyle w:val="Heading1"/>
        <w:spacing w:after="100" w:before="240"/>
      </w:pPr>
      <w:r>
        <w:rPr>
          <w:rFonts w:ascii="Arial" w:cs="Arial" w:eastAsia="Arial" w:hAnsi="Arial"/>
          <w:b/>
          <w:bCs/>
          <w:color w:val="1F3864"/>
          <w:sz w:val="24"/>
          <w:szCs w:val="24"/>
        </w:rPr>
        <w:t xml:space="preserve">The role in one paragraph</w:t>
      </w:r>
    </w:p>
    <w:p>
      <w:pPr>
        <w:spacing w:after="120"/>
      </w:pPr>
      <w:r>
        <w:rPr>
          <w:rFonts w:ascii="Arial" w:cs="Arial" w:eastAsia="Arial" w:hAnsi="Arial"/>
          <w:sz w:val="21"/>
          <w:szCs w:val="21"/>
        </w:rPr>
        <w:t xml:space="preserve">Credit Risk Review is the bank’s independent check on credit quality after loans are approved. Analysts examine samples of the loan portfolio, form their own view of each borrower’s condition and each loan’s risk rating, test compliance with credit policy, and report what they find to management and the board. The analyst’s core work product is the workpaper: a documented analysis supporting every conclusion. Independence matters — CRR reaches its own conclusions rather than re-approving the line’s.</w:t>
      </w:r>
    </w:p>
    <w:p>
      <w:pPr>
        <w:pStyle w:val="Heading1"/>
        <w:spacing w:after="100" w:before="240"/>
      </w:pPr>
      <w:r>
        <w:rPr>
          <w:rFonts w:ascii="Arial" w:cs="Arial" w:eastAsia="Arial" w:hAnsi="Arial"/>
          <w:b/>
          <w:bCs/>
          <w:color w:val="1F3864"/>
          <w:sz w:val="24"/>
          <w:szCs w:val="24"/>
        </w:rPr>
        <w:t xml:space="preserve">The analyst’s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460"/>
        <w:gridCol w:w="2500"/>
      </w:tblGrid>
      <w:tr>
        <w:trPr>
          <w:tblHeader/>
        </w:trPr>
        <w:tc>
          <w:tcPr>
            <w:tcW w:type="dxa" w:w="500"/>
            <w:shd w:fill="1F3864" w:val="clear"/>
            <w:tcMar>
              <w:top w:type="dxa" w:w="60"/>
              <w:left w:type="dxa" w:w="80"/>
              <w:bottom w:type="dxa" w:w="60"/>
              <w:right w:type="dxa" w:w="80"/>
            </w:tcMar>
          </w:tcPr>
          <w:p>
            <w:pPr>
              <w:spacing w:after="0"/>
            </w:pPr>
            <w:r>
              <w:rPr>
                <w:rFonts w:ascii="Arial" w:cs="Arial" w:eastAsia="Arial" w:hAnsi="Arial"/>
                <w:b/>
                <w:bCs/>
                <w:color w:val="FFFFFF"/>
                <w:sz w:val="19"/>
                <w:szCs w:val="19"/>
              </w:rPr>
              <w:t xml:space="preserve">#</w:t>
            </w:r>
          </w:p>
        </w:tc>
        <w:tc>
          <w:tcPr>
            <w:tcW w:type="dxa" w:w="1900"/>
            <w:shd w:fill="1F3864" w:val="clear"/>
            <w:tcMar>
              <w:top w:type="dxa" w:w="60"/>
              <w:left w:type="dxa" w:w="80"/>
              <w:bottom w:type="dxa" w:w="60"/>
              <w:right w:type="dxa" w:w="80"/>
            </w:tcMar>
          </w:tcPr>
          <w:p>
            <w:pPr>
              <w:spacing w:after="0"/>
            </w:pPr>
            <w:r>
              <w:rPr>
                <w:rFonts w:ascii="Arial" w:cs="Arial" w:eastAsia="Arial" w:hAnsi="Arial"/>
                <w:b/>
                <w:bCs/>
                <w:color w:val="FFFFFF"/>
                <w:sz w:val="19"/>
                <w:szCs w:val="19"/>
              </w:rPr>
              <w:t xml:space="preserve">Stage</w:t>
            </w:r>
          </w:p>
        </w:tc>
        <w:tc>
          <w:tcPr>
            <w:tcW w:type="dxa" w:w="4460"/>
            <w:shd w:fill="1F3864" w:val="clear"/>
            <w:tcMar>
              <w:top w:type="dxa" w:w="60"/>
              <w:left w:type="dxa" w:w="80"/>
              <w:bottom w:type="dxa" w:w="60"/>
              <w:right w:type="dxa" w:w="80"/>
            </w:tcMar>
          </w:tcPr>
          <w:p>
            <w:pPr>
              <w:spacing w:after="0"/>
            </w:pPr>
            <w:r>
              <w:rPr>
                <w:rFonts w:ascii="Arial" w:cs="Arial" w:eastAsia="Arial" w:hAnsi="Arial"/>
                <w:b/>
                <w:bCs/>
                <w:color w:val="FFFFFF"/>
                <w:sz w:val="19"/>
                <w:szCs w:val="19"/>
              </w:rPr>
              <w:t xml:space="preserve">What the analyst does</w:t>
            </w:r>
          </w:p>
        </w:tc>
        <w:tc>
          <w:tcPr>
            <w:tcW w:type="dxa" w:w="2500"/>
            <w:shd w:fill="1F3864" w:val="clear"/>
            <w:tcMar>
              <w:top w:type="dxa" w:w="60"/>
              <w:left w:type="dxa" w:w="80"/>
              <w:bottom w:type="dxa" w:w="60"/>
              <w:right w:type="dxa" w:w="80"/>
            </w:tcMar>
          </w:tcPr>
          <w:p>
            <w:pPr>
              <w:spacing w:after="0"/>
            </w:pPr>
            <w:r>
              <w:rPr>
                <w:rFonts w:ascii="Arial" w:cs="Arial" w:eastAsia="Arial" w:hAnsi="Arial"/>
                <w:b/>
                <w:bCs/>
                <w:color w:val="FFFFFF"/>
                <w:sz w:val="19"/>
                <w:szCs w:val="19"/>
              </w:rPr>
              <w:t xml:space="preserve">Inputs → outputs</w:t>
            </w:r>
          </w:p>
        </w:tc>
      </w:tr>
      <w:tr>
        <w:tc>
          <w:tcPr>
            <w:tcW w:type="dxa" w:w="500"/>
            <w:tcMar>
              <w:top w:type="dxa" w:w="60"/>
              <w:left w:type="dxa" w:w="80"/>
              <w:bottom w:type="dxa" w:w="60"/>
              <w:right w:type="dxa" w:w="80"/>
            </w:tcMar>
          </w:tcPr>
          <w:p>
            <w:pPr>
              <w:spacing w:after="0"/>
            </w:pPr>
            <w:r>
              <w:rPr>
                <w:rFonts w:ascii="Arial" w:cs="Arial" w:eastAsia="Arial" w:hAnsi="Arial"/>
                <w:b w:val="false"/>
                <w:bCs w:val="false"/>
                <w:sz w:val="19"/>
                <w:szCs w:val="19"/>
              </w:rPr>
              <w:t xml:space="preserve">1</w:t>
            </w:r>
          </w:p>
        </w:tc>
        <w:tc>
          <w:tcPr>
            <w:tcW w:type="dxa" w:w="1900"/>
            <w:tcMar>
              <w:top w:type="dxa" w:w="60"/>
              <w:left w:type="dxa" w:w="80"/>
              <w:bottom w:type="dxa" w:w="60"/>
              <w:right w:type="dxa" w:w="80"/>
            </w:tcMar>
          </w:tcPr>
          <w:p>
            <w:pPr>
              <w:spacing w:after="0"/>
            </w:pPr>
            <w:r>
              <w:rPr>
                <w:rFonts w:ascii="Arial" w:cs="Arial" w:eastAsia="Arial" w:hAnsi="Arial"/>
                <w:b/>
                <w:bCs/>
                <w:sz w:val="19"/>
                <w:szCs w:val="19"/>
              </w:rPr>
              <w:t xml:space="preserve">Annual plan &amp; scoping</w:t>
            </w:r>
          </w:p>
        </w:tc>
        <w:tc>
          <w:tcPr>
            <w:tcW w:type="dxa" w:w="4460"/>
            <w:tcMar>
              <w:top w:type="dxa" w:w="60"/>
              <w:left w:type="dxa" w:w="80"/>
              <w:bottom w:type="dxa" w:w="60"/>
              <w:right w:type="dxa" w:w="80"/>
            </w:tcMar>
          </w:tcPr>
          <w:p>
            <w:pPr>
              <w:spacing w:after="0"/>
            </w:pPr>
            <w:r>
              <w:rPr>
                <w:rFonts w:ascii="Arial" w:cs="Arial" w:eastAsia="Arial" w:hAnsi="Arial"/>
                <w:b w:val="false"/>
                <w:bCs w:val="false"/>
                <w:sz w:val="19"/>
                <w:szCs w:val="19"/>
              </w:rPr>
              <w:t xml:space="preserve">Build the risk-based review plan: portfolio segments, coverage targets, review schedule for the year.</w:t>
            </w:r>
          </w:p>
        </w:tc>
        <w:tc>
          <w:tcPr>
            <w:tcW w:type="dxa" w:w="2500"/>
            <w:tcMar>
              <w:top w:type="dxa" w:w="60"/>
              <w:left w:type="dxa" w:w="80"/>
              <w:bottom w:type="dxa" w:w="60"/>
              <w:right w:type="dxa" w:w="80"/>
            </w:tcMar>
          </w:tcPr>
          <w:p>
            <w:pPr>
              <w:spacing w:after="0"/>
            </w:pPr>
            <w:r>
              <w:rPr>
                <w:rFonts w:ascii="Arial" w:cs="Arial" w:eastAsia="Arial" w:hAnsi="Arial"/>
                <w:b w:val="false"/>
                <w:bCs w:val="false"/>
                <w:sz w:val="19"/>
                <w:szCs w:val="19"/>
              </w:rPr>
              <w:t xml:space="preserve">Portfolio data → review plan / scope memo</w:t>
            </w:r>
          </w:p>
        </w:tc>
      </w:tr>
      <w:tr>
        <w:tc>
          <w:tcPr>
            <w:tcW w:type="dxa" w:w="50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2</w:t>
            </w:r>
          </w:p>
        </w:tc>
        <w:tc>
          <w:tcPr>
            <w:tcW w:type="dxa" w:w="1900"/>
            <w:shd w:fill="F2F6FA" w:val="clear"/>
            <w:tcMar>
              <w:top w:type="dxa" w:w="60"/>
              <w:left w:type="dxa" w:w="80"/>
              <w:bottom w:type="dxa" w:w="60"/>
              <w:right w:type="dxa" w:w="80"/>
            </w:tcMar>
          </w:tcPr>
          <w:p>
            <w:pPr>
              <w:spacing w:after="0"/>
            </w:pPr>
            <w:r>
              <w:rPr>
                <w:rFonts w:ascii="Arial" w:cs="Arial" w:eastAsia="Arial" w:hAnsi="Arial"/>
                <w:b/>
                <w:bCs/>
                <w:sz w:val="19"/>
                <w:szCs w:val="19"/>
              </w:rPr>
              <w:t xml:space="preserve">Review kickoff &amp; file selection</w:t>
            </w:r>
          </w:p>
        </w:tc>
        <w:tc>
          <w:tcPr>
            <w:tcW w:type="dxa" w:w="446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For each scheduled review, select the loan sample and request materials from the line.</w:t>
            </w:r>
          </w:p>
        </w:tc>
        <w:tc>
          <w:tcPr>
            <w:tcW w:type="dxa" w:w="250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Loan trial balance / core system extract → selected sample, request list</w:t>
            </w:r>
          </w:p>
        </w:tc>
      </w:tr>
      <w:tr>
        <w:tc>
          <w:tcPr>
            <w:tcW w:type="dxa" w:w="500"/>
            <w:tcMar>
              <w:top w:type="dxa" w:w="60"/>
              <w:left w:type="dxa" w:w="80"/>
              <w:bottom w:type="dxa" w:w="60"/>
              <w:right w:type="dxa" w:w="80"/>
            </w:tcMar>
          </w:tcPr>
          <w:p>
            <w:pPr>
              <w:spacing w:after="0"/>
            </w:pPr>
            <w:r>
              <w:rPr>
                <w:rFonts w:ascii="Arial" w:cs="Arial" w:eastAsia="Arial" w:hAnsi="Arial"/>
                <w:b w:val="false"/>
                <w:bCs w:val="false"/>
                <w:sz w:val="19"/>
                <w:szCs w:val="19"/>
              </w:rPr>
              <w:t xml:space="preserve">3</w:t>
            </w:r>
          </w:p>
        </w:tc>
        <w:tc>
          <w:tcPr>
            <w:tcW w:type="dxa" w:w="1900"/>
            <w:tcMar>
              <w:top w:type="dxa" w:w="60"/>
              <w:left w:type="dxa" w:w="80"/>
              <w:bottom w:type="dxa" w:w="60"/>
              <w:right w:type="dxa" w:w="80"/>
            </w:tcMar>
          </w:tcPr>
          <w:p>
            <w:pPr>
              <w:spacing w:after="0"/>
            </w:pPr>
            <w:r>
              <w:rPr>
                <w:rFonts w:ascii="Arial" w:cs="Arial" w:eastAsia="Arial" w:hAnsi="Arial"/>
                <w:b/>
                <w:bCs/>
                <w:sz w:val="19"/>
                <w:szCs w:val="19"/>
              </w:rPr>
              <w:t xml:space="preserve">Assemble the credit file</w:t>
            </w:r>
          </w:p>
        </w:tc>
        <w:tc>
          <w:tcPr>
            <w:tcW w:type="dxa" w:w="4460"/>
            <w:tcMar>
              <w:top w:type="dxa" w:w="60"/>
              <w:left w:type="dxa" w:w="80"/>
              <w:bottom w:type="dxa" w:w="60"/>
              <w:right w:type="dxa" w:w="80"/>
            </w:tcMar>
          </w:tcPr>
          <w:p>
            <w:pPr>
              <w:spacing w:after="0"/>
            </w:pPr>
            <w:r>
              <w:rPr>
                <w:rFonts w:ascii="Arial" w:cs="Arial" w:eastAsia="Arial" w:hAnsi="Arial"/>
                <w:b w:val="false"/>
                <w:bCs w:val="false"/>
                <w:sz w:val="19"/>
                <w:szCs w:val="19"/>
              </w:rPr>
              <w:t xml:space="preserve">Gather approval memos, financial statements and spreads, collateral valuations / appraisals, loan agreements, and correspondence for each credit.</w:t>
            </w:r>
          </w:p>
        </w:tc>
        <w:tc>
          <w:tcPr>
            <w:tcW w:type="dxa" w:w="2500"/>
            <w:tcMar>
              <w:top w:type="dxa" w:w="60"/>
              <w:left w:type="dxa" w:w="80"/>
              <w:bottom w:type="dxa" w:w="60"/>
              <w:right w:type="dxa" w:w="80"/>
            </w:tcMar>
          </w:tcPr>
          <w:p>
            <w:pPr>
              <w:spacing w:after="0"/>
            </w:pPr>
            <w:r>
              <w:rPr>
                <w:rFonts w:ascii="Arial" w:cs="Arial" w:eastAsia="Arial" w:hAnsi="Arial"/>
                <w:b w:val="false"/>
                <w:bCs w:val="false"/>
                <w:sz w:val="19"/>
                <w:szCs w:val="19"/>
              </w:rPr>
              <w:t xml:space="preserve">Source documents → complete review file</w:t>
            </w:r>
          </w:p>
        </w:tc>
      </w:tr>
      <w:tr>
        <w:tc>
          <w:tcPr>
            <w:tcW w:type="dxa" w:w="50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4</w:t>
            </w:r>
          </w:p>
        </w:tc>
        <w:tc>
          <w:tcPr>
            <w:tcW w:type="dxa" w:w="1900"/>
            <w:shd w:fill="F2F6FA" w:val="clear"/>
            <w:tcMar>
              <w:top w:type="dxa" w:w="60"/>
              <w:left w:type="dxa" w:w="80"/>
              <w:bottom w:type="dxa" w:w="60"/>
              <w:right w:type="dxa" w:w="80"/>
            </w:tcMar>
          </w:tcPr>
          <w:p>
            <w:pPr>
              <w:spacing w:after="0"/>
            </w:pPr>
            <w:r>
              <w:rPr>
                <w:rFonts w:ascii="Arial" w:cs="Arial" w:eastAsia="Arial" w:hAnsi="Arial"/>
                <w:b/>
                <w:bCs/>
                <w:sz w:val="19"/>
                <w:szCs w:val="19"/>
              </w:rPr>
              <w:t xml:space="preserve">Analyze the credit</w:t>
            </w:r>
          </w:p>
        </w:tc>
        <w:tc>
          <w:tcPr>
            <w:tcW w:type="dxa" w:w="446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Assess repayment capacity, collateral coverage, guarantor support, covenant compliance, and policy / documentation exceptions. Reading- and analysis-heavy.</w:t>
            </w:r>
          </w:p>
        </w:tc>
        <w:tc>
          <w:tcPr>
            <w:tcW w:type="dxa" w:w="250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Review file → analysis notes</w:t>
            </w:r>
          </w:p>
        </w:tc>
      </w:tr>
      <w:tr>
        <w:tc>
          <w:tcPr>
            <w:tcW w:type="dxa" w:w="500"/>
            <w:tcMar>
              <w:top w:type="dxa" w:w="60"/>
              <w:left w:type="dxa" w:w="80"/>
              <w:bottom w:type="dxa" w:w="60"/>
              <w:right w:type="dxa" w:w="80"/>
            </w:tcMar>
          </w:tcPr>
          <w:p>
            <w:pPr>
              <w:spacing w:after="0"/>
            </w:pPr>
            <w:r>
              <w:rPr>
                <w:rFonts w:ascii="Arial" w:cs="Arial" w:eastAsia="Arial" w:hAnsi="Arial"/>
                <w:b w:val="false"/>
                <w:bCs w:val="false"/>
                <w:sz w:val="19"/>
                <w:szCs w:val="19"/>
              </w:rPr>
              <w:t xml:space="preserve">5</w:t>
            </w:r>
          </w:p>
        </w:tc>
        <w:tc>
          <w:tcPr>
            <w:tcW w:type="dxa" w:w="1900"/>
            <w:tcMar>
              <w:top w:type="dxa" w:w="60"/>
              <w:left w:type="dxa" w:w="80"/>
              <w:bottom w:type="dxa" w:w="60"/>
              <w:right w:type="dxa" w:w="80"/>
            </w:tcMar>
          </w:tcPr>
          <w:p>
            <w:pPr>
              <w:spacing w:after="0"/>
            </w:pPr>
            <w:r>
              <w:rPr>
                <w:rFonts w:ascii="Arial" w:cs="Arial" w:eastAsia="Arial" w:hAnsi="Arial"/>
                <w:b/>
                <w:bCs/>
                <w:sz w:val="19"/>
                <w:szCs w:val="19"/>
              </w:rPr>
              <w:t xml:space="preserve">Assess the risk rating</w:t>
            </w:r>
          </w:p>
        </w:tc>
        <w:tc>
          <w:tcPr>
            <w:tcW w:type="dxa" w:w="4460"/>
            <w:tcMar>
              <w:top w:type="dxa" w:w="60"/>
              <w:left w:type="dxa" w:w="80"/>
              <w:bottom w:type="dxa" w:w="60"/>
              <w:right w:type="dxa" w:w="80"/>
            </w:tcMar>
          </w:tcPr>
          <w:p>
            <w:pPr>
              <w:spacing w:after="0"/>
            </w:pPr>
            <w:r>
              <w:rPr>
                <w:rFonts w:ascii="Arial" w:cs="Arial" w:eastAsia="Arial" w:hAnsi="Arial"/>
                <w:b w:val="false"/>
                <w:bCs w:val="false"/>
                <w:sz w:val="19"/>
                <w:szCs w:val="19"/>
              </w:rPr>
              <w:t xml:space="preserve">Conclude on the assigned risk rating — concur, or recommend upgrade / downgrade — against the bank’s rating definitions. Analyst judgment.</w:t>
            </w:r>
          </w:p>
        </w:tc>
        <w:tc>
          <w:tcPr>
            <w:tcW w:type="dxa" w:w="2500"/>
            <w:tcMar>
              <w:top w:type="dxa" w:w="60"/>
              <w:left w:type="dxa" w:w="80"/>
              <w:bottom w:type="dxa" w:w="60"/>
              <w:right w:type="dxa" w:w="80"/>
            </w:tcMar>
          </w:tcPr>
          <w:p>
            <w:pPr>
              <w:spacing w:after="0"/>
            </w:pPr>
            <w:r>
              <w:rPr>
                <w:rFonts w:ascii="Arial" w:cs="Arial" w:eastAsia="Arial" w:hAnsi="Arial"/>
                <w:b w:val="false"/>
                <w:bCs w:val="false"/>
                <w:sz w:val="19"/>
                <w:szCs w:val="19"/>
              </w:rPr>
              <w:t xml:space="preserve">Analysis + rating definitions → rating conclusion</w:t>
            </w:r>
          </w:p>
        </w:tc>
      </w:tr>
      <w:tr>
        <w:tc>
          <w:tcPr>
            <w:tcW w:type="dxa" w:w="50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6</w:t>
            </w:r>
          </w:p>
        </w:tc>
        <w:tc>
          <w:tcPr>
            <w:tcW w:type="dxa" w:w="1900"/>
            <w:shd w:fill="F2F6FA" w:val="clear"/>
            <w:tcMar>
              <w:top w:type="dxa" w:w="60"/>
              <w:left w:type="dxa" w:w="80"/>
              <w:bottom w:type="dxa" w:w="60"/>
              <w:right w:type="dxa" w:w="80"/>
            </w:tcMar>
          </w:tcPr>
          <w:p>
            <w:pPr>
              <w:spacing w:after="0"/>
            </w:pPr>
            <w:r>
              <w:rPr>
                <w:rFonts w:ascii="Arial" w:cs="Arial" w:eastAsia="Arial" w:hAnsi="Arial"/>
                <w:b/>
                <w:bCs/>
                <w:sz w:val="19"/>
                <w:szCs w:val="19"/>
              </w:rPr>
              <w:t xml:space="preserve">Draft the workpaper</w:t>
            </w:r>
          </w:p>
        </w:tc>
        <w:tc>
          <w:tcPr>
            <w:tcW w:type="dxa" w:w="446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Document the analysis, conclusions, and exceptions in the workpaper / line sheet for that review type. Drafting-heavy.</w:t>
            </w:r>
          </w:p>
        </w:tc>
        <w:tc>
          <w:tcPr>
            <w:tcW w:type="dxa" w:w="250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Analysis + template → draft workpaper</w:t>
            </w:r>
          </w:p>
        </w:tc>
      </w:tr>
      <w:tr>
        <w:tc>
          <w:tcPr>
            <w:tcW w:type="dxa" w:w="500"/>
            <w:tcMar>
              <w:top w:type="dxa" w:w="60"/>
              <w:left w:type="dxa" w:w="80"/>
              <w:bottom w:type="dxa" w:w="60"/>
              <w:right w:type="dxa" w:w="80"/>
            </w:tcMar>
          </w:tcPr>
          <w:p>
            <w:pPr>
              <w:spacing w:after="0"/>
            </w:pPr>
            <w:r>
              <w:rPr>
                <w:rFonts w:ascii="Arial" w:cs="Arial" w:eastAsia="Arial" w:hAnsi="Arial"/>
                <w:b w:val="false"/>
                <w:bCs w:val="false"/>
                <w:sz w:val="19"/>
                <w:szCs w:val="19"/>
              </w:rPr>
              <w:t xml:space="preserve">7</w:t>
            </w:r>
          </w:p>
        </w:tc>
        <w:tc>
          <w:tcPr>
            <w:tcW w:type="dxa" w:w="1900"/>
            <w:tcMar>
              <w:top w:type="dxa" w:w="60"/>
              <w:left w:type="dxa" w:w="80"/>
              <w:bottom w:type="dxa" w:w="60"/>
              <w:right w:type="dxa" w:w="80"/>
            </w:tcMar>
          </w:tcPr>
          <w:p>
            <w:pPr>
              <w:spacing w:after="0"/>
            </w:pPr>
            <w:r>
              <w:rPr>
                <w:rFonts w:ascii="Arial" w:cs="Arial" w:eastAsia="Arial" w:hAnsi="Arial"/>
                <w:b/>
                <w:bCs/>
                <w:sz w:val="19"/>
                <w:szCs w:val="19"/>
              </w:rPr>
              <w:t xml:space="preserve">Vet findings with the line</w:t>
            </w:r>
          </w:p>
        </w:tc>
        <w:tc>
          <w:tcPr>
            <w:tcW w:type="dxa" w:w="4460"/>
            <w:tcMar>
              <w:top w:type="dxa" w:w="60"/>
              <w:left w:type="dxa" w:w="80"/>
              <w:bottom w:type="dxa" w:w="60"/>
              <w:right w:type="dxa" w:w="80"/>
            </w:tcMar>
          </w:tcPr>
          <w:p>
            <w:pPr>
              <w:spacing w:after="0"/>
            </w:pPr>
            <w:r>
              <w:rPr>
                <w:rFonts w:ascii="Arial" w:cs="Arial" w:eastAsia="Arial" w:hAnsi="Arial"/>
                <w:b w:val="false"/>
                <w:bCs w:val="false"/>
                <w:sz w:val="19"/>
                <w:szCs w:val="19"/>
              </w:rPr>
              <w:t xml:space="preserve">Discuss proposed rating changes and exceptions with lending; resolve or escalate disagreements per the established process. Judgment / discussion.</w:t>
            </w:r>
          </w:p>
        </w:tc>
        <w:tc>
          <w:tcPr>
            <w:tcW w:type="dxa" w:w="2500"/>
            <w:tcMar>
              <w:top w:type="dxa" w:w="60"/>
              <w:left w:type="dxa" w:w="80"/>
              <w:bottom w:type="dxa" w:w="60"/>
              <w:right w:type="dxa" w:w="80"/>
            </w:tcMar>
          </w:tcPr>
          <w:p>
            <w:pPr>
              <w:spacing w:after="0"/>
            </w:pPr>
            <w:r>
              <w:rPr>
                <w:rFonts w:ascii="Arial" w:cs="Arial" w:eastAsia="Arial" w:hAnsi="Arial"/>
                <w:b w:val="false"/>
                <w:bCs w:val="false"/>
                <w:sz w:val="19"/>
                <w:szCs w:val="19"/>
              </w:rPr>
              <w:t xml:space="preserve">Draft findings → agreed or escalated findings</w:t>
            </w:r>
          </w:p>
        </w:tc>
      </w:tr>
      <w:tr>
        <w:tc>
          <w:tcPr>
            <w:tcW w:type="dxa" w:w="50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8</w:t>
            </w:r>
          </w:p>
        </w:tc>
        <w:tc>
          <w:tcPr>
            <w:tcW w:type="dxa" w:w="1900"/>
            <w:shd w:fill="F2F6FA" w:val="clear"/>
            <w:tcMar>
              <w:top w:type="dxa" w:w="60"/>
              <w:left w:type="dxa" w:w="80"/>
              <w:bottom w:type="dxa" w:w="60"/>
              <w:right w:type="dxa" w:w="80"/>
            </w:tcMar>
          </w:tcPr>
          <w:p>
            <w:pPr>
              <w:spacing w:after="0"/>
            </w:pPr>
            <w:r>
              <w:rPr>
                <w:rFonts w:ascii="Arial" w:cs="Arial" w:eastAsia="Arial" w:hAnsi="Arial"/>
                <w:b/>
                <w:bCs/>
                <w:sz w:val="19"/>
                <w:szCs w:val="19"/>
              </w:rPr>
              <w:t xml:space="preserve">Report &amp; wrap up</w:t>
            </w:r>
          </w:p>
        </w:tc>
        <w:tc>
          <w:tcPr>
            <w:tcW w:type="dxa" w:w="446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Roll findings into the summary report to management / committee; finalize and retain workpapers; track findings to remediation.</w:t>
            </w:r>
          </w:p>
        </w:tc>
        <w:tc>
          <w:tcPr>
            <w:tcW w:type="dxa" w:w="2500"/>
            <w:shd w:fill="F2F6FA" w:val="clear"/>
            <w:tcMar>
              <w:top w:type="dxa" w:w="60"/>
              <w:left w:type="dxa" w:w="80"/>
              <w:bottom w:type="dxa" w:w="60"/>
              <w:right w:type="dxa" w:w="80"/>
            </w:tcMar>
          </w:tcPr>
          <w:p>
            <w:pPr>
              <w:spacing w:after="0"/>
            </w:pPr>
            <w:r>
              <w:rPr>
                <w:rFonts w:ascii="Arial" w:cs="Arial" w:eastAsia="Arial" w:hAnsi="Arial"/>
                <w:b w:val="false"/>
                <w:bCs w:val="false"/>
                <w:sz w:val="19"/>
                <w:szCs w:val="19"/>
              </w:rPr>
              <w:t xml:space="preserve">Final workpapers → review report, findings log</w:t>
            </w:r>
          </w:p>
        </w:tc>
      </w:tr>
    </w:tbl>
    <w:p>
      <w:pPr>
        <w:spacing w:after="60"/>
      </w:pPr>
      <w:r>
        <w:rPr>
          <w:rFonts w:ascii="Arial" w:cs="Arial" w:eastAsia="Arial" w:hAnsi="Arial"/>
          <w:sz w:val="21"/>
          <w:szCs w:val="21"/>
        </w:rPr>
        <w:t xml:space="preserve"/>
      </w:r>
    </w:p>
    <w:p>
      <w:pPr>
        <w:spacing w:after="120"/>
      </w:pPr>
      <w:r>
        <w:rPr>
          <w:rFonts w:ascii="Arial" w:cs="Arial" w:eastAsia="Arial" w:hAnsi="Arial"/>
          <w:i/>
          <w:iCs/>
          <w:color w:val="666666"/>
          <w:sz w:val="19"/>
          <w:szCs w:val="19"/>
        </w:rPr>
        <w:t xml:space="preserve">Typical volumes: [X] reviews per year covering [Y]% of the portfolio; roughly [Z] workpapers per review cycle. [Steve to fill in.]</w:t>
      </w:r>
    </w:p>
    <w:p>
      <w:pPr>
        <w:pStyle w:val="Heading1"/>
        <w:spacing w:after="100" w:before="240"/>
      </w:pPr>
      <w:r>
        <w:rPr>
          <w:rFonts w:ascii="Arial" w:cs="Arial" w:eastAsia="Arial" w:hAnsi="Arial"/>
          <w:b/>
          <w:bCs/>
          <w:color w:val="1F3864"/>
          <w:sz w:val="24"/>
          <w:szCs w:val="24"/>
        </w:rPr>
        <w:t xml:space="preserve">Where the platform fits</w:t>
      </w:r>
    </w:p>
    <w:p>
      <w:pPr>
        <w:spacing w:after="120"/>
      </w:pPr>
      <w:r>
        <w:rPr>
          <w:rFonts w:ascii="Arial" w:cs="Arial" w:eastAsia="Arial" w:hAnsi="Arial"/>
          <w:sz w:val="21"/>
          <w:szCs w:val="21"/>
        </w:rPr>
        <w:t xml:space="preserve">Stages 3, 4, and 6 are where analyst hours concentrate — assembling documents, digesting them, and drafting the workpaper — and are the platform’s target. Stages 5 and 7 are analyst judgment and stay that way: the platform can surface support material, but rating conclusions and findings discussions remain human. Every platform-produced draft is reviewed and owned by an analyst before it becomes part of the record.</w:t>
      </w:r>
    </w:p>
    <w:p>
      <w:pPr>
        <w:pStyle w:val="Heading1"/>
        <w:spacing w:after="100" w:before="240"/>
      </w:pPr>
      <w:r>
        <w:rPr>
          <w:rFonts w:ascii="Arial" w:cs="Arial" w:eastAsia="Arial" w:hAnsi="Arial"/>
          <w:b/>
          <w:bCs/>
          <w:color w:val="1F3864"/>
          <w:sz w:val="24"/>
          <w:szCs w:val="24"/>
        </w:rPr>
        <w:t xml:space="preserve">Systems and materials touched</w:t>
      </w:r>
    </w:p>
    <w:p>
      <w:pPr>
        <w:pStyle w:val="ListParagraph"/>
        <w:numPr>
          <w:ilvl w:val="0"/>
          <w:numId w:val="2"/>
        </w:numPr>
        <w:spacing w:after="60"/>
      </w:pPr>
      <w:r>
        <w:rPr>
          <w:rFonts w:ascii="Arial" w:cs="Arial" w:eastAsia="Arial" w:hAnsi="Arial"/>
          <w:sz w:val="21"/>
          <w:szCs w:val="21"/>
        </w:rPr>
        <w:t xml:space="preserve">Core loan system / trial balance extracts [system name]</w:t>
      </w:r>
    </w:p>
    <w:p>
      <w:pPr>
        <w:pStyle w:val="ListParagraph"/>
        <w:numPr>
          <w:ilvl w:val="0"/>
          <w:numId w:val="2"/>
        </w:numPr>
        <w:spacing w:after="60"/>
      </w:pPr>
      <w:r>
        <w:rPr>
          <w:rFonts w:ascii="Arial" w:cs="Arial" w:eastAsia="Arial" w:hAnsi="Arial"/>
          <w:sz w:val="21"/>
          <w:szCs w:val="21"/>
        </w:rPr>
        <w:t xml:space="preserve">Financial statement spreading tool [system name]</w:t>
      </w:r>
    </w:p>
    <w:p>
      <w:pPr>
        <w:pStyle w:val="ListParagraph"/>
        <w:numPr>
          <w:ilvl w:val="0"/>
          <w:numId w:val="2"/>
        </w:numPr>
        <w:spacing w:after="60"/>
      </w:pPr>
      <w:r>
        <w:rPr>
          <w:rFonts w:ascii="Arial" w:cs="Arial" w:eastAsia="Arial" w:hAnsi="Arial"/>
          <w:sz w:val="21"/>
          <w:szCs w:val="21"/>
        </w:rPr>
        <w:t xml:space="preserve">Credit approval memos and credit files [repository name]</w:t>
      </w:r>
    </w:p>
    <w:p>
      <w:pPr>
        <w:pStyle w:val="ListParagraph"/>
        <w:numPr>
          <w:ilvl w:val="0"/>
          <w:numId w:val="2"/>
        </w:numPr>
        <w:spacing w:after="60"/>
      </w:pPr>
      <w:r>
        <w:rPr>
          <w:rFonts w:ascii="Arial" w:cs="Arial" w:eastAsia="Arial" w:hAnsi="Arial"/>
          <w:sz w:val="21"/>
          <w:szCs w:val="21"/>
        </w:rPr>
        <w:t xml:space="preserve">Collateral valuations and appraisals</w:t>
      </w:r>
    </w:p>
    <w:p>
      <w:pPr>
        <w:pStyle w:val="ListParagraph"/>
        <w:numPr>
          <w:ilvl w:val="0"/>
          <w:numId w:val="2"/>
        </w:numPr>
        <w:spacing w:after="60"/>
      </w:pPr>
      <w:r>
        <w:rPr>
          <w:rFonts w:ascii="Arial" w:cs="Arial" w:eastAsia="Arial" w:hAnsi="Arial"/>
          <w:sz w:val="21"/>
          <w:szCs w:val="21"/>
        </w:rPr>
        <w:t xml:space="preserve">Credit policy and rating definitions (the policy corpus being assembled for the platform)</w:t>
      </w:r>
    </w:p>
    <w:p>
      <w:pPr>
        <w:pStyle w:val="ListParagraph"/>
        <w:numPr>
          <w:ilvl w:val="0"/>
          <w:numId w:val="2"/>
        </w:numPr>
        <w:spacing w:after="60"/>
      </w:pPr>
      <w:r>
        <w:rPr>
          <w:rFonts w:ascii="Arial" w:cs="Arial" w:eastAsia="Arial" w:hAnsi="Arial"/>
          <w:sz w:val="21"/>
          <w:szCs w:val="21"/>
        </w:rPr>
        <w:t xml:space="preserve">Workpaper templates, one per review/workpaper type</w:t>
      </w:r>
    </w:p>
    <w:p>
      <w:pPr>
        <w:pStyle w:val="Heading1"/>
        <w:spacing w:after="100" w:before="240"/>
      </w:pPr>
      <w:r>
        <w:rPr>
          <w:rFonts w:ascii="Arial" w:cs="Arial" w:eastAsia="Arial" w:hAnsi="Arial"/>
          <w:b/>
          <w:bCs/>
          <w:color w:val="1F3864"/>
          <w:sz w:val="24"/>
          <w:szCs w:val="24"/>
        </w:rPr>
        <w:t xml:space="preserve">What this document is not</w:t>
      </w:r>
    </w:p>
    <w:p>
      <w:pPr>
        <w:spacing w:after="120"/>
      </w:pPr>
      <w:r>
        <w:rPr>
          <w:rFonts w:ascii="Arial" w:cs="Arial" w:eastAsia="Arial" w:hAnsi="Arial"/>
          <w:sz w:val="21"/>
          <w:szCs w:val="21"/>
        </w:rPr>
        <w:t xml:space="preserve">This is not the BRD, the control design, or the training walkthrough — those exist or are in progress separately. Bracketed items are placeholders for institution-specific details and will be confirmed in the full end-user process walkthrough.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2026-08-20T15:52:45.915Z</dcterms:created>
  <dcterms:modified xsi:type="dcterms:W3CDTF">2026-08-20T15:52:45.930Z</dcterms:modified>
</cp:coreProperties>
</file>

<file path=docProps/custom.xml><?xml version="1.0" encoding="utf-8"?>
<Properties xmlns="http://schemas.openxmlformats.org/officeDocument/2006/custom-properties" xmlns:vt="http://schemas.openxmlformats.org/officeDocument/2006/docPropsVTypes"/>
</file>