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00"/>
          <w:sz w:val="48"/>
          <w:szCs w:val="48"/>
        </w:rPr>
        <w:t xml:space="preserve">Project Sentinel</w:t>
      </w:r>
    </w:p>
    <w:p>
      <w:pPr>
        <w:spacing w:after="40"/>
      </w:pPr>
      <w:r>
        <w:rPr>
          <w:rFonts w:ascii="Arial" w:cs="Arial" w:eastAsia="Arial" w:hAnsi="Arial"/>
          <w:color w:val="1A1A1A"/>
          <w:sz w:val="26"/>
          <w:szCs w:val="26"/>
        </w:rPr>
        <w:t xml:space="preserve">Speaker script and talking points, Risk COO Townhall</w:t>
      </w:r>
    </w:p>
    <w:p>
      <w:pPr>
        <w:spacing w:after="200"/>
      </w:pPr>
      <w:r>
        <w:rPr>
          <w:rFonts w:ascii="Arial" w:cs="Arial" w:eastAsia="Arial" w:hAnsi="Arial"/>
          <w:color w:val="595959"/>
          <w:sz w:val="20"/>
          <w:szCs w:val="20"/>
        </w:rPr>
        <w:t xml:space="preserve">Covers both deck versions; the proof-of-concept segment applies to Version A only. Paced at about 140 words per minute. Matches content draft v5.</w:t>
      </w:r>
    </w:p>
    <w:p>
      <w:pPr>
        <w:pStyle w:val="Heading1"/>
        <w:spacing w:after="120" w:before="320"/>
      </w:pPr>
      <w:r>
        <w:rPr>
          <w:rFonts w:ascii="Arial" w:cs="Arial" w:eastAsia="Arial" w:hAnsi="Arial"/>
          <w:b/>
          <w:bCs/>
          <w:color w:val="000000"/>
          <w:sz w:val="30"/>
          <w:szCs w:val="30"/>
        </w:rPr>
        <w:t xml:space="preserve">The story in one breath</w:t>
      </w:r>
    </w:p>
    <w:p>
      <w:pPr>
        <w:spacing w:after="120"/>
      </w:pPr>
      <w:r>
        <w:rPr>
          <w:rFonts w:ascii="Arial" w:cs="Arial" w:eastAsia="Arial" w:hAnsi="Arial"/>
          <w:i w:val="false"/>
          <w:iCs w:val="false"/>
          <w:color w:val="1A1A1A"/>
          <w:sz w:val="21"/>
          <w:szCs w:val="21"/>
        </w:rPr>
        <w:t xml:space="preserve">Read the slide titles in order and you have the whole argument. One team's question became a capability for all of Risk. One shared foundation; each team brings its own rules. In technical architecture now; staged releases to follow. One capability for Risk, proven first in Credit Risk Review.</w:t>
      </w:r>
    </w:p>
    <w:p>
      <w:pPr>
        <w:spacing w:after="120"/>
      </w:pPr>
      <w:r>
        <w:rPr>
          <w:rFonts w:ascii="Arial" w:cs="Arial" w:eastAsia="Arial" w:hAnsi="Arial"/>
          <w:i w:val="false"/>
          <w:iCs w:val="false"/>
          <w:color w:val="1A1A1A"/>
          <w:sz w:val="21"/>
          <w:szCs w:val="21"/>
        </w:rPr>
        <w:t xml:space="preserve">Phrases to land, one per slide:</w:t>
      </w:r>
    </w:p>
    <w:p>
      <w:pPr>
        <w:pStyle w:val="ListParagraph"/>
        <w:numPr>
          <w:ilvl w:val="0"/>
          <w:numId w:val="2"/>
        </w:numPr>
        <w:spacing w:after="60"/>
      </w:pPr>
      <w:r>
        <w:rPr>
          <w:rFonts w:ascii="Arial" w:cs="Arial" w:eastAsia="Arial" w:hAnsi="Arial"/>
          <w:color w:val="1A1A1A"/>
          <w:sz w:val="21"/>
          <w:szCs w:val="21"/>
        </w:rPr>
        <w:t xml:space="preserve">Slide 1: Sentinel will automate preparation, not accountability.</w:t>
      </w:r>
    </w:p>
    <w:p>
      <w:pPr>
        <w:pStyle w:val="ListParagraph"/>
        <w:numPr>
          <w:ilvl w:val="0"/>
          <w:numId w:val="2"/>
        </w:numPr>
        <w:spacing w:after="60"/>
      </w:pPr>
      <w:r>
        <w:rPr>
          <w:rFonts w:ascii="Arial" w:cs="Arial" w:eastAsia="Arial" w:hAnsi="Arial"/>
          <w:color w:val="1A1A1A"/>
          <w:sz w:val="21"/>
          <w:szCs w:val="21"/>
        </w:rPr>
        <w:t xml:space="preserve">Slide 2 (architecture): The platform provides the mechanism; the risk team provides the meaning.</w:t>
      </w:r>
    </w:p>
    <w:p>
      <w:pPr>
        <w:pStyle w:val="ListParagraph"/>
        <w:numPr>
          <w:ilvl w:val="0"/>
          <w:numId w:val="2"/>
        </w:numPr>
        <w:spacing w:after="60"/>
      </w:pPr>
      <w:r>
        <w:rPr>
          <w:rFonts w:ascii="Arial" w:cs="Arial" w:eastAsia="Arial" w:hAnsi="Arial"/>
          <w:color w:val="1A1A1A"/>
          <w:sz w:val="21"/>
          <w:szCs w:val="21"/>
        </w:rPr>
        <w:t xml:space="preserve">Slide 3 (timeline): Start with one controlled application, prove trust, then expand.</w:t>
      </w:r>
    </w:p>
    <w:p>
      <w:pPr>
        <w:pStyle w:val="ListParagraph"/>
        <w:numPr>
          <w:ilvl w:val="0"/>
          <w:numId w:val="2"/>
        </w:numPr>
        <w:spacing w:after="60"/>
      </w:pPr>
      <w:r>
        <w:rPr>
          <w:rFonts w:ascii="Arial" w:cs="Arial" w:eastAsia="Arial" w:hAnsi="Arial"/>
          <w:color w:val="1A1A1A"/>
          <w:sz w:val="21"/>
          <w:szCs w:val="21"/>
        </w:rPr>
        <w:t xml:space="preserve">Slide 4 (close): The judgment stays with us. The preparation does not have to.</w:t>
      </w:r>
    </w:p>
    <w:p>
      <w:pPr>
        <w:spacing w:after="120"/>
      </w:pPr>
      <w:r>
        <w:rPr>
          <w:rFonts w:ascii="Arial" w:cs="Arial" w:eastAsia="Arial" w:hAnsi="Arial"/>
          <w:i w:val="false"/>
          <w:iCs w:val="false"/>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shd w:fill="EFEFEF" w:val="clear"/>
            <w:tcMar>
              <w:top w:type="dxa" w:w="60"/>
              <w:left w:type="dxa" w:w="100"/>
              <w:bottom w:type="dxa" w:w="60"/>
              <w:right w:type="dxa" w:w="100"/>
            </w:tcMar>
          </w:tcPr>
          <w:p>
            <w:r>
              <w:rPr>
                <w:rFonts w:ascii="Arial" w:cs="Arial" w:eastAsia="Arial" w:hAnsi="Arial"/>
                <w:b/>
                <w:bCs/>
                <w:color w:val="1A1A1A"/>
                <w:sz w:val="20"/>
                <w:szCs w:val="20"/>
              </w:rPr>
              <w:t xml:space="preserve">Segment</w:t>
            </w:r>
          </w:p>
        </w:tc>
        <w:tc>
          <w:tcPr>
            <w:tcW w:type="dxa" w:w="2960"/>
            <w:shd w:fill="EFEFEF" w:val="clear"/>
            <w:tcMar>
              <w:top w:type="dxa" w:w="60"/>
              <w:left w:type="dxa" w:w="100"/>
              <w:bottom w:type="dxa" w:w="60"/>
              <w:right w:type="dxa" w:w="100"/>
            </w:tcMar>
          </w:tcPr>
          <w:p>
            <w:r>
              <w:rPr>
                <w:rFonts w:ascii="Arial" w:cs="Arial" w:eastAsia="Arial" w:hAnsi="Arial"/>
                <w:b/>
                <w:bCs/>
                <w:color w:val="1A1A1A"/>
                <w:sz w:val="20"/>
                <w:szCs w:val="20"/>
              </w:rPr>
              <w:t xml:space="preserve">Time</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Opening, over the title slide</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1:15</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Slide: What it is, and where it came from</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2:45</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Slide: Proof of concept (Version A only)</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0:45</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Slide: How it is built to be shared</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2:45</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Slide: Where we are, and where we are going</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3:00</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Slide: What it means for Risk, and close</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2:45</w:t>
            </w:r>
          </w:p>
        </w:tc>
      </w:tr>
      <w:tr>
        <w:tc>
          <w:tcPr>
            <w:tcW w:type="dxa" w:w="6400"/>
            <w:tcMar>
              <w:top w:type="dxa" w:w="60"/>
              <w:left w:type="dxa" w:w="100"/>
              <w:bottom w:type="dxa" w:w="60"/>
              <w:right w:type="dxa" w:w="100"/>
            </w:tcMar>
          </w:tcPr>
          <w:p>
            <w:r>
              <w:rPr>
                <w:rFonts w:ascii="Arial" w:cs="Arial" w:eastAsia="Arial" w:hAnsi="Arial"/>
                <w:b/>
                <w:bCs/>
                <w:color w:val="1A1A1A"/>
                <w:sz w:val="20"/>
                <w:szCs w:val="20"/>
              </w:rPr>
              <w:t xml:space="preserve">Total</w:t>
            </w:r>
          </w:p>
        </w:tc>
        <w:tc>
          <w:tcPr>
            <w:tcW w:type="dxa" w:w="2960"/>
            <w:tcMar>
              <w:top w:type="dxa" w:w="60"/>
              <w:left w:type="dxa" w:w="100"/>
              <w:bottom w:type="dxa" w:w="60"/>
              <w:right w:type="dxa" w:w="100"/>
            </w:tcMar>
          </w:tcPr>
          <w:p>
            <w:r>
              <w:rPr>
                <w:rFonts w:ascii="Arial" w:cs="Arial" w:eastAsia="Arial" w:hAnsi="Arial"/>
                <w:b/>
                <w:bCs/>
                <w:color w:val="1A1A1A"/>
                <w:sz w:val="20"/>
                <w:szCs w:val="20"/>
              </w:rPr>
              <w:t xml:space="preserve">12:30 (Version B) / 13:15 (Version A)</w:t>
            </w:r>
          </w:p>
        </w:tc>
      </w:tr>
      <w:tr>
        <w:tc>
          <w:tcPr>
            <w:tcW w:type="dxa" w:w="6400"/>
            <w:tcMar>
              <w:top w:type="dxa" w:w="60"/>
              <w:left w:type="dxa" w:w="100"/>
              <w:bottom w:type="dxa" w:w="60"/>
              <w:right w:type="dxa" w:w="100"/>
            </w:tcMar>
          </w:tcPr>
          <w:p>
            <w:r>
              <w:rPr>
                <w:rFonts w:ascii="Arial" w:cs="Arial" w:eastAsia="Arial" w:hAnsi="Arial"/>
                <w:b w:val="false"/>
                <w:bCs w:val="false"/>
                <w:color w:val="1A1A1A"/>
                <w:sz w:val="20"/>
                <w:szCs w:val="20"/>
              </w:rPr>
              <w:t xml:space="preserve">Buffer before the separate 15-minute Q&amp;A</w:t>
            </w:r>
          </w:p>
        </w:tc>
        <w:tc>
          <w:tcPr>
            <w:tcW w:type="dxa" w:w="2960"/>
            <w:tcMar>
              <w:top w:type="dxa" w:w="60"/>
              <w:left w:type="dxa" w:w="100"/>
              <w:bottom w:type="dxa" w:w="60"/>
              <w:right w:type="dxa" w:w="100"/>
            </w:tcMar>
          </w:tcPr>
          <w:p>
            <w:r>
              <w:rPr>
                <w:rFonts w:ascii="Arial" w:cs="Arial" w:eastAsia="Arial" w:hAnsi="Arial"/>
                <w:b w:val="false"/>
                <w:bCs w:val="false"/>
                <w:color w:val="1A1A1A"/>
                <w:sz w:val="20"/>
                <w:szCs w:val="20"/>
              </w:rPr>
              <w:t xml:space="preserve">1:45 to 2:30</w:t>
            </w:r>
          </w:p>
        </w:tc>
      </w:tr>
    </w:tbl>
    <w:p>
      <w:pPr>
        <w:pStyle w:val="Heading1"/>
        <w:spacing w:after="120" w:before="320"/>
      </w:pPr>
      <w:r>
        <w:rPr>
          <w:rFonts w:ascii="Arial" w:cs="Arial" w:eastAsia="Arial" w:hAnsi="Arial"/>
          <w:b/>
          <w:bCs/>
          <w:color w:val="000000"/>
          <w:sz w:val="30"/>
          <w:szCs w:val="30"/>
        </w:rPr>
        <w:t xml:space="preserve">Opening, over the title slide</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1:15</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Title slide: Project Sentinel. One foundation for Risk's document work.</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Bridge from FAIR: you just saw production; I am one step earlier, by design.</w:t>
      </w:r>
    </w:p>
    <w:p>
      <w:pPr>
        <w:pStyle w:val="ListParagraph"/>
        <w:numPr>
          <w:ilvl w:val="0"/>
          <w:numId w:val="2"/>
        </w:numPr>
        <w:spacing w:after="60"/>
      </w:pPr>
      <w:r>
        <w:rPr>
          <w:rFonts w:ascii="Arial" w:cs="Arial" w:eastAsia="Arial" w:hAnsi="Arial"/>
          <w:color w:val="1A1A1A"/>
          <w:sz w:val="21"/>
          <w:szCs w:val="21"/>
        </w:rPr>
        <w:t xml:space="preserve">Same family (software that reads documents), different job (prepares analysis and review, not processing).</w:t>
      </w:r>
    </w:p>
    <w:p>
      <w:pPr>
        <w:pStyle w:val="ListParagraph"/>
        <w:numPr>
          <w:ilvl w:val="0"/>
          <w:numId w:val="2"/>
        </w:numPr>
        <w:spacing w:after="60"/>
      </w:pPr>
      <w:r>
        <w:rPr>
          <w:rFonts w:ascii="Arial" w:cs="Arial" w:eastAsia="Arial" w:hAnsi="Arial"/>
          <w:color w:val="1A1A1A"/>
          <w:sz w:val="21"/>
          <w:szCs w:val="21"/>
        </w:rPr>
        <w:t xml:space="preserve">The universal problem: every discipline prepares before it judges, and preparation is not where our expertise goes.</w:t>
      </w:r>
    </w:p>
    <w:p>
      <w:pPr>
        <w:pStyle w:val="ListParagraph"/>
        <w:numPr>
          <w:ilvl w:val="0"/>
          <w:numId w:val="2"/>
        </w:numPr>
        <w:spacing w:after="60"/>
      </w:pPr>
      <w:r>
        <w:rPr>
          <w:rFonts w:ascii="Arial" w:cs="Arial" w:eastAsia="Arial" w:hAnsi="Arial"/>
          <w:color w:val="1A1A1A"/>
          <w:sz w:val="21"/>
          <w:szCs w:val="21"/>
        </w:rPr>
        <w:t xml:space="preserve">Started as one team's proof of concept; becoming a shared capability.</w:t>
      </w:r>
    </w:p>
    <w:p>
      <w:pPr>
        <w:pStyle w:val="ListParagraph"/>
        <w:numPr>
          <w:ilvl w:val="0"/>
          <w:numId w:val="2"/>
        </w:numPr>
        <w:spacing w:after="60"/>
      </w:pPr>
      <w:r>
        <w:rPr>
          <w:rFonts w:ascii="Arial" w:cs="Arial" w:eastAsia="Arial" w:hAnsi="Arial"/>
          <w:color w:val="1A1A1A"/>
          <w:sz w:val="21"/>
          <w:szCs w:val="21"/>
        </w:rPr>
        <w:t xml:space="preserve">Roadmap of the talk: what it is, how it is built, where we are, what it means for you.</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You have just watched FAIR reading financial statements at scale, in production. I am going to take you one step earlier in the lifecycle, to something we are designing right now. It is in the same family: software that reads documents and pulls out what matters. It has a different job, preparing analysis and review rather than processing, and it is being built as a shared foundation for any team in Risk.</w:t>
      </w:r>
    </w:p>
    <w:p>
      <w:pPr>
        <w:spacing w:after="140"/>
        <w:ind w:left="240"/>
      </w:pPr>
      <w:r>
        <w:rPr>
          <w:rFonts w:ascii="Arial" w:cs="Arial" w:eastAsia="Arial" w:hAnsi="Arial"/>
          <w:color w:val="1A1A1A"/>
          <w:sz w:val="21"/>
          <w:szCs w:val="21"/>
        </w:rPr>
        <w:t xml:space="preserve">Every discipline in this room does a version of the same thing before it forms a view. We find the documents, read them, pull out what matters, and assemble it into something we can reason about. Only then does the risk judgment begin. That preparation is where a large share of our time goes, and it is not the part of the job that needs our expertise.</w:t>
      </w:r>
    </w:p>
    <w:p>
      <w:pPr>
        <w:spacing w:after="140"/>
        <w:ind w:left="240"/>
      </w:pPr>
      <w:r>
        <w:rPr>
          <w:rFonts w:ascii="Arial" w:cs="Arial" w:eastAsia="Arial" w:hAnsi="Arial"/>
          <w:color w:val="1A1A1A"/>
          <w:sz w:val="21"/>
          <w:szCs w:val="21"/>
        </w:rPr>
        <w:t xml:space="preserve">Sentinel is the answer to that. It started as one team's proof of concept. It is becoming a shared capability for Risk. Four slides: what it is and where it came from, how it is built, where we are, and what it means for you.</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Do not touch a clicker until the roadmap sentence; let the bridge land while the title is up.</w:t>
      </w:r>
    </w:p>
    <w:p>
      <w:pPr>
        <w:pStyle w:val="Heading1"/>
        <w:spacing w:after="120" w:before="320"/>
      </w:pPr>
      <w:r>
        <w:rPr>
          <w:rFonts w:ascii="Arial" w:cs="Arial" w:eastAsia="Arial" w:hAnsi="Arial"/>
          <w:b/>
          <w:bCs/>
          <w:color w:val="000000"/>
          <w:sz w:val="30"/>
          <w:szCs w:val="30"/>
        </w:rPr>
        <w:t xml:space="preserve">Slide 1: What Sentinel is, and where it came from</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2:45</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Left: What Sentinel will do (four verbs). Right: where it started, what we saw, and the flow ending at the reviewer gate.</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Genesis first: the Commercial Lending proof of concept (upload, ask, answer with source). [Confirm whether you name the team or the lead.]</w:t>
      </w:r>
    </w:p>
    <w:p>
      <w:pPr>
        <w:pStyle w:val="ListParagraph"/>
        <w:numPr>
          <w:ilvl w:val="0"/>
          <w:numId w:val="2"/>
        </w:numPr>
        <w:spacing w:after="60"/>
      </w:pPr>
      <w:r>
        <w:rPr>
          <w:rFonts w:ascii="Arial" w:cs="Arial" w:eastAsia="Arial" w:hAnsi="Arial"/>
          <w:color w:val="1A1A1A"/>
          <w:sz w:val="21"/>
          <w:szCs w:val="21"/>
        </w:rPr>
        <w:t xml:space="preserve">The insight: everything underneath the question-answering is every Risk team's problem. Build it once.</w:t>
      </w:r>
    </w:p>
    <w:p>
      <w:pPr>
        <w:pStyle w:val="ListParagraph"/>
        <w:numPr>
          <w:ilvl w:val="0"/>
          <w:numId w:val="2"/>
        </w:numPr>
        <w:spacing w:after="60"/>
      </w:pPr>
      <w:r>
        <w:rPr>
          <w:rFonts w:ascii="Arial" w:cs="Arial" w:eastAsia="Arial" w:hAnsi="Arial"/>
          <w:color w:val="1A1A1A"/>
          <w:sz w:val="21"/>
          <w:szCs w:val="21"/>
        </w:rPr>
        <w:t xml:space="preserve">Credit Risk Review is the first application because our work is as document-heavy as it gets.</w:t>
      </w:r>
    </w:p>
    <w:p>
      <w:pPr>
        <w:pStyle w:val="ListParagraph"/>
        <w:numPr>
          <w:ilvl w:val="0"/>
          <w:numId w:val="2"/>
        </w:numPr>
        <w:spacing w:after="60"/>
      </w:pPr>
      <w:r>
        <w:rPr>
          <w:rFonts w:ascii="Arial" w:cs="Arial" w:eastAsia="Arial" w:hAnsi="Arial"/>
          <w:color w:val="1A1A1A"/>
          <w:sz w:val="21"/>
          <w:szCs w:val="21"/>
        </w:rPr>
        <w:t xml:space="preserve">The reviewer's first job today is logistics, not analysis. Hours, sometimes days, before a judgment is written.</w:t>
      </w:r>
    </w:p>
    <w:p>
      <w:pPr>
        <w:pStyle w:val="ListParagraph"/>
        <w:numPr>
          <w:ilvl w:val="0"/>
          <w:numId w:val="2"/>
        </w:numPr>
        <w:spacing w:after="60"/>
      </w:pPr>
      <w:r>
        <w:rPr>
          <w:rFonts w:ascii="Arial" w:cs="Arial" w:eastAsia="Arial" w:hAnsi="Arial"/>
          <w:color w:val="1A1A1A"/>
          <w:sz w:val="21"/>
          <w:szCs w:val="21"/>
        </w:rPr>
        <w:t xml:space="preserve">Four verbs: organize the evidence, prepare the analysis, show its work, keep people accountable.</w:t>
      </w:r>
    </w:p>
    <w:p>
      <w:pPr>
        <w:pStyle w:val="ListParagraph"/>
        <w:numPr>
          <w:ilvl w:val="0"/>
          <w:numId w:val="2"/>
        </w:numPr>
        <w:spacing w:after="60"/>
      </w:pPr>
      <w:r>
        <w:rPr>
          <w:rFonts w:ascii="Arial" w:cs="Arial" w:eastAsia="Arial" w:hAnsi="Arial"/>
          <w:color w:val="1A1A1A"/>
          <w:sz w:val="21"/>
          <w:szCs w:val="21"/>
        </w:rPr>
        <w:t xml:space="preserve">The boundary, said precisely: no risk judgments, no grades, not replacing reviewers or systems of record.</w:t>
      </w:r>
    </w:p>
    <w:p>
      <w:pPr>
        <w:pStyle w:val="ListParagraph"/>
        <w:numPr>
          <w:ilvl w:val="0"/>
          <w:numId w:val="2"/>
        </w:numPr>
        <w:spacing w:after="60"/>
      </w:pPr>
      <w:r>
        <w:rPr>
          <w:rFonts w:ascii="Arial" w:cs="Arial" w:eastAsia="Arial" w:hAnsi="Arial"/>
          <w:color w:val="1A1A1A"/>
          <w:sz w:val="21"/>
          <w:szCs w:val="21"/>
        </w:rPr>
        <w:t xml:space="preserve">Land: Sentinel will automate preparation, not accountability.</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Let me tell you where this came from, because it explains what it is.</w:t>
      </w:r>
    </w:p>
    <w:p>
      <w:pPr>
        <w:spacing w:after="140"/>
        <w:ind w:left="240"/>
      </w:pPr>
      <w:r>
        <w:rPr>
          <w:rFonts w:ascii="Arial" w:cs="Arial" w:eastAsia="Arial" w:hAnsi="Arial"/>
          <w:color w:val="1A1A1A"/>
          <w:sz w:val="21"/>
          <w:szCs w:val="21"/>
        </w:rPr>
        <w:t xml:space="preserve">A team in IB Commercial Lending [confirm; name the lead if you choose to credit them] built a proof of concept with a simple idea: upload a document, ask it a question, get an answer, and see where in the document the answer came from. It worked. And when I looked at it, what struck me was not the question-answering. It was everything underneath it. To answer one question well, that proof of concept had to take in a document, read it properly, find the passage that mattered, cite it, and control who could see it. Those are exactly the problems every Risk team has, whatever the documents and whatever the questions.</w:t>
      </w:r>
    </w:p>
    <w:p>
      <w:pPr>
        <w:spacing w:after="140"/>
        <w:ind w:left="240"/>
      </w:pPr>
      <w:r>
        <w:rPr>
          <w:rFonts w:ascii="Arial" w:cs="Arial" w:eastAsia="Arial" w:hAnsi="Arial"/>
          <w:color w:val="1A1A1A"/>
          <w:sz w:val="21"/>
          <w:szCs w:val="21"/>
        </w:rPr>
        <w:t xml:space="preserve">That was the insight behind Sentinel. Solve the hard part once, as a shared foundation, and let every group bring its own meaning: its own questions, its own standards, its own output. Credit Risk Review is the first application, because our work is as document-heavy as it gets. When a reviewer picks up a borrower, the first job is not analysis. It is logistics: credit agreements, financials, underwriting memos, covenant compliance, correspondence, sitting in different systems and shared folders. Hours, sometimes days, before a single judgment is written. And because it is manual, it varies by person, it goes stale, and statements do not always trace back to a source.</w:t>
      </w:r>
    </w:p>
    <w:p>
      <w:pPr>
        <w:spacing w:after="140"/>
        <w:ind w:left="240"/>
      </w:pPr>
      <w:r>
        <w:rPr>
          <w:rFonts w:ascii="Arial" w:cs="Arial" w:eastAsia="Arial" w:hAnsi="Arial"/>
          <w:color w:val="1A1A1A"/>
          <w:sz w:val="21"/>
          <w:szCs w:val="21"/>
        </w:rPr>
        <w:t xml:space="preserve">So here is what Sentinel will do. It will organize the evidence: read the documents and find the relevant text, tables, and figures. It will prepare the analysis: structure what it finds into the output the team needs. For us, that is a workpaper, section by section. It will show its work: every statement links back to the page it came from, so the reviewer can check it in one click. And it will keep people accountable: where it is not confident, it will say so and flag the item for review.</w:t>
      </w:r>
    </w:p>
    <w:p>
      <w:pPr>
        <w:spacing w:after="140"/>
        <w:ind w:left="240"/>
      </w:pPr>
      <w:r>
        <w:rPr>
          <w:rFonts w:ascii="Arial" w:cs="Arial" w:eastAsia="Arial" w:hAnsi="Arial"/>
          <w:color w:val="1A1A1A"/>
          <w:sz w:val="21"/>
          <w:szCs w:val="21"/>
        </w:rPr>
        <w:t xml:space="preserve">I want to be precise about that last point, because this is a Risk audience and you should hold me to it. Sentinel will not make risk judgments. It will not grade anything. It is not replacing reviewers and it is not replacing our systems of record. It addresses the document-heavy work that happens before judgment. Interpretation, challenge, approval, and the final conclusion stay with the person whose name is on the review.</w:t>
      </w:r>
    </w:p>
    <w:p>
      <w:pPr>
        <w:spacing w:after="140"/>
        <w:ind w:left="240"/>
      </w:pPr>
      <w:r>
        <w:rPr>
          <w:rFonts w:ascii="Arial" w:cs="Arial" w:eastAsia="Arial" w:hAnsi="Arial"/>
          <w:color w:val="1A1A1A"/>
          <w:sz w:val="21"/>
          <w:szCs w:val="21"/>
        </w:rPr>
        <w:t xml:space="preserve">Sentinel will automate preparation, not accountability.</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Slow down on the boundary paragraph. This is the sentence the room will quote back, so give it air.</w:t>
      </w:r>
    </w:p>
    <w:p>
      <w:pPr>
        <w:pStyle w:val="ListParagraph"/>
        <w:numPr>
          <w:ilvl w:val="0"/>
          <w:numId w:val="2"/>
        </w:numPr>
        <w:spacing w:after="60"/>
      </w:pPr>
      <w:r>
        <w:rPr>
          <w:rFonts w:ascii="Arial" w:cs="Arial" w:eastAsia="Arial" w:hAnsi="Arial"/>
          <w:color w:val="1A1A1A"/>
          <w:sz w:val="21"/>
          <w:szCs w:val="21"/>
        </w:rPr>
        <w:t xml:space="preserve">Point at the reviewer gate when you say the final conclusion stays with the person whose name is on the review.</w:t>
      </w:r>
    </w:p>
    <w:p>
      <w:pPr>
        <w:spacing w:after="60"/>
      </w:pPr>
      <w:r>
        <w:rPr>
          <w:rFonts w:ascii="Arial" w:cs="Arial" w:eastAsia="Arial" w:hAnsi="Arial"/>
          <w:b/>
          <w:bCs/>
          <w:color w:val="000000"/>
          <w:sz w:val="20"/>
          <w:szCs w:val="20"/>
        </w:rPr>
        <w:t xml:space="preserve">Transition  </w:t>
      </w:r>
      <w:r>
        <w:rPr>
          <w:rFonts w:ascii="Arial" w:cs="Arial" w:eastAsia="Arial" w:hAnsi="Arial"/>
          <w:color w:val="595959"/>
          <w:sz w:val="20"/>
          <w:szCs w:val="20"/>
        </w:rPr>
        <w:t xml:space="preserve">Here is how it is put together, and this is the work we are doing right now.</w:t>
      </w:r>
    </w:p>
    <w:p>
      <w:pPr>
        <w:pStyle w:val="Heading1"/>
        <w:spacing w:after="120" w:before="320"/>
      </w:pPr>
      <w:r>
        <w:rPr>
          <w:rFonts w:ascii="Arial" w:cs="Arial" w:eastAsia="Arial" w:hAnsi="Arial"/>
          <w:b/>
          <w:bCs/>
          <w:color w:val="000000"/>
          <w:sz w:val="30"/>
          <w:szCs w:val="30"/>
        </w:rPr>
        <w:t xml:space="preserve">Proof-of-concept slide (Version A only)</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0:45</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Full-slide screenshot with three numbered markers. Subtitle says proof of concept only.</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This is the extended proof of concept, shown for one reason: it convinced us the approach works.</w:t>
      </w:r>
    </w:p>
    <w:p>
      <w:pPr>
        <w:pStyle w:val="ListParagraph"/>
        <w:numPr>
          <w:ilvl w:val="0"/>
          <w:numId w:val="2"/>
        </w:numPr>
        <w:spacing w:after="60"/>
      </w:pPr>
      <w:r>
        <w:rPr>
          <w:rFonts w:ascii="Arial" w:cs="Arial" w:eastAsia="Arial" w:hAnsi="Arial"/>
          <w:color w:val="1A1A1A"/>
          <w:sz w:val="21"/>
          <w:szCs w:val="21"/>
        </w:rPr>
        <w:t xml:space="preserve">Walk the three markers: populated section, evidence cited to the page, flagged for the reviewer.</w:t>
      </w:r>
    </w:p>
    <w:p>
      <w:pPr>
        <w:pStyle w:val="ListParagraph"/>
        <w:numPr>
          <w:ilvl w:val="0"/>
          <w:numId w:val="2"/>
        </w:numPr>
        <w:spacing w:after="60"/>
      </w:pPr>
      <w:r>
        <w:rPr>
          <w:rFonts w:ascii="Arial" w:cs="Arial" w:eastAsia="Arial" w:hAnsi="Arial"/>
          <w:color w:val="1A1A1A"/>
          <w:sz w:val="21"/>
          <w:szCs w:val="21"/>
        </w:rPr>
        <w:t xml:space="preserve">Say the guardrail out loud: a proof of concept, not an application.</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This is what the extended proof of concept looked like. A workpaper section populated from a set of credit documents. Every statement carries its source, down to the page. Where the tool was not confident, it flagged the item and held it for a person. I show it for one reason: it convinced us the approach works, and it showed us exactly what the real platform has to get right. It is a proof of concept, not an application, and the next slide is how the real one is built.</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Keep this under a minute. The slide does the work; do not start narrating the whole screen.</w:t>
      </w:r>
    </w:p>
    <w:p>
      <w:pPr>
        <w:spacing w:after="60"/>
      </w:pPr>
      <w:r>
        <w:rPr>
          <w:rFonts w:ascii="Arial" w:cs="Arial" w:eastAsia="Arial" w:hAnsi="Arial"/>
          <w:b/>
          <w:bCs/>
          <w:color w:val="000000"/>
          <w:sz w:val="20"/>
          <w:szCs w:val="20"/>
        </w:rPr>
        <w:t xml:space="preserve">Transition  </w:t>
      </w:r>
      <w:r>
        <w:rPr>
          <w:rFonts w:ascii="Arial" w:cs="Arial" w:eastAsia="Arial" w:hAnsi="Arial"/>
          <w:color w:val="595959"/>
          <w:sz w:val="20"/>
          <w:szCs w:val="20"/>
        </w:rPr>
        <w:t xml:space="preserve">Here is how the real one is built.</w:t>
      </w:r>
    </w:p>
    <w:p>
      <w:pPr>
        <w:pStyle w:val="Heading1"/>
        <w:spacing w:after="120" w:before="320"/>
      </w:pPr>
      <w:r>
        <w:rPr>
          <w:rFonts w:ascii="Arial" w:cs="Arial" w:eastAsia="Arial" w:hAnsi="Arial"/>
          <w:b/>
          <w:bCs/>
          <w:color w:val="000000"/>
          <w:sz w:val="30"/>
          <w:szCs w:val="30"/>
        </w:rPr>
        <w:t xml:space="preserve">Slide 2: How it is built to be shared</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2:45</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Three bands with numbered callouts: 1 documents come in once, 2 the shared foundation, 3 the applications.</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Frame it: not a technical diagram; a picture of who owns what. Also literally the work happening right now with IT.</w:t>
      </w:r>
    </w:p>
    <w:p>
      <w:pPr>
        <w:pStyle w:val="ListParagraph"/>
        <w:numPr>
          <w:ilvl w:val="0"/>
          <w:numId w:val="2"/>
        </w:numPr>
        <w:spacing w:after="60"/>
      </w:pPr>
      <w:r>
        <w:rPr>
          <w:rFonts w:ascii="Arial" w:cs="Arial" w:eastAsia="Arial" w:hAnsi="Arial"/>
          <w:color w:val="1A1A1A"/>
          <w:sz w:val="21"/>
          <w:szCs w:val="21"/>
        </w:rPr>
        <w:t xml:space="preserve">Walk bottom to top, following the numbered callouts.</w:t>
      </w:r>
    </w:p>
    <w:p>
      <w:pPr>
        <w:pStyle w:val="ListParagraph"/>
        <w:numPr>
          <w:ilvl w:val="0"/>
          <w:numId w:val="2"/>
        </w:numPr>
        <w:spacing w:after="60"/>
      </w:pPr>
      <w:r>
        <w:rPr>
          <w:rFonts w:ascii="Arial" w:cs="Arial" w:eastAsia="Arial" w:hAnsi="Arial"/>
          <w:color w:val="1A1A1A"/>
          <w:sz w:val="21"/>
          <w:szCs w:val="21"/>
        </w:rPr>
        <w:t xml:space="preserve">Foundation: eight capabilities, built and controlled once. Optional analogy: the building's wiring.</w:t>
      </w:r>
    </w:p>
    <w:p>
      <w:pPr>
        <w:pStyle w:val="ListParagraph"/>
        <w:numPr>
          <w:ilvl w:val="0"/>
          <w:numId w:val="2"/>
        </w:numPr>
        <w:spacing w:after="60"/>
      </w:pPr>
      <w:r>
        <w:rPr>
          <w:rFonts w:ascii="Arial" w:cs="Arial" w:eastAsia="Arial" w:hAnsi="Arial"/>
          <w:color w:val="1A1A1A"/>
          <w:sz w:val="21"/>
          <w:szCs w:val="21"/>
        </w:rPr>
        <w:t xml:space="preserve">Every foundation box is a control problem solved once, never re-solved by the next team.</w:t>
      </w:r>
    </w:p>
    <w:p>
      <w:pPr>
        <w:pStyle w:val="ListParagraph"/>
        <w:numPr>
          <w:ilvl w:val="0"/>
          <w:numId w:val="2"/>
        </w:numPr>
        <w:spacing w:after="60"/>
      </w:pPr>
      <w:r>
        <w:rPr>
          <w:rFonts w:ascii="Arial" w:cs="Arial" w:eastAsia="Arial" w:hAnsi="Arial"/>
          <w:color w:val="1A1A1A"/>
          <w:sz w:val="21"/>
          <w:szCs w:val="21"/>
        </w:rPr>
        <w:t xml:space="preserve">Applications: Credit Risk Review first; Enterprise Risk Management scans portfolios; Personal &amp; Corporate Banking brings its own outputs and standards.</w:t>
      </w:r>
    </w:p>
    <w:p>
      <w:pPr>
        <w:pStyle w:val="ListParagraph"/>
        <w:numPr>
          <w:ilvl w:val="0"/>
          <w:numId w:val="2"/>
        </w:numPr>
        <w:spacing w:after="60"/>
      </w:pPr>
      <w:r>
        <w:rPr>
          <w:rFonts w:ascii="Arial" w:cs="Arial" w:eastAsia="Arial" w:hAnsi="Arial"/>
          <w:color w:val="1A1A1A"/>
          <w:sz w:val="21"/>
          <w:szCs w:val="21"/>
        </w:rPr>
        <w:t xml:space="preserve">Onboarding a new team is five steps, not a technology project. You own the content; engineering owns the components.</w:t>
      </w:r>
    </w:p>
    <w:p>
      <w:pPr>
        <w:pStyle w:val="ListParagraph"/>
        <w:numPr>
          <w:ilvl w:val="0"/>
          <w:numId w:val="2"/>
        </w:numPr>
        <w:spacing w:after="60"/>
      </w:pPr>
      <w:r>
        <w:rPr>
          <w:rFonts w:ascii="Arial" w:cs="Arial" w:eastAsia="Arial" w:hAnsi="Arial"/>
          <w:color w:val="1A1A1A"/>
          <w:sz w:val="21"/>
          <w:szCs w:val="21"/>
        </w:rPr>
        <w:t xml:space="preserve">Land: the platform provides the mechanism; the risk team provides the meaning.</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This is the one diagram I will show you, and it is not a technical one. It is about who owns what. It is also the work we are doing right now: this is the architecture we are defining with IT so the foundation gets built once, properly.</w:t>
      </w:r>
    </w:p>
    <w:p>
      <w:pPr>
        <w:spacing w:after="140"/>
        <w:ind w:left="240"/>
      </w:pPr>
      <w:r>
        <w:rPr>
          <w:rFonts w:ascii="Arial" w:cs="Arial" w:eastAsia="Arial" w:hAnsi="Arial"/>
          <w:color w:val="1A1A1A"/>
          <w:sz w:val="21"/>
          <w:szCs w:val="21"/>
        </w:rPr>
        <w:t xml:space="preserve">Start at the bottom: where documents will come from. Our upstream systems, direct upload, and monitored SharePoint folders. Documents flow in once.</w:t>
      </w:r>
    </w:p>
    <w:p>
      <w:pPr>
        <w:spacing w:after="140"/>
        <w:ind w:left="240"/>
      </w:pPr>
      <w:r>
        <w:rPr>
          <w:rFonts w:ascii="Arial" w:cs="Arial" w:eastAsia="Arial" w:hAnsi="Arial"/>
          <w:color w:val="1A1A1A"/>
          <w:sz w:val="21"/>
          <w:szCs w:val="21"/>
        </w:rPr>
        <w:t xml:space="preserve">The middle is the shared foundation. Think of it as the building's wiring: every floor uses it, no floor installs its own. This is the part built and controlled once, for everybody. Eight capabilities. It takes in documents. It reads text, tables, and images. It finds what matters. It cites every source. It flags what it is unsure about. It holds the rules and standards each team gives it, version-controlled, so we always know which version of a standard a conclusion was held to. It monitors itself and keeps records. And it keeps each team's data separate and access controlled. Every one of those is a control problem that the original proof of concept had to solve for one team. None of them should be solved again by the next team, and that is the whole point of building it as a platform.</w:t>
      </w:r>
    </w:p>
    <w:p>
      <w:pPr>
        <w:spacing w:after="140"/>
        <w:ind w:left="240"/>
      </w:pPr>
      <w:r>
        <w:rPr>
          <w:rFonts w:ascii="Arial" w:cs="Arial" w:eastAsia="Arial" w:hAnsi="Arial"/>
          <w:color w:val="1A1A1A"/>
          <w:sz w:val="21"/>
          <w:szCs w:val="21"/>
        </w:rPr>
        <w:t xml:space="preserve">The top is the applications, and this is where the meaning lives. Each Risk team owns its own. Credit Risk Review is the first: deep review of borrower relationships, workpapers with every statement cited, and, in a later release, a built-in second opinion where Sentinel argues the other side and the reviewer decides. Enterprise Risk Management has a very different need: scanning across a whole portfolio, asking questions of any set of documents, surfacing emerging risks. Personal &amp; Corporate Banking wants to define its own outputs and apply its own standards. Same foundation, different meaning.</w:t>
      </w:r>
    </w:p>
    <w:p>
      <w:pPr>
        <w:spacing w:after="140"/>
        <w:ind w:left="240"/>
      </w:pPr>
      <w:r>
        <w:rPr>
          <w:rFonts w:ascii="Arial" w:cs="Arial" w:eastAsia="Arial" w:hAnsi="Arial"/>
          <w:color w:val="1A1A1A"/>
          <w:sz w:val="21"/>
          <w:szCs w:val="21"/>
        </w:rPr>
        <w:t xml:space="preserve">For a new team, configuring Sentinel will not be a technology project. It is five steps: choose your evidence, choose the task, tell it the standards to apply, get a structured draft, review and decide. You bring the questions, the policies, the templates, the thresholds, and the points where a person must sign off. Engineering owns the components and the controlled deployment. You own the content and what the tool is supposed to do. That split is what keeps accountability clear.</w:t>
      </w:r>
    </w:p>
    <w:p>
      <w:pPr>
        <w:spacing w:after="140"/>
        <w:ind w:left="240"/>
      </w:pPr>
      <w:r>
        <w:rPr>
          <w:rFonts w:ascii="Arial" w:cs="Arial" w:eastAsia="Arial" w:hAnsi="Arial"/>
          <w:color w:val="1A1A1A"/>
          <w:sz w:val="21"/>
          <w:szCs w:val="21"/>
        </w:rPr>
        <w:t xml:space="preserve">The platform provides the mechanism; the risk team provides the meaning.</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Trace the bands with your hand as you walk 1, 2, 3. The room should follow your hand, not read the boxes.</w:t>
      </w:r>
    </w:p>
    <w:p>
      <w:pPr>
        <w:spacing w:after="60"/>
      </w:pPr>
      <w:r>
        <w:rPr>
          <w:rFonts w:ascii="Arial" w:cs="Arial" w:eastAsia="Arial" w:hAnsi="Arial"/>
          <w:b/>
          <w:bCs/>
          <w:color w:val="000000"/>
          <w:sz w:val="20"/>
          <w:szCs w:val="20"/>
        </w:rPr>
        <w:t xml:space="preserve">Transition  </w:t>
      </w:r>
      <w:r>
        <w:rPr>
          <w:rFonts w:ascii="Arial" w:cs="Arial" w:eastAsia="Arial" w:hAnsi="Arial"/>
          <w:color w:val="595959"/>
          <w:sz w:val="20"/>
          <w:szCs w:val="20"/>
        </w:rPr>
        <w:t xml:space="preserve">So where are we on actually building this?</w:t>
      </w:r>
    </w:p>
    <w:p>
      <w:pPr>
        <w:pStyle w:val="Heading1"/>
        <w:spacing w:after="120" w:before="320"/>
      </w:pPr>
      <w:r>
        <w:rPr>
          <w:rFonts w:ascii="Arial" w:cs="Arial" w:eastAsia="Arial" w:hAnsi="Arial"/>
          <w:b/>
          <w:bCs/>
          <w:color w:val="000000"/>
          <w:sz w:val="30"/>
          <w:szCs w:val="30"/>
        </w:rPr>
        <w:t xml:space="preserve">Slide 3: Where we are, and where we are going</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3:00</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Two-lane timeline with the dashed Today line, status ovals, and the Done so far / Happening now panels.</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Open with the contrast: you just saw production; this is not that. Candor buys trust here.</w:t>
      </w:r>
    </w:p>
    <w:p>
      <w:pPr>
        <w:pStyle w:val="ListParagraph"/>
        <w:numPr>
          <w:ilvl w:val="0"/>
          <w:numId w:val="2"/>
        </w:numPr>
        <w:spacing w:after="60"/>
      </w:pPr>
      <w:r>
        <w:rPr>
          <w:rFonts w:ascii="Arial" w:cs="Arial" w:eastAsia="Arial" w:hAnsi="Arial"/>
          <w:color w:val="1A1A1A"/>
          <w:sz w:val="21"/>
          <w:szCs w:val="21"/>
        </w:rPr>
        <w:t xml:space="preserve">Anchor on the dashed line: left of it is done; right of it is dated or hollow. Hollow means timed after sizing.</w:t>
      </w:r>
    </w:p>
    <w:p>
      <w:pPr>
        <w:pStyle w:val="ListParagraph"/>
        <w:numPr>
          <w:ilvl w:val="0"/>
          <w:numId w:val="2"/>
        </w:numPr>
        <w:spacing w:after="60"/>
      </w:pPr>
      <w:r>
        <w:rPr>
          <w:rFonts w:ascii="Arial" w:cs="Arial" w:eastAsia="Arial" w:hAnsi="Arial"/>
          <w:color w:val="1A1A1A"/>
          <w:sz w:val="21"/>
          <w:szCs w:val="21"/>
        </w:rPr>
        <w:t xml:space="preserve">Top lane: where it started, and the team still getting value from the tactical solution until it migrates. Nobody waits, nobody builds twice.</w:t>
      </w:r>
    </w:p>
    <w:p>
      <w:pPr>
        <w:pStyle w:val="ListParagraph"/>
        <w:numPr>
          <w:ilvl w:val="0"/>
          <w:numId w:val="2"/>
        </w:numPr>
        <w:spacing w:after="60"/>
      </w:pPr>
      <w:r>
        <w:rPr>
          <w:rFonts w:ascii="Arial" w:cs="Arial" w:eastAsia="Arial" w:hAnsi="Arial"/>
          <w:color w:val="1A1A1A"/>
          <w:sz w:val="21"/>
          <w:szCs w:val="21"/>
        </w:rPr>
        <w:t xml:space="preserve">Bottom lane, left of the line: proof of concept confirmed, requirements with IT, journey documented, three use cases drafted.</w:t>
      </w:r>
    </w:p>
    <w:p>
      <w:pPr>
        <w:pStyle w:val="ListParagraph"/>
        <w:numPr>
          <w:ilvl w:val="0"/>
          <w:numId w:val="2"/>
        </w:numPr>
        <w:spacing w:after="60"/>
      </w:pPr>
      <w:r>
        <w:rPr>
          <w:rFonts w:ascii="Arial" w:cs="Arial" w:eastAsia="Arial" w:hAnsi="Arial"/>
          <w:color w:val="1A1A1A"/>
          <w:sz w:val="21"/>
          <w:szCs w:val="21"/>
        </w:rPr>
        <w:t xml:space="preserve">Right of the line: September ratification, then build, then Releases 1, 2, 3.</w:t>
      </w:r>
    </w:p>
    <w:p>
      <w:pPr>
        <w:pStyle w:val="ListParagraph"/>
        <w:numPr>
          <w:ilvl w:val="0"/>
          <w:numId w:val="2"/>
        </w:numPr>
        <w:spacing w:after="60"/>
      </w:pPr>
      <w:r>
        <w:rPr>
          <w:rFonts w:ascii="Arial" w:cs="Arial" w:eastAsia="Arial" w:hAnsi="Arial"/>
          <w:color w:val="1A1A1A"/>
          <w:sz w:val="21"/>
          <w:szCs w:val="21"/>
        </w:rPr>
        <w:t xml:space="preserve">Release 2 is worth ten seconds: a recorded ruling on a counter-position becomes an auditable record of applied judgment.</w:t>
      </w:r>
    </w:p>
    <w:p>
      <w:pPr>
        <w:pStyle w:val="ListParagraph"/>
        <w:numPr>
          <w:ilvl w:val="0"/>
          <w:numId w:val="2"/>
        </w:numPr>
        <w:spacing w:after="60"/>
      </w:pPr>
      <w:r>
        <w:rPr>
          <w:rFonts w:ascii="Arial" w:cs="Arial" w:eastAsia="Arial" w:hAnsi="Arial"/>
          <w:color w:val="1A1A1A"/>
          <w:sz w:val="21"/>
          <w:szCs w:val="21"/>
        </w:rPr>
        <w:t xml:space="preserve">Land: start with one controlled application, prove trust, then expand.</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I want to be clear about where this is, because you have just seen something in production and this is not that.</w:t>
      </w:r>
    </w:p>
    <w:p>
      <w:pPr>
        <w:spacing w:after="140"/>
        <w:ind w:left="240"/>
      </w:pPr>
      <w:r>
        <w:rPr>
          <w:rFonts w:ascii="Arial" w:cs="Arial" w:eastAsia="Arial" w:hAnsi="Arial"/>
          <w:color w:val="1A1A1A"/>
          <w:sz w:val="21"/>
          <w:szCs w:val="21"/>
        </w:rPr>
        <w:t xml:space="preserve">Start at the dashed line. That is today, and we are in the middle of design workshops with IT and Data. Everything to the left of the line is done. Everything to the right is either dated and confirmed, or hollow, which means the timing gets confirmed once the sizing is finished. I would rather show you hollow diamonds than dates I cannot stand behind.</w:t>
      </w:r>
    </w:p>
    <w:p>
      <w:pPr>
        <w:spacing w:after="140"/>
        <w:ind w:left="240"/>
      </w:pPr>
      <w:r>
        <w:rPr>
          <w:rFonts w:ascii="Arial" w:cs="Arial" w:eastAsia="Arial" w:hAnsi="Arial"/>
          <w:color w:val="1A1A1A"/>
          <w:sz w:val="21"/>
          <w:szCs w:val="21"/>
        </w:rPr>
        <w:t xml:space="preserve">Look left first. The top lane is where this started: the Commercial Lending team's question-answering proof of concept, approved in June. That team carries on with a tactical solution in the meantime, and when the platform is ready their use case migrates onto it. Nobody waits for us, and nobody builds twice.</w:t>
      </w:r>
    </w:p>
    <w:p>
      <w:pPr>
        <w:spacing w:after="140"/>
        <w:ind w:left="240"/>
      </w:pPr>
      <w:r>
        <w:rPr>
          <w:rFonts w:ascii="Arial" w:cs="Arial" w:eastAsia="Arial" w:hAnsi="Arial"/>
          <w:color w:val="1A1A1A"/>
          <w:sz w:val="21"/>
          <w:szCs w:val="21"/>
        </w:rPr>
        <w:t xml:space="preserve">The bottom lane is Sentinel. In July we confirmed the proof of concept and the benefits case. We had extended the original proof of concept toward credit review to test the idea: it reads credit documents, cites the evidence, and fills the six workpaper sections our reviewers already use. It convinced us the approach works. It is not a production application and it is not going through governance as one.</w:t>
      </w:r>
    </w:p>
    <w:p>
      <w:pPr>
        <w:spacing w:after="140"/>
        <w:ind w:left="240"/>
      </w:pPr>
      <w:r>
        <w:rPr>
          <w:rFonts w:ascii="Arial" w:cs="Arial" w:eastAsia="Arial" w:hAnsi="Arial"/>
          <w:color w:val="1A1A1A"/>
          <w:sz w:val="21"/>
          <w:szCs w:val="21"/>
        </w:rPr>
        <w:t xml:space="preserve">Alongside that, the groundwork: platform requirements drafted and reviewed with IT; Credit Risk Review's own requirements written down, and the analyst journey documented step by step, so the tool will fit the work rather than the other way around; and three use cases drafted, with Enterprise Risk Management and Personal &amp; Corporate Banking alongside our own, which is why I can talk about a platform rather than a tool.</w:t>
      </w:r>
    </w:p>
    <w:p>
      <w:pPr>
        <w:spacing w:after="140"/>
        <w:ind w:left="240"/>
      </w:pPr>
      <w:r>
        <w:rPr>
          <w:rFonts w:ascii="Arial" w:cs="Arial" w:eastAsia="Arial" w:hAnsi="Arial"/>
          <w:color w:val="1A1A1A"/>
          <w:sz w:val="21"/>
          <w:szCs w:val="21"/>
        </w:rPr>
        <w:t xml:space="preserve">Now look right. September: the architecture goes to the AI Forum for ratification. Then build, on a timeline we confirm once it is sized. Then the releases, which are deliberately staged. Release 1, Assemble and Assess: the evidence-backed workpaper, validated and tested alongside the current process before anyone depends on it. Release 2, Challenge and Adjudicate: Sentinel presents a counter-position with its own evidence, and the reviewer rules on it and records why. That gives us something we have never had, an auditable record of applied judgment. Release 3, Learn and Scale: governed learning from reviewer feedback, connection to upstream systems, and the next teams onboarding, starting with Personal &amp; Corporate Banking and the Commercial Lending use case coming home to the platform.</w:t>
      </w:r>
    </w:p>
    <w:p>
      <w:pPr>
        <w:spacing w:after="140"/>
        <w:ind w:left="240"/>
      </w:pPr>
      <w:r>
        <w:rPr>
          <w:rFonts w:ascii="Arial" w:cs="Arial" w:eastAsia="Arial" w:hAnsi="Arial"/>
          <w:color w:val="1A1A1A"/>
          <w:sz w:val="21"/>
          <w:szCs w:val="21"/>
        </w:rPr>
        <w:t xml:space="preserve">The principle is simple: start with one controlled application, prove trust, then expand.</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Physically point at the dashed line when you say the word today. Everything on this slide hangs off that gesture.</w:t>
      </w:r>
    </w:p>
    <w:p>
      <w:pPr>
        <w:pStyle w:val="ListParagraph"/>
        <w:numPr>
          <w:ilvl w:val="0"/>
          <w:numId w:val="2"/>
        </w:numPr>
        <w:spacing w:after="60"/>
      </w:pPr>
      <w:r>
        <w:rPr>
          <w:rFonts w:ascii="Arial" w:cs="Arial" w:eastAsia="Arial" w:hAnsi="Arial"/>
          <w:color w:val="1A1A1A"/>
          <w:sz w:val="21"/>
          <w:szCs w:val="21"/>
        </w:rPr>
        <w:t xml:space="preserve">Do not read the right-hand panels; they are there for the people who read instead of listen.</w:t>
      </w:r>
    </w:p>
    <w:p>
      <w:pPr>
        <w:spacing w:after="60"/>
      </w:pPr>
      <w:r>
        <w:rPr>
          <w:rFonts w:ascii="Arial" w:cs="Arial" w:eastAsia="Arial" w:hAnsi="Arial"/>
          <w:b/>
          <w:bCs/>
          <w:color w:val="000000"/>
          <w:sz w:val="20"/>
          <w:szCs w:val="20"/>
        </w:rPr>
        <w:t xml:space="preserve">Transition  </w:t>
      </w:r>
      <w:r>
        <w:rPr>
          <w:rFonts w:ascii="Arial" w:cs="Arial" w:eastAsia="Arial" w:hAnsi="Arial"/>
          <w:color w:val="595959"/>
          <w:sz w:val="20"/>
          <w:szCs w:val="20"/>
        </w:rPr>
        <w:t xml:space="preserve">Which brings me to why this matters beyond credit review.</w:t>
      </w:r>
    </w:p>
    <w:p>
      <w:pPr>
        <w:pStyle w:val="Heading1"/>
        <w:spacing w:after="120" w:before="320"/>
      </w:pPr>
      <w:r>
        <w:rPr>
          <w:rFonts w:ascii="Arial" w:cs="Arial" w:eastAsia="Arial" w:hAnsi="Arial"/>
          <w:b/>
          <w:bCs/>
          <w:color w:val="000000"/>
          <w:sz w:val="30"/>
          <w:szCs w:val="30"/>
        </w:rPr>
        <w:t xml:space="preserve">Slide 4: What it means for Risk, and close</w:t>
      </w:r>
    </w:p>
    <w:p>
      <w:pPr>
        <w:spacing w:after="60"/>
      </w:pPr>
      <w:r>
        <w:rPr>
          <w:rFonts w:ascii="Arial" w:cs="Arial" w:eastAsia="Arial" w:hAnsi="Arial"/>
          <w:b/>
          <w:bCs/>
          <w:color w:val="000000"/>
          <w:sz w:val="20"/>
          <w:szCs w:val="20"/>
        </w:rPr>
        <w:t xml:space="preserve">Time  </w:t>
      </w:r>
      <w:r>
        <w:rPr>
          <w:rFonts w:ascii="Arial" w:cs="Arial" w:eastAsia="Arial" w:hAnsi="Arial"/>
          <w:color w:val="595959"/>
          <w:sz w:val="20"/>
          <w:szCs w:val="20"/>
        </w:rPr>
        <w:t xml:space="preserve">2:45</w:t>
      </w:r>
    </w:p>
    <w:p>
      <w:pPr>
        <w:spacing w:after="60"/>
      </w:pPr>
      <w:r>
        <w:rPr>
          <w:rFonts w:ascii="Arial" w:cs="Arial" w:eastAsia="Arial" w:hAnsi="Arial"/>
          <w:b/>
          <w:bCs/>
          <w:color w:val="000000"/>
          <w:sz w:val="20"/>
          <w:szCs w:val="20"/>
        </w:rPr>
        <w:t xml:space="preserve">On screen  </w:t>
      </w:r>
      <w:r>
        <w:rPr>
          <w:rFonts w:ascii="Arial" w:cs="Arial" w:eastAsia="Arial" w:hAnsi="Arial"/>
          <w:color w:val="595959"/>
          <w:sz w:val="20"/>
          <w:szCs w:val="20"/>
        </w:rPr>
        <w:t xml:space="preserve">Hub: Sentinel at the center, four outcomes around it, your-team questions on the ring, the ask bottom right.</w:t>
      </w:r>
    </w:p>
    <w:p>
      <w:pPr>
        <w:pStyle w:val="Heading2"/>
        <w:spacing w:after="80" w:before="240"/>
      </w:pPr>
      <w:r>
        <w:rPr>
          <w:rFonts w:ascii="Arial" w:cs="Arial" w:eastAsia="Arial" w:hAnsi="Arial"/>
          <w:b/>
          <w:bCs/>
          <w:color w:val="000000"/>
          <w:sz w:val="24"/>
          <w:szCs w:val="24"/>
        </w:rPr>
        <w:t xml:space="preserve">Talking points, if you speak from cues</w:t>
      </w:r>
    </w:p>
    <w:p>
      <w:pPr>
        <w:pStyle w:val="ListParagraph"/>
        <w:numPr>
          <w:ilvl w:val="0"/>
          <w:numId w:val="2"/>
        </w:numPr>
        <w:spacing w:after="60"/>
      </w:pPr>
      <w:r>
        <w:rPr>
          <w:rFonts w:ascii="Arial" w:cs="Arial" w:eastAsia="Arial" w:hAnsi="Arial"/>
          <w:color w:val="1A1A1A"/>
          <w:sz w:val="21"/>
          <w:szCs w:val="21"/>
        </w:rPr>
        <w:t xml:space="preserve">Four outcomes, kept concrete: capacity, consistency, traceability, reusable.</w:t>
      </w:r>
    </w:p>
    <w:p>
      <w:pPr>
        <w:pStyle w:val="ListParagraph"/>
        <w:numPr>
          <w:ilvl w:val="0"/>
          <w:numId w:val="2"/>
        </w:numPr>
        <w:spacing w:after="60"/>
      </w:pPr>
      <w:r>
        <w:rPr>
          <w:rFonts w:ascii="Arial" w:cs="Arial" w:eastAsia="Arial" w:hAnsi="Arial"/>
          <w:color w:val="1A1A1A"/>
          <w:sz w:val="21"/>
          <w:szCs w:val="21"/>
        </w:rPr>
        <w:t xml:space="preserve">Make it theirs: the three ring questions (policy change, sector event, new procedure). If judgment waits on preparation, that is a Sentinel use case.</w:t>
      </w:r>
    </w:p>
    <w:p>
      <w:pPr>
        <w:pStyle w:val="ListParagraph"/>
        <w:numPr>
          <w:ilvl w:val="0"/>
          <w:numId w:val="2"/>
        </w:numPr>
        <w:spacing w:after="60"/>
      </w:pPr>
      <w:r>
        <w:rPr>
          <w:rFonts w:ascii="Arial" w:cs="Arial" w:eastAsia="Arial" w:hAnsi="Arial"/>
          <w:color w:val="1A1A1A"/>
          <w:sz w:val="21"/>
          <w:szCs w:val="21"/>
        </w:rPr>
        <w:t xml:space="preserve">Release 2 bonus: accumulated, auditable judgment; expertise stops living only in people's heads.</w:t>
      </w:r>
    </w:p>
    <w:p>
      <w:pPr>
        <w:pStyle w:val="ListParagraph"/>
        <w:numPr>
          <w:ilvl w:val="0"/>
          <w:numId w:val="2"/>
        </w:numPr>
        <w:spacing w:after="60"/>
      </w:pPr>
      <w:r>
        <w:rPr>
          <w:rFonts w:ascii="Arial" w:cs="Arial" w:eastAsia="Arial" w:hAnsi="Arial"/>
          <w:color w:val="1A1A1A"/>
          <w:sz w:val="21"/>
          <w:szCs w:val="21"/>
        </w:rPr>
        <w:t xml:space="preserve">Credit Risk Review's role, told as facts: recognized the opportunity, first application, requirements and architecture with IT, use cases with the next teams.</w:t>
      </w:r>
    </w:p>
    <w:p>
      <w:pPr>
        <w:pStyle w:val="ListParagraph"/>
        <w:numPr>
          <w:ilvl w:val="0"/>
          <w:numId w:val="2"/>
        </w:numPr>
        <w:spacing w:after="60"/>
      </w:pPr>
      <w:r>
        <w:rPr>
          <w:rFonts w:ascii="Arial" w:cs="Arial" w:eastAsia="Arial" w:hAnsi="Arial"/>
          <w:color w:val="1A1A1A"/>
          <w:sz w:val="21"/>
          <w:szCs w:val="21"/>
        </w:rPr>
        <w:t xml:space="preserve">The ask, with a date: tell us before the September ratification. [Confirm the September commitment.]</w:t>
      </w:r>
    </w:p>
    <w:p>
      <w:pPr>
        <w:pStyle w:val="ListParagraph"/>
        <w:numPr>
          <w:ilvl w:val="0"/>
          <w:numId w:val="2"/>
        </w:numPr>
        <w:spacing w:after="60"/>
      </w:pPr>
      <w:r>
        <w:rPr>
          <w:rFonts w:ascii="Arial" w:cs="Arial" w:eastAsia="Arial" w:hAnsi="Arial"/>
          <w:color w:val="1A1A1A"/>
          <w:sz w:val="21"/>
          <w:szCs w:val="21"/>
        </w:rPr>
        <w:t xml:space="preserve">Close: common, controlled way to convert evidence into better-prepared human judgment. The judgment stays with us. The preparation does not have to.</w:t>
      </w:r>
    </w:p>
    <w:p>
      <w:pPr>
        <w:pStyle w:val="Heading2"/>
        <w:spacing w:after="80" w:before="240"/>
      </w:pPr>
      <w:r>
        <w:rPr>
          <w:rFonts w:ascii="Arial" w:cs="Arial" w:eastAsia="Arial" w:hAnsi="Arial"/>
          <w:b/>
          <w:bCs/>
          <w:color w:val="000000"/>
          <w:sz w:val="24"/>
          <w:szCs w:val="24"/>
        </w:rPr>
        <w:t xml:space="preserve">Script, word for word</w:t>
      </w:r>
    </w:p>
    <w:p>
      <w:pPr>
        <w:spacing w:after="140"/>
        <w:ind w:left="240"/>
      </w:pPr>
      <w:r>
        <w:rPr>
          <w:rFonts w:ascii="Arial" w:cs="Arial" w:eastAsia="Arial" w:hAnsi="Arial"/>
          <w:color w:val="1A1A1A"/>
          <w:sz w:val="21"/>
          <w:szCs w:val="21"/>
        </w:rPr>
        <w:t xml:space="preserve">So what will this mean for Risk, beyond credit review?</w:t>
      </w:r>
    </w:p>
    <w:p>
      <w:pPr>
        <w:spacing w:after="140"/>
        <w:ind w:left="240"/>
      </w:pPr>
      <w:r>
        <w:rPr>
          <w:rFonts w:ascii="Arial" w:cs="Arial" w:eastAsia="Arial" w:hAnsi="Arial"/>
          <w:color w:val="1A1A1A"/>
          <w:sz w:val="21"/>
          <w:szCs w:val="21"/>
        </w:rPr>
        <w:t xml:space="preserve">Four things, and I will keep them concrete. Capacity: less time assembling documents, more time on the analysis only a specialist can do. Consistency: the same questions and standards applied the same way, every time, by every reviewer. Traceability: every conclusion tied to the evidence and to the version of the standard it was held against, which matters to us, to audit, and to our regulators. And a reusable capability: the hard part, taking in documents, reading them, citing sources, keeping records, controlling access, gets built once. The next team inherits it at a fraction of what it would cost to build alone.</w:t>
      </w:r>
    </w:p>
    <w:p>
      <w:pPr>
        <w:spacing w:after="140"/>
        <w:ind w:left="240"/>
      </w:pPr>
      <w:r>
        <w:rPr>
          <w:rFonts w:ascii="Arial" w:cs="Arial" w:eastAsia="Arial" w:hAnsi="Arial"/>
          <w:color w:val="1A1A1A"/>
          <w:sz w:val="21"/>
          <w:szCs w:val="21"/>
        </w:rPr>
        <w:t xml:space="preserve">Let me make that tangible. A policy changes: which of our documents are affected, and where? An event hits a sector: which counterparties in our book are exposed, and what does the file actually say about them? A new procedure lands: does this documentation meet it? If your team has a document-heavy process where judgment waits on preparation, that is a Sentinel use case.</w:t>
      </w:r>
    </w:p>
    <w:p>
      <w:pPr>
        <w:spacing w:after="140"/>
        <w:ind w:left="240"/>
      </w:pPr>
      <w:r>
        <w:rPr>
          <w:rFonts w:ascii="Arial" w:cs="Arial" w:eastAsia="Arial" w:hAnsi="Arial"/>
          <w:color w:val="1A1A1A"/>
          <w:sz w:val="21"/>
          <w:szCs w:val="21"/>
        </w:rPr>
        <w:t xml:space="preserve">One more benefit arrives with Release 2, and it is the one I find most interesting. When Sentinel presents a position and a counter-position, and a reviewer rules and records why, we accumulate a body of applied judgment. Over time that supports calibration, training, and quality management. Our expertise stops living only in people's heads.</w:t>
      </w:r>
    </w:p>
    <w:p>
      <w:pPr>
        <w:spacing w:after="140"/>
        <w:ind w:left="240"/>
      </w:pPr>
      <w:r>
        <w:rPr>
          <w:rFonts w:ascii="Arial" w:cs="Arial" w:eastAsia="Arial" w:hAnsi="Arial"/>
          <w:color w:val="1A1A1A"/>
          <w:sz w:val="21"/>
          <w:szCs w:val="21"/>
        </w:rPr>
        <w:t xml:space="preserve">Where Credit Risk Review fits in this: we recognized that one team's proof of concept was really a capability for all of Risk, and we took on the work of organizing it. We are the first application. We are writing the requirements and the architecture with IT. We are drafting the use cases with the next teams. That is the pattern everyone after us inherits, and we are offering it.</w:t>
      </w:r>
    </w:p>
    <w:p>
      <w:pPr>
        <w:spacing w:after="140"/>
        <w:ind w:left="240"/>
      </w:pPr>
      <w:r>
        <w:rPr>
          <w:rFonts w:ascii="Arial" w:cs="Arial" w:eastAsia="Arial" w:hAnsi="Arial"/>
          <w:color w:val="1A1A1A"/>
          <w:sz w:val="21"/>
          <w:szCs w:val="21"/>
        </w:rPr>
        <w:t xml:space="preserve">So here is my one ask. If your team spends hours preparing documents before judgment, tell us, and tell us before September. That is when the architecture is ratified, and I would rather design the foundation around your needs than retrofit it later. We would rather help you onboard than watch you build it again.</w:t>
      </w:r>
    </w:p>
    <w:p>
      <w:pPr>
        <w:spacing w:after="140"/>
        <w:ind w:left="240"/>
      </w:pPr>
      <w:r>
        <w:rPr>
          <w:rFonts w:ascii="Arial" w:cs="Arial" w:eastAsia="Arial" w:hAnsi="Arial"/>
          <w:color w:val="1A1A1A"/>
          <w:sz w:val="21"/>
          <w:szCs w:val="21"/>
        </w:rPr>
        <w:t xml:space="preserve">I will close with this. Sentinel will give Risk a common, controlled way to convert evidence into better-prepared human judgment. The judgment stays with us. The preparation does not have to.</w:t>
      </w:r>
    </w:p>
    <w:p>
      <w:pPr>
        <w:pStyle w:val="Heading2"/>
        <w:spacing w:after="80" w:before="240"/>
      </w:pPr>
      <w:r>
        <w:rPr>
          <w:rFonts w:ascii="Arial" w:cs="Arial" w:eastAsia="Arial" w:hAnsi="Arial"/>
          <w:b/>
          <w:bCs/>
          <w:color w:val="000000"/>
          <w:sz w:val="24"/>
          <w:szCs w:val="24"/>
        </w:rPr>
        <w:t xml:space="preserve">Delivery</w:t>
      </w:r>
    </w:p>
    <w:p>
      <w:pPr>
        <w:pStyle w:val="ListParagraph"/>
        <w:numPr>
          <w:ilvl w:val="0"/>
          <w:numId w:val="2"/>
        </w:numPr>
        <w:spacing w:after="60"/>
      </w:pPr>
      <w:r>
        <w:rPr>
          <w:rFonts w:ascii="Arial" w:cs="Arial" w:eastAsia="Arial" w:hAnsi="Arial"/>
          <w:color w:val="1A1A1A"/>
          <w:sz w:val="21"/>
          <w:szCs w:val="21"/>
        </w:rPr>
        <w:t xml:space="preserve">Deliver the close standing still, then stop. Do not add a thank-you sentence after the last line; let it end.</w:t>
      </w:r>
    </w:p>
    <w:p>
      <w:pPr>
        <w:pStyle w:val="Heading1"/>
        <w:spacing w:after="120" w:before="320"/>
      </w:pPr>
      <w:r>
        <w:rPr>
          <w:rFonts w:ascii="Arial" w:cs="Arial" w:eastAsia="Arial" w:hAnsi="Arial"/>
          <w:b/>
          <w:bCs/>
          <w:color w:val="000000"/>
          <w:sz w:val="30"/>
          <w:szCs w:val="30"/>
        </w:rPr>
        <w:t xml:space="preserve">If you are running long</w:t>
      </w:r>
    </w:p>
    <w:p>
      <w:pPr>
        <w:spacing w:after="120"/>
      </w:pPr>
      <w:r>
        <w:rPr>
          <w:rFonts w:ascii="Arial" w:cs="Arial" w:eastAsia="Arial" w:hAnsi="Arial"/>
          <w:i w:val="false"/>
          <w:iCs w:val="false"/>
          <w:color w:val="1A1A1A"/>
          <w:sz w:val="21"/>
          <w:szCs w:val="21"/>
        </w:rPr>
        <w:t xml:space="preserve">Cut in this order. Each is self-contained and nothing later depends on it.</w:t>
      </w:r>
    </w:p>
    <w:p>
      <w:pPr>
        <w:pStyle w:val="ListParagraph"/>
        <w:numPr>
          <w:ilvl w:val="0"/>
          <w:numId w:val="2"/>
        </w:numPr>
        <w:spacing w:after="60"/>
      </w:pPr>
      <w:r>
        <w:rPr>
          <w:rFonts w:ascii="Arial" w:cs="Arial" w:eastAsia="Arial" w:hAnsi="Arial"/>
          <w:color w:val="1A1A1A"/>
          <w:sz w:val="21"/>
          <w:szCs w:val="21"/>
        </w:rPr>
        <w:t xml:space="preserve">The wiring analogy on the architecture slide (saves about 10 seconds).</w:t>
      </w:r>
    </w:p>
    <w:p>
      <w:pPr>
        <w:pStyle w:val="ListParagraph"/>
        <w:numPr>
          <w:ilvl w:val="0"/>
          <w:numId w:val="2"/>
        </w:numPr>
        <w:spacing w:after="60"/>
      </w:pPr>
      <w:r>
        <w:rPr>
          <w:rFonts w:ascii="Arial" w:cs="Arial" w:eastAsia="Arial" w:hAnsi="Arial"/>
          <w:color w:val="1A1A1A"/>
          <w:sz w:val="21"/>
          <w:szCs w:val="21"/>
        </w:rPr>
        <w:t xml:space="preserve">The accumulated-judgment paragraph on slide 4 (saves about 30 seconds). Keep it in your pocket for Q&amp;A instead.</w:t>
      </w:r>
    </w:p>
    <w:p>
      <w:pPr>
        <w:pStyle w:val="ListParagraph"/>
        <w:numPr>
          <w:ilvl w:val="0"/>
          <w:numId w:val="2"/>
        </w:numPr>
        <w:spacing w:after="60"/>
      </w:pPr>
      <w:r>
        <w:rPr>
          <w:rFonts w:ascii="Arial" w:cs="Arial" w:eastAsia="Arial" w:hAnsi="Arial"/>
          <w:color w:val="1A1A1A"/>
          <w:sz w:val="21"/>
          <w:szCs w:val="21"/>
        </w:rPr>
        <w:t xml:space="preserve">One of the three ring questions on slide 4 (saves about 10 seconds).</w:t>
      </w:r>
    </w:p>
    <w:p>
      <w:pPr>
        <w:pStyle w:val="ListParagraph"/>
        <w:numPr>
          <w:ilvl w:val="0"/>
          <w:numId w:val="2"/>
        </w:numPr>
        <w:spacing w:after="60"/>
      </w:pPr>
      <w:r>
        <w:rPr>
          <w:rFonts w:ascii="Arial" w:cs="Arial" w:eastAsia="Arial" w:hAnsi="Arial"/>
          <w:color w:val="1A1A1A"/>
          <w:sz w:val="21"/>
          <w:szCs w:val="21"/>
        </w:rPr>
        <w:t xml:space="preserve">The Commercial Lending lane walkthrough on the timeline: gesture at it and say the top lane keeps delivering value until it migrates (saves about 20 seconds).</w:t>
      </w:r>
    </w:p>
    <w:p>
      <w:r>
        <w:br w:type="page"/>
      </w:r>
    </w:p>
    <w:p>
      <w:pPr>
        <w:pStyle w:val="Heading1"/>
        <w:spacing w:after="120" w:before="320"/>
      </w:pPr>
      <w:r>
        <w:rPr>
          <w:rFonts w:ascii="Arial" w:cs="Arial" w:eastAsia="Arial" w:hAnsi="Arial"/>
          <w:b/>
          <w:bCs/>
          <w:color w:val="000000"/>
          <w:sz w:val="30"/>
          <w:szCs w:val="30"/>
        </w:rPr>
        <w:t xml:space="preserve">Q&amp;A preparation</w:t>
      </w:r>
    </w:p>
    <w:p>
      <w:pPr>
        <w:spacing w:after="120"/>
      </w:pPr>
      <w:r>
        <w:rPr>
          <w:rFonts w:ascii="Arial" w:cs="Arial" w:eastAsia="Arial" w:hAnsi="Arial"/>
          <w:i w:val="false"/>
          <w:iCs w:val="false"/>
          <w:color w:val="1A1A1A"/>
          <w:sz w:val="21"/>
          <w:szCs w:val="21"/>
        </w:rPr>
        <w:t xml:space="preserve">The Q&amp;A block is 15 minutes and shared across the agenda. Answers below are 20 to 30 seconds spoken. Two rules: never quote benefit or investment figures (the baseline and measurement basis are not agreed), and never let an answer imply a working application in governance.</w:t>
      </w:r>
    </w:p>
    <w:p>
      <w:pPr>
        <w:spacing w:after="40" w:before="160"/>
      </w:pPr>
      <w:r>
        <w:rPr>
          <w:rFonts w:ascii="Arial" w:cs="Arial" w:eastAsia="Arial" w:hAnsi="Arial"/>
          <w:b/>
          <w:bCs/>
          <w:color w:val="000000"/>
          <w:sz w:val="21"/>
          <w:szCs w:val="21"/>
        </w:rPr>
        <w:t xml:space="preserve">Is it live? When can my team use it?</w:t>
      </w:r>
    </w:p>
    <w:p>
      <w:pPr>
        <w:spacing w:after="60"/>
      </w:pPr>
      <w:r>
        <w:rPr>
          <w:rFonts w:ascii="Arial" w:cs="Arial" w:eastAsia="Arial" w:hAnsi="Arial"/>
          <w:color w:val="1A1A1A"/>
          <w:sz w:val="21"/>
          <w:szCs w:val="21"/>
        </w:rPr>
        <w:t xml:space="preserve">It is not live. We are in technical architecture now, the design goes for ratification in September, and the build is sized after that. Release 1 then goes through validation, user testing, and running alongside the current process before anyone relies on it. I would rather give you a date after sizing than a date I cannot stand behind.</w:t>
      </w:r>
    </w:p>
    <w:p>
      <w:pPr>
        <w:spacing w:after="40" w:before="160"/>
      </w:pPr>
      <w:r>
        <w:rPr>
          <w:rFonts w:ascii="Arial" w:cs="Arial" w:eastAsia="Arial" w:hAnsi="Arial"/>
          <w:b/>
          <w:bCs/>
          <w:color w:val="000000"/>
          <w:sz w:val="21"/>
          <w:szCs w:val="21"/>
        </w:rPr>
        <w:t xml:space="preserve">How is this different from the FAIR demo we just saw?</w:t>
      </w:r>
    </w:p>
    <w:p>
      <w:pPr>
        <w:spacing w:after="60"/>
      </w:pPr>
      <w:r>
        <w:rPr>
          <w:rFonts w:ascii="Arial" w:cs="Arial" w:eastAsia="Arial" w:hAnsi="Arial"/>
          <w:color w:val="1A1A1A"/>
          <w:sz w:val="21"/>
          <w:szCs w:val="21"/>
        </w:rPr>
        <w:t xml:space="preserve">Same family, different job. FAIR extracts and maps financial data from client documents inside credit processing, and it is in production. Sentinel prepares analysis and review: workpapers, assessments, structured answers against your standards, for any Risk team, with every statement cited and a person deciding. And it is deliberately built as a shared foundation rather than a single application.</w:t>
      </w:r>
    </w:p>
    <w:p>
      <w:pPr>
        <w:spacing w:after="40" w:before="160"/>
      </w:pPr>
      <w:r>
        <w:rPr>
          <w:rFonts w:ascii="Arial" w:cs="Arial" w:eastAsia="Arial" w:hAnsi="Arial"/>
          <w:b/>
          <w:bCs/>
          <w:color w:val="000000"/>
          <w:sz w:val="21"/>
          <w:szCs w:val="21"/>
        </w:rPr>
        <w:t xml:space="preserve">Will it make risk judgments or assign grades?</w:t>
      </w:r>
    </w:p>
    <w:p>
      <w:pPr>
        <w:spacing w:after="60"/>
      </w:pPr>
      <w:r>
        <w:rPr>
          <w:rFonts w:ascii="Arial" w:cs="Arial" w:eastAsia="Arial" w:hAnsi="Arial"/>
          <w:color w:val="1A1A1A"/>
          <w:sz w:val="21"/>
          <w:szCs w:val="21"/>
        </w:rPr>
        <w:t xml:space="preserve">No. It organizes evidence and prepares drafts, it flags what it is not confident about, and every conclusion belongs to a reviewer. Even in a later release, when it argues a counter-position, a person rules on it and records why. Sentinel will automate preparation, not accountability.</w:t>
      </w:r>
    </w:p>
    <w:p>
      <w:pPr>
        <w:spacing w:after="40" w:before="160"/>
      </w:pPr>
      <w:r>
        <w:rPr>
          <w:rFonts w:ascii="Arial" w:cs="Arial" w:eastAsia="Arial" w:hAnsi="Arial"/>
          <w:b/>
          <w:bCs/>
          <w:color w:val="000000"/>
          <w:sz w:val="21"/>
          <w:szCs w:val="21"/>
        </w:rPr>
        <w:t xml:space="preserve">How do we know the output is right? What about AI making things up?</w:t>
      </w:r>
    </w:p>
    <w:p>
      <w:pPr>
        <w:spacing w:after="60"/>
      </w:pPr>
      <w:r>
        <w:rPr>
          <w:rFonts w:ascii="Arial" w:cs="Arial" w:eastAsia="Arial" w:hAnsi="Arial"/>
          <w:color w:val="1A1A1A"/>
          <w:sz w:val="21"/>
          <w:szCs w:val="21"/>
        </w:rPr>
        <w:t xml:space="preserve">The design assumes the tool can be wrong. Every statement links to the source page, so checking is one click. Low-confidence items are flagged and held for review. And before anyone relies on it, the output goes through a validation approach we are defining now, including test sets and running alongside the current process. Nothing goes out without a person confirming it.</w:t>
      </w:r>
    </w:p>
    <w:p>
      <w:pPr>
        <w:spacing w:after="40" w:before="160"/>
      </w:pPr>
      <w:r>
        <w:rPr>
          <w:rFonts w:ascii="Arial" w:cs="Arial" w:eastAsia="Arial" w:hAnsi="Arial"/>
          <w:b/>
          <w:bCs/>
          <w:color w:val="000000"/>
          <w:sz w:val="21"/>
          <w:szCs w:val="21"/>
        </w:rPr>
        <w:t xml:space="preserve">What data will it see? What about confidentiality between teams?</w:t>
      </w:r>
    </w:p>
    <w:p>
      <w:pPr>
        <w:spacing w:after="60"/>
      </w:pPr>
      <w:r>
        <w:rPr>
          <w:rFonts w:ascii="Arial" w:cs="Arial" w:eastAsia="Arial" w:hAnsi="Arial"/>
          <w:color w:val="1A1A1A"/>
          <w:sz w:val="21"/>
          <w:szCs w:val="21"/>
        </w:rPr>
        <w:t xml:space="preserve">That is being designed into the foundation right now with IT: access controls, segregation between teams, and retention. Each team's data stays separate and access controlled by construction, not per application. It is one of the reasons we are taking the time to do the architecture properly.</w:t>
      </w:r>
    </w:p>
    <w:p>
      <w:pPr>
        <w:spacing w:after="40" w:before="160"/>
      </w:pPr>
      <w:r>
        <w:rPr>
          <w:rFonts w:ascii="Arial" w:cs="Arial" w:eastAsia="Arial" w:hAnsi="Arial"/>
          <w:b/>
          <w:bCs/>
          <w:color w:val="000000"/>
          <w:sz w:val="21"/>
          <w:szCs w:val="21"/>
        </w:rPr>
        <w:t xml:space="preserve">Has this been through AI governance?</w:t>
      </w:r>
    </w:p>
    <w:p>
      <w:pPr>
        <w:spacing w:after="60"/>
      </w:pPr>
      <w:r>
        <w:rPr>
          <w:rFonts w:ascii="Arial" w:cs="Arial" w:eastAsia="Arial" w:hAnsi="Arial"/>
          <w:color w:val="1A1A1A"/>
          <w:sz w:val="21"/>
          <w:szCs w:val="21"/>
        </w:rPr>
        <w:t xml:space="preserve">The use case is registered with OCTO, and we go through the governance process as part of the build. Governance keeps pace with what actually exists, which today is a design, not a production system.</w:t>
      </w:r>
    </w:p>
    <w:p>
      <w:pPr>
        <w:spacing w:after="40" w:before="160"/>
      </w:pPr>
      <w:r>
        <w:rPr>
          <w:rFonts w:ascii="Arial" w:cs="Arial" w:eastAsia="Arial" w:hAnsi="Arial"/>
          <w:b/>
          <w:bCs/>
          <w:color w:val="000000"/>
          <w:sz w:val="21"/>
          <w:szCs w:val="21"/>
        </w:rPr>
        <w:t xml:space="preserve">What does it cost, and what is the benefit?</w:t>
      </w:r>
    </w:p>
    <w:p>
      <w:pPr>
        <w:spacing w:after="60"/>
      </w:pPr>
      <w:r>
        <w:rPr>
          <w:rFonts w:ascii="Arial" w:cs="Arial" w:eastAsia="Arial" w:hAnsi="Arial"/>
          <w:color w:val="1A1A1A"/>
          <w:sz w:val="21"/>
          <w:szCs w:val="21"/>
        </w:rPr>
        <w:t xml:space="preserve">The proof of concept and the benefits case were confirmed in July, and sizing of the build is being worked now. I am deliberately not quoting figures until the baseline and how we measure are agreed. Directionally: reviewer time moves from assembling documents to judgment, standards get applied consistently, every conclusion becomes traceable, and each new team inherits the foundation at a fraction of a standalone build.</w:t>
      </w:r>
    </w:p>
    <w:p>
      <w:pPr>
        <w:spacing w:after="40" w:before="160"/>
      </w:pPr>
      <w:r>
        <w:rPr>
          <w:rFonts w:ascii="Arial" w:cs="Arial" w:eastAsia="Arial" w:hAnsi="Arial"/>
          <w:b/>
          <w:bCs/>
          <w:color w:val="000000"/>
          <w:sz w:val="21"/>
          <w:szCs w:val="21"/>
        </w:rPr>
        <w:t xml:space="preserve">What technology is it built on? Which AI model?</w:t>
      </w:r>
    </w:p>
    <w:p>
      <w:pPr>
        <w:spacing w:after="60"/>
      </w:pPr>
      <w:r>
        <w:rPr>
          <w:rFonts w:ascii="Arial" w:cs="Arial" w:eastAsia="Arial" w:hAnsi="Arial"/>
          <w:color w:val="1A1A1A"/>
          <w:sz w:val="21"/>
          <w:szCs w:val="21"/>
        </w:rPr>
        <w:t xml:space="preserve">It runs on Risk Lab, with the AI Enablement POD in IT, and the specific component choices are exactly what the architecture work is settling ahead of September. I would rather the answer come out of that process than from me today.</w:t>
      </w:r>
    </w:p>
    <w:p>
      <w:pPr>
        <w:spacing w:after="40" w:before="160"/>
      </w:pPr>
      <w:r>
        <w:rPr>
          <w:rFonts w:ascii="Arial" w:cs="Arial" w:eastAsia="Arial" w:hAnsi="Arial"/>
          <w:b/>
          <w:bCs/>
          <w:color w:val="000000"/>
          <w:sz w:val="21"/>
          <w:szCs w:val="21"/>
        </w:rPr>
        <w:t xml:space="preserve">My team has a document-heavy process. What do we do?</w:t>
      </w:r>
    </w:p>
    <w:p>
      <w:pPr>
        <w:spacing w:after="60"/>
      </w:pPr>
      <w:r>
        <w:rPr>
          <w:rFonts w:ascii="Arial" w:cs="Arial" w:eastAsia="Arial" w:hAnsi="Arial"/>
          <w:color w:val="1A1A1A"/>
          <w:sz w:val="21"/>
          <w:szCs w:val="21"/>
        </w:rPr>
        <w:t xml:space="preserve">Come and talk to us, ideally before the September ratification so the foundation reflects your needs. Configuring an application is five steps: choose your evidence, choose the task, set the standards to apply, get a structured draft, review and decide. You bring the content; you inherit the controls.</w:t>
      </w:r>
    </w:p>
    <w:p>
      <w:pPr>
        <w:spacing w:after="40" w:before="160"/>
      </w:pPr>
      <w:r>
        <w:rPr>
          <w:rFonts w:ascii="Arial" w:cs="Arial" w:eastAsia="Arial" w:hAnsi="Arial"/>
          <w:b/>
          <w:bCs/>
          <w:color w:val="000000"/>
          <w:sz w:val="21"/>
          <w:szCs w:val="21"/>
        </w:rPr>
        <w:t xml:space="preserve">Does this replace analysts?</w:t>
      </w:r>
    </w:p>
    <w:p>
      <w:pPr>
        <w:spacing w:after="60"/>
      </w:pPr>
      <w:r>
        <w:rPr>
          <w:rFonts w:ascii="Arial" w:cs="Arial" w:eastAsia="Arial" w:hAnsi="Arial"/>
          <w:color w:val="1A1A1A"/>
          <w:sz w:val="21"/>
          <w:szCs w:val="21"/>
        </w:rPr>
        <w:t xml:space="preserve">No. It goes after the part of the job that does not need an analyst: finding, extracting, and assembling. The judgment, the challenge, and the conclusion stay with people, and the goal is that they get more of their time for exactly that.</w:t>
      </w:r>
    </w:p>
    <w:p>
      <w:pPr>
        <w:spacing w:after="40" w:before="160"/>
      </w:pPr>
      <w:r>
        <w:rPr>
          <w:rFonts w:ascii="Arial" w:cs="Arial" w:eastAsia="Arial" w:hAnsi="Arial"/>
          <w:b/>
          <w:bCs/>
          <w:color w:val="000000"/>
          <w:sz w:val="21"/>
          <w:szCs w:val="21"/>
        </w:rPr>
        <w:t xml:space="preserve">What happens to the original Commercial Lending tool?</w:t>
      </w:r>
    </w:p>
    <w:p>
      <w:pPr>
        <w:spacing w:after="60"/>
      </w:pPr>
      <w:r>
        <w:rPr>
          <w:rFonts w:ascii="Arial" w:cs="Arial" w:eastAsia="Arial" w:hAnsi="Arial"/>
          <w:color w:val="1A1A1A"/>
          <w:sz w:val="21"/>
          <w:szCs w:val="21"/>
        </w:rPr>
        <w:t xml:space="preserve">It carries on as a tactical solution and keeps delivering value; nobody waits for the platform. When Sentinel is ready, that use case migrates onto it. Nobody waits, and nobody builds twice.</w:t>
      </w:r>
    </w:p>
    <w:p>
      <w:pPr>
        <w:pStyle w:val="Heading1"/>
        <w:spacing w:after="120" w:before="320"/>
      </w:pPr>
      <w:r>
        <w:rPr>
          <w:rFonts w:ascii="Arial" w:cs="Arial" w:eastAsia="Arial" w:hAnsi="Arial"/>
          <w:b/>
          <w:bCs/>
          <w:color w:val="000000"/>
          <w:sz w:val="30"/>
          <w:szCs w:val="30"/>
        </w:rPr>
        <w:t xml:space="preserve">Before you present, confirm</w:t>
      </w:r>
    </w:p>
    <w:p>
      <w:pPr>
        <w:pStyle w:val="ListParagraph"/>
        <w:numPr>
          <w:ilvl w:val="0"/>
          <w:numId w:val="2"/>
        </w:numPr>
        <w:spacing w:after="60"/>
      </w:pPr>
      <w:r>
        <w:rPr>
          <w:rFonts w:ascii="Arial" w:cs="Arial" w:eastAsia="Arial" w:hAnsi="Arial"/>
          <w:color w:val="1A1A1A"/>
          <w:sz w:val="21"/>
          <w:szCs w:val="21"/>
        </w:rPr>
        <w:t xml:space="preserve">Whether to name the originating IB Commercial Lending team or lead on slide 1.</w:t>
      </w:r>
    </w:p>
    <w:p>
      <w:pPr>
        <w:pStyle w:val="ListParagraph"/>
        <w:numPr>
          <w:ilvl w:val="0"/>
          <w:numId w:val="2"/>
        </w:numPr>
        <w:spacing w:after="60"/>
      </w:pPr>
      <w:r>
        <w:rPr>
          <w:rFonts w:ascii="Arial" w:cs="Arial" w:eastAsia="Arial" w:hAnsi="Arial"/>
          <w:color w:val="1A1A1A"/>
          <w:sz w:val="21"/>
          <w:szCs w:val="21"/>
        </w:rPr>
        <w:t xml:space="preserve">The September deadline inside the ask, which commits you to intake conversations.</w:t>
      </w:r>
    </w:p>
    <w:p>
      <w:pPr>
        <w:pStyle w:val="ListParagraph"/>
        <w:numPr>
          <w:ilvl w:val="0"/>
          <w:numId w:val="2"/>
        </w:numPr>
        <w:spacing w:after="60"/>
      </w:pPr>
      <w:r>
        <w:rPr>
          <w:rFonts w:ascii="Arial" w:cs="Arial" w:eastAsia="Arial" w:hAnsi="Arial"/>
          <w:color w:val="1A1A1A"/>
          <w:sz w:val="21"/>
          <w:szCs w:val="21"/>
        </w:rPr>
        <w:t xml:space="preserve">Expansions: Personal &amp; Corporate Banking and Enterprise Risk Management as used here.</w:t>
      </w:r>
    </w:p>
    <w:p>
      <w:pPr>
        <w:pStyle w:val="ListParagraph"/>
        <w:numPr>
          <w:ilvl w:val="0"/>
          <w:numId w:val="2"/>
        </w:numPr>
        <w:spacing w:after="60"/>
      </w:pPr>
      <w:r>
        <w:rPr>
          <w:rFonts w:ascii="Arial" w:cs="Arial" w:eastAsia="Arial" w:hAnsi="Arial"/>
          <w:color w:val="1A1A1A"/>
          <w:sz w:val="21"/>
          <w:szCs w:val="21"/>
        </w:rPr>
        <w:t xml:space="preserve">The phrase 'hours, sometimes days' for evidence gathering, or replace it with a figure you can stand behind.</w:t>
      </w:r>
    </w:p>
    <w:p>
      <w:pPr>
        <w:pStyle w:val="ListParagraph"/>
        <w:numPr>
          <w:ilvl w:val="0"/>
          <w:numId w:val="2"/>
        </w:numPr>
        <w:spacing w:after="60"/>
      </w:pPr>
      <w:r>
        <w:rPr>
          <w:rFonts w:ascii="Arial" w:cs="Arial" w:eastAsia="Arial" w:hAnsi="Arial"/>
          <w:color w:val="1A1A1A"/>
          <w:sz w:val="21"/>
          <w:szCs w:val="21"/>
        </w:rPr>
        <w:t xml:space="preserve">Whether Sentinel appears on the GRC Transformation Roadmap presented before you; if so, add one tie-back line on the timeline slide.</w:t>
      </w:r>
    </w:p>
    <w:p>
      <w:pPr>
        <w:pStyle w:val="ListParagraph"/>
        <w:numPr>
          <w:ilvl w:val="0"/>
          <w:numId w:val="2"/>
        </w:numPr>
        <w:spacing w:after="60"/>
      </w:pPr>
      <w:r>
        <w:rPr>
          <w:rFonts w:ascii="Arial" w:cs="Arial" w:eastAsia="Arial" w:hAnsi="Arial"/>
          <w:color w:val="1A1A1A"/>
          <w:sz w:val="21"/>
          <w:szCs w:val="21"/>
        </w:rPr>
        <w:t xml:space="preserve">Version A only: the screenshot is in the frame and the three markers sit on the right spots.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2026-08-31T14:08:36.042Z</dcterms:created>
  <dcterms:modified xsi:type="dcterms:W3CDTF">2026-08-31T14:08:36.059Z</dcterms:modified>
</cp:coreProperties>
</file>

<file path=docProps/custom.xml><?xml version="1.0" encoding="utf-8"?>
<Properties xmlns="http://schemas.openxmlformats.org/officeDocument/2006/custom-properties" xmlns:vt="http://schemas.openxmlformats.org/officeDocument/2006/docPropsVTypes"/>
</file>