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0"/>
          <w:szCs w:val="20"/>
        </w:rPr>
        <w:t xml:space="preserve">CREDIT RISK REVIEW CUSO</w:t>
      </w:r>
    </w:p>
    <w:p>
      <w:pPr>
        <w:spacing w:after="60"/>
      </w:pPr>
      <w:r>
        <w:rPr>
          <w:rFonts w:ascii="Arial" w:cs="Arial" w:eastAsia="Arial" w:hAnsi="Arial"/>
          <w:b/>
          <w:bCs/>
          <w:sz w:val="40"/>
          <w:szCs w:val="40"/>
        </w:rPr>
        <w:t xml:space="preserve">The CRR Analyst Journey</w:t>
      </w:r>
    </w:p>
    <w:p>
      <w:pPr>
        <w:spacing w:after="240"/>
      </w:pPr>
      <w:r>
        <w:rPr>
          <w:rFonts w:ascii="Arial" w:cs="Arial" w:eastAsia="Arial" w:hAnsi="Arial"/>
          <w:i/>
          <w:iCs/>
          <w:sz w:val="22"/>
          <w:szCs w:val="22"/>
        </w:rPr>
        <w:t xml:space="preserve">Why CRR exists, how reviews are conducted, and what the work produces: end-user process context for the Sentinel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Mar>
              <w:top w:type="dxa" w:w="60"/>
              <w:left w:type="dxa" w:w="80"/>
              <w:bottom w:type="dxa" w:w="60"/>
              <w:right w:type="dxa" w:w="80"/>
            </w:tcMar>
          </w:tcPr>
          <w:p>
            <w:pPr>
              <w:spacing w:after="0"/>
            </w:pPr>
            <w:r>
              <w:rPr>
                <w:rFonts w:ascii="Arial" w:cs="Arial" w:eastAsia="Arial" w:hAnsi="Arial"/>
                <w:b/>
                <w:bCs/>
                <w:sz w:val="19"/>
                <w:szCs w:val="19"/>
              </w:rPr>
              <w:t xml:space="preserve">Audience</w:t>
            </w:r>
          </w:p>
        </w:tc>
        <w:tc>
          <w:tcPr>
            <w:tcW w:type="dxa" w:w="7160"/>
            <w:tcMar>
              <w:top w:type="dxa" w:w="60"/>
              <w:left w:type="dxa" w:w="80"/>
              <w:bottom w:type="dxa" w:w="60"/>
              <w:right w:type="dxa" w:w="80"/>
            </w:tcMar>
          </w:tcPr>
          <w:p>
            <w:pPr>
              <w:spacing w:after="0"/>
            </w:pPr>
            <w:r>
              <w:rPr>
                <w:rFonts w:ascii="Arial" w:cs="Arial" w:eastAsia="Arial" w:hAnsi="Arial"/>
                <w:b w:val="false"/>
                <w:bCs w:val="false"/>
                <w:sz w:val="19"/>
                <w:szCs w:val="19"/>
              </w:rPr>
              <w:t xml:space="preserve">IT, data, architecture, product, information security, records management, and CRR stakeholders</w:t>
            </w:r>
          </w:p>
        </w:tc>
      </w:tr>
      <w:tr>
        <w:trPr>
          <w:cantSplit/>
        </w:trPr>
        <w:tc>
          <w:tcPr>
            <w:tcW w:type="dxa" w:w="2200"/>
            <w:tcMar>
              <w:top w:type="dxa" w:w="60"/>
              <w:left w:type="dxa" w:w="80"/>
              <w:bottom w:type="dxa" w:w="60"/>
              <w:right w:type="dxa" w:w="80"/>
            </w:tcMar>
          </w:tcPr>
          <w:p>
            <w:pPr>
              <w:spacing w:after="0"/>
            </w:pPr>
            <w:r>
              <w:rPr>
                <w:rFonts w:ascii="Arial" w:cs="Arial" w:eastAsia="Arial" w:hAnsi="Arial"/>
                <w:b/>
                <w:bCs/>
                <w:sz w:val="19"/>
                <w:szCs w:val="19"/>
              </w:rPr>
              <w:t xml:space="preserve">Business owner</w:t>
            </w:r>
          </w:p>
        </w:tc>
        <w:tc>
          <w:tcPr>
            <w:tcW w:type="dxa" w:w="7160"/>
            <w:tcMar>
              <w:top w:type="dxa" w:w="60"/>
              <w:left w:type="dxa" w:w="80"/>
              <w:bottom w:type="dxa" w:w="60"/>
              <w:right w:type="dxa" w:w="80"/>
            </w:tcMar>
          </w:tcPr>
          <w:p>
            <w:pPr>
              <w:spacing w:after="0"/>
            </w:pPr>
            <w:r>
              <w:rPr>
                <w:rFonts w:ascii="Arial" w:cs="Arial" w:eastAsia="Arial" w:hAnsi="Arial"/>
                <w:b w:val="false"/>
                <w:bCs w:val="false"/>
                <w:sz w:val="19"/>
                <w:szCs w:val="19"/>
              </w:rPr>
              <w:t xml:space="preserve">Credit Risk Review CUSO</w:t>
            </w:r>
          </w:p>
        </w:tc>
      </w:tr>
      <w:tr>
        <w:trPr>
          <w:cantSplit/>
        </w:trPr>
        <w:tc>
          <w:tcPr>
            <w:tcW w:type="dxa" w:w="2200"/>
            <w:tcMar>
              <w:top w:type="dxa" w:w="60"/>
              <w:left w:type="dxa" w:w="80"/>
              <w:bottom w:type="dxa" w:w="60"/>
              <w:right w:type="dxa" w:w="80"/>
            </w:tcMar>
          </w:tcPr>
          <w:p>
            <w:pPr>
              <w:spacing w:after="0"/>
            </w:pPr>
            <w:r>
              <w:rPr>
                <w:rFonts w:ascii="Arial" w:cs="Arial" w:eastAsia="Arial" w:hAnsi="Arial"/>
                <w:b/>
                <w:bCs/>
                <w:sz w:val="19"/>
                <w:szCs w:val="19"/>
              </w:rPr>
              <w:t xml:space="preserve">Primary sources</w:t>
            </w:r>
          </w:p>
        </w:tc>
        <w:tc>
          <w:tcPr>
            <w:tcW w:type="dxa" w:w="7160"/>
            <w:tcMar>
              <w:top w:type="dxa" w:w="60"/>
              <w:left w:type="dxa" w:w="80"/>
              <w:bottom w:type="dxa" w:w="60"/>
              <w:right w:type="dxa" w:w="80"/>
            </w:tcMar>
          </w:tcPr>
          <w:p>
            <w:pPr>
              <w:spacing w:after="0"/>
            </w:pPr>
            <w:r>
              <w:rPr>
                <w:rFonts w:ascii="Arial" w:cs="Arial" w:eastAsia="Arial" w:hAnsi="Arial"/>
                <w:b w:val="false"/>
                <w:bCs w:val="false"/>
                <w:sz w:val="19"/>
                <w:szCs w:val="19"/>
              </w:rPr>
              <w:t xml:space="preserve">1-G-007544, CRR Procedure Manual (published 14 July 2025); CRR reviewer process walkthrough</w:t>
            </w:r>
          </w:p>
        </w:tc>
      </w:tr>
      <w:tr>
        <w:trPr>
          <w:cantSplit/>
        </w:trPr>
        <w:tc>
          <w:tcPr>
            <w:tcW w:type="dxa" w:w="2200"/>
            <w:tcMar>
              <w:top w:type="dxa" w:w="60"/>
              <w:left w:type="dxa" w:w="80"/>
              <w:bottom w:type="dxa" w:w="60"/>
              <w:right w:type="dxa" w:w="80"/>
            </w:tcMar>
          </w:tcPr>
          <w:p>
            <w:pPr>
              <w:spacing w:after="0"/>
            </w:pPr>
            <w:r>
              <w:rPr>
                <w:rFonts w:ascii="Arial" w:cs="Arial" w:eastAsia="Arial" w:hAnsi="Arial"/>
                <w:b/>
                <w:bCs/>
                <w:sz w:val="19"/>
                <w:szCs w:val="19"/>
              </w:rPr>
              <w:t xml:space="preserve">Status</w:t>
            </w:r>
          </w:p>
        </w:tc>
        <w:tc>
          <w:tcPr>
            <w:tcW w:type="dxa" w:w="7160"/>
            <w:tcMar>
              <w:top w:type="dxa" w:w="60"/>
              <w:left w:type="dxa" w:w="80"/>
              <w:bottom w:type="dxa" w:w="60"/>
              <w:right w:type="dxa" w:w="80"/>
            </w:tcMar>
          </w:tcPr>
          <w:p>
            <w:pPr>
              <w:spacing w:after="0"/>
            </w:pPr>
            <w:r>
              <w:rPr>
                <w:rFonts w:ascii="Arial" w:cs="Arial" w:eastAsia="Arial" w:hAnsi="Arial"/>
                <w:b w:val="false"/>
                <w:bCs w:val="false"/>
                <w:sz w:val="19"/>
                <w:szCs w:val="19"/>
              </w:rPr>
              <w:t xml:space="preserve">Draft for requirements and solution-design discussion; main version maintained by CRR</w:t>
            </w:r>
          </w:p>
        </w:tc>
      </w:tr>
    </w:tbl>
    <w:p>
      <w:pPr>
        <w:spacing w:after="60"/>
      </w:pPr>
      <w:r>
        <w:rPr>
          <w:rFonts w:ascii="Arial" w:cs="Arial" w:eastAsia="Arial" w:hAnsi="Arial"/>
          <w:sz w:val="21"/>
          <w:szCs w:val="21"/>
        </w:rPr>
        <w:t xml:space="preserve"/>
      </w:r>
    </w:p>
    <w:p>
      <w:pPr>
        <w:spacing w:after="200"/>
      </w:pPr>
      <w:r>
        <w:rPr>
          <w:rFonts w:ascii="Arial" w:cs="Arial" w:eastAsia="Arial" w:hAnsi="Arial"/>
          <w:i/>
          <w:iCs/>
          <w:sz w:val="18"/>
          <w:szCs w:val="18"/>
        </w:rPr>
        <w:t xml:space="preserve">This document summarizes the Procedure Manual and the reviewer process walkthrough. Statements about the Sentinel platform are proposals for discussion, not existing CRR procedure.</w:t>
      </w:r>
    </w:p>
    <w:p>
      <w:pPr>
        <w:pStyle w:val="Heading1"/>
        <w:spacing w:after="120" w:before="300"/>
      </w:pPr>
      <w:r>
        <w:rPr>
          <w:rFonts w:ascii="Arial" w:cs="Arial" w:eastAsia="Arial" w:hAnsi="Arial"/>
          <w:b/>
          <w:bCs/>
          <w:color w:val="000000"/>
          <w:sz w:val="26"/>
          <w:szCs w:val="26"/>
        </w:rPr>
        <w:t xml:space="preserve">1. Purpose of this document</w:t>
      </w:r>
    </w:p>
    <w:p>
      <w:pPr>
        <w:spacing w:after="140"/>
      </w:pPr>
      <w:r>
        <w:rPr>
          <w:rFonts w:ascii="Arial" w:cs="Arial" w:eastAsia="Arial" w:hAnsi="Arial"/>
          <w:sz w:val="21"/>
          <w:szCs w:val="21"/>
        </w:rPr>
        <w:t xml:space="preserve">Give IT, architecture, product, and control partners the business context needed to design a capability that assists CRR reviewers in documenting workpapers without weakening reviewer judgment, evidence traceability, quality control, or record integrity. The document sets the scene on why CRR exists, walks the analyst’s process end to end, and describes what reviews produce. Detailed solution requirements live in the companion business context document and the platform BRD.</w:t>
      </w:r>
    </w:p>
    <w:p>
      <w:pPr>
        <w:pStyle w:val="Heading1"/>
        <w:spacing w:after="120" w:before="300"/>
      </w:pPr>
      <w:r>
        <w:rPr>
          <w:rFonts w:ascii="Arial" w:cs="Arial" w:eastAsia="Arial" w:hAnsi="Arial"/>
          <w:b/>
          <w:bCs/>
          <w:color w:val="000000"/>
          <w:sz w:val="26"/>
          <w:szCs w:val="26"/>
        </w:rPr>
        <w:t xml:space="preserve">2. Why CRR exists</w:t>
      </w:r>
    </w:p>
    <w:p>
      <w:pPr>
        <w:spacing w:after="140"/>
      </w:pPr>
      <w:r>
        <w:rPr>
          <w:rFonts w:ascii="Arial" w:cs="Arial" w:eastAsia="Arial" w:hAnsi="Arial"/>
          <w:sz w:val="21"/>
          <w:szCs w:val="21"/>
        </w:rPr>
        <w:t xml:space="preserve">Credit Risk Review for the Combined U.S. Operations (CRR CUSO) is the independent assessor of the credit risk profile and credit culture within the Combined U.S. Operations. Its scope covers traditional lending and counterparty credit risk exposures booked in the U.S. CRR does not replace the responsibilities of the first or second lines of defense; it provides an independent, well-supported view of credit risk and credit risk management.</w:t>
      </w:r>
    </w:p>
    <w:p>
      <w:pPr>
        <w:spacing w:after="80"/>
      </w:pPr>
      <w:r>
        <w:rPr>
          <w:rFonts w:ascii="Arial" w:cs="Arial" w:eastAsia="Arial" w:hAnsi="Arial"/>
          <w:sz w:val="21"/>
          <w:szCs w:val="21"/>
        </w:rPr>
        <w:t xml:space="preserve">The mandate, in practical terms:</w:t>
      </w:r>
    </w:p>
    <w:p>
      <w:pPr>
        <w:pStyle w:val="ListParagraph"/>
        <w:numPr>
          <w:ilvl w:val="0"/>
          <w:numId w:val="2"/>
        </w:numPr>
        <w:spacing w:after="60"/>
      </w:pPr>
      <w:r>
        <w:rPr>
          <w:rFonts w:ascii="Arial" w:cs="Arial" w:eastAsia="Arial" w:hAnsi="Arial"/>
          <w:sz w:val="21"/>
          <w:szCs w:val="21"/>
        </w:rPr>
        <w:t xml:space="preserve">Develop an independent and credible opinion of credit risk across in-scope portfolios.</w:t>
      </w:r>
    </w:p>
    <w:p>
      <w:pPr>
        <w:pStyle w:val="ListParagraph"/>
        <w:numPr>
          <w:ilvl w:val="0"/>
          <w:numId w:val="2"/>
        </w:numPr>
        <w:spacing w:after="60"/>
      </w:pPr>
      <w:r>
        <w:rPr>
          <w:rFonts w:ascii="Arial" w:cs="Arial" w:eastAsia="Arial" w:hAnsi="Arial"/>
          <w:sz w:val="21"/>
          <w:szCs w:val="21"/>
        </w:rPr>
        <w:t xml:space="preserve">Assess the quantity of credit risk, the quality of credit risk management, aggregate credit risk, and the direction of credit risk.</w:t>
      </w:r>
    </w:p>
    <w:p>
      <w:pPr>
        <w:pStyle w:val="ListParagraph"/>
        <w:numPr>
          <w:ilvl w:val="0"/>
          <w:numId w:val="2"/>
        </w:numPr>
        <w:spacing w:after="60"/>
      </w:pPr>
      <w:r>
        <w:rPr>
          <w:rFonts w:ascii="Arial" w:cs="Arial" w:eastAsia="Arial" w:hAnsi="Arial"/>
          <w:sz w:val="21"/>
          <w:szCs w:val="21"/>
        </w:rPr>
        <w:t xml:space="preserve">Evaluate credit risk policies, procedures, personnel, systems, and practices against policy and U.S. regulatory expectations.</w:t>
      </w:r>
    </w:p>
    <w:p>
      <w:pPr>
        <w:pStyle w:val="ListParagraph"/>
        <w:numPr>
          <w:ilvl w:val="0"/>
          <w:numId w:val="2"/>
        </w:numPr>
        <w:spacing w:after="60"/>
      </w:pPr>
      <w:r>
        <w:rPr>
          <w:rFonts w:ascii="Arial" w:cs="Arial" w:eastAsia="Arial" w:hAnsi="Arial"/>
          <w:sz w:val="21"/>
          <w:szCs w:val="21"/>
        </w:rPr>
        <w:t xml:space="preserve">Communicate a supported risk perspective to management, Board Risk Committees, and U.S. regulatory authorities through established reports.</w:t>
      </w:r>
    </w:p>
    <w:p>
      <w:pPr>
        <w:pStyle w:val="ListParagraph"/>
        <w:numPr>
          <w:ilvl w:val="0"/>
          <w:numId w:val="2"/>
        </w:numPr>
        <w:spacing w:after="60"/>
      </w:pPr>
      <w:r>
        <w:rPr>
          <w:rFonts w:ascii="Arial" w:cs="Arial" w:eastAsia="Arial" w:hAnsi="Arial"/>
          <w:sz w:val="21"/>
          <w:szCs w:val="21"/>
        </w:rPr>
        <w:t xml:space="preserve">Identify deficiencies, rating differences, emerging risk trends, and improvement opportunities, and follow significant concerns through remediation and validation.</w:t>
      </w:r>
    </w:p>
    <w:p>
      <w:pPr>
        <w:spacing w:after="200"/>
      </w:pPr>
      <w:r>
        <w:rPr>
          <w:rFonts w:ascii="Arial" w:cs="Arial" w:eastAsia="Arial" w:hAnsi="Arial"/>
          <w:sz w:val="21"/>
          <w:szCs w:val="21"/>
        </w:rPr>
        <w:t xml:space="preserve">CRR is independent from risk taking and from the first and second line activities it reviews; its work does not relieve the Business or Risk Control of their responsibilities. That distinction carries directly into platform design: the tool supports CRR documentation. It does not perform first-line underwriting, own second-line risk, or reach autonomous third-line conclusions.</w:t>
      </w:r>
    </w:p>
    <w:p>
      <w:pPr>
        <w:pStyle w:val="Heading1"/>
        <w:spacing w:after="120" w:before="300"/>
      </w:pPr>
      <w:r>
        <w:rPr>
          <w:rFonts w:ascii="Arial" w:cs="Arial" w:eastAsia="Arial" w:hAnsi="Arial"/>
          <w:b/>
          <w:bCs/>
          <w:color w:val="000000"/>
          <w:sz w:val="26"/>
          <w:szCs w:val="26"/>
        </w:rPr>
        <w:t xml:space="preserve">3. Reviews</w:t>
      </w:r>
    </w:p>
    <w:p>
      <w:pPr>
        <w:spacing w:after="140"/>
      </w:pPr>
      <w:r>
        <w:rPr>
          <w:rFonts w:ascii="Arial" w:cs="Arial" w:eastAsia="Arial" w:hAnsi="Arial"/>
          <w:sz w:val="21"/>
          <w:szCs w:val="21"/>
        </w:rPr>
        <w:t xml:space="preserve">Reviews are one part of the CRR ecosystem, which also includes continuous monitoring, portfolio risk assessments, and annual planning. This document focuses on reviews, because reviews are where workpapers are produced.</w:t>
      </w:r>
    </w:p>
    <w:p>
      <w:pPr>
        <w:spacing w:after="140"/>
      </w:pPr>
      <w:r>
        <w:rPr>
          <w:rFonts w:ascii="Arial" w:cs="Arial" w:eastAsia="Arial" w:hAnsi="Arial"/>
          <w:sz w:val="21"/>
          <w:szCs w:val="21"/>
        </w:rPr>
        <w:t xml:space="preserve">Reviews are in-depth examinations of portfolios, products, processes, or themes. Target Reviews provide standard portfolio or procedural coverage; Thematic Reviews address specialized areas of interest, emerging trends, Board direction, or regulatory requests. Every review tests some combination of the following, and the workpapers must be able to support each answer:</w:t>
      </w:r>
    </w:p>
    <w:p>
      <w:pPr>
        <w:pStyle w:val="ListParagraph"/>
        <w:numPr>
          <w:ilvl w:val="0"/>
          <w:numId w:val="2"/>
        </w:numPr>
        <w:spacing w:after="60"/>
      </w:pPr>
      <w:r>
        <w:rPr>
          <w:rFonts w:ascii="Arial" w:cs="Arial" w:eastAsia="Arial" w:hAnsi="Arial"/>
          <w:sz w:val="21"/>
          <w:szCs w:val="21"/>
        </w:rPr>
        <w:t xml:space="preserve">Risk ratings and problem identification: are classifications and internal ratings accurate and timely?</w:t>
      </w:r>
    </w:p>
    <w:p>
      <w:pPr>
        <w:pStyle w:val="ListParagraph"/>
        <w:numPr>
          <w:ilvl w:val="0"/>
          <w:numId w:val="2"/>
        </w:numPr>
        <w:spacing w:after="60"/>
      </w:pPr>
      <w:r>
        <w:rPr>
          <w:rFonts w:ascii="Arial" w:cs="Arial" w:eastAsia="Arial" w:hAnsi="Arial"/>
          <w:sz w:val="21"/>
          <w:szCs w:val="21"/>
        </w:rPr>
        <w:t xml:space="preserve">Credit quality and underwriting: is the underwriting sound; are material risks identified and analyzed?</w:t>
      </w:r>
    </w:p>
    <w:p>
      <w:pPr>
        <w:pStyle w:val="ListParagraph"/>
        <w:numPr>
          <w:ilvl w:val="0"/>
          <w:numId w:val="2"/>
        </w:numPr>
        <w:spacing w:after="60"/>
      </w:pPr>
      <w:r>
        <w:rPr>
          <w:rFonts w:ascii="Arial" w:cs="Arial" w:eastAsia="Arial" w:hAnsi="Arial"/>
          <w:sz w:val="21"/>
          <w:szCs w:val="21"/>
        </w:rPr>
        <w:t xml:space="preserve">Borrower and repayment analysis: performance, primary and secondary repayment sources, assumptions, projections.</w:t>
      </w:r>
    </w:p>
    <w:p>
      <w:pPr>
        <w:pStyle w:val="ListParagraph"/>
        <w:numPr>
          <w:ilvl w:val="0"/>
          <w:numId w:val="2"/>
        </w:numPr>
        <w:spacing w:after="60"/>
      </w:pPr>
      <w:r>
        <w:rPr>
          <w:rFonts w:ascii="Arial" w:cs="Arial" w:eastAsia="Arial" w:hAnsi="Arial"/>
          <w:sz w:val="21"/>
          <w:szCs w:val="21"/>
        </w:rPr>
        <w:t xml:space="preserve">Authority and structure: were approvals appropriate and policy-consistent; are covenants and structural protections addressed?</w:t>
      </w:r>
    </w:p>
    <w:p>
      <w:pPr>
        <w:pStyle w:val="ListParagraph"/>
        <w:numPr>
          <w:ilvl w:val="0"/>
          <w:numId w:val="2"/>
        </w:numPr>
        <w:spacing w:after="60"/>
      </w:pPr>
      <w:r>
        <w:rPr>
          <w:rFonts w:ascii="Arial" w:cs="Arial" w:eastAsia="Arial" w:hAnsi="Arial"/>
          <w:sz w:val="21"/>
          <w:szCs w:val="21"/>
        </w:rPr>
        <w:t xml:space="preserve">Policy and regulatory adherence: does the reviewed activity comply with internal policies, procedures, laws, and regulations?</w:t>
      </w:r>
    </w:p>
    <w:p>
      <w:pPr>
        <w:pStyle w:val="ListParagraph"/>
        <w:numPr>
          <w:ilvl w:val="0"/>
          <w:numId w:val="2"/>
        </w:numPr>
        <w:spacing w:after="60"/>
      </w:pPr>
      <w:r>
        <w:rPr>
          <w:rFonts w:ascii="Arial" w:cs="Arial" w:eastAsia="Arial" w:hAnsi="Arial"/>
          <w:sz w:val="21"/>
          <w:szCs w:val="21"/>
        </w:rPr>
        <w:t xml:space="preserve">Credit loss estimation: are relevant data, assumptions, processes, and charge-off timing reasonable?</w:t>
      </w:r>
    </w:p>
    <w:p>
      <w:pPr>
        <w:pStyle w:val="ListParagraph"/>
        <w:numPr>
          <w:ilvl w:val="0"/>
          <w:numId w:val="2"/>
        </w:numPr>
        <w:spacing w:after="60"/>
      </w:pPr>
      <w:r>
        <w:rPr>
          <w:rFonts w:ascii="Arial" w:cs="Arial" w:eastAsia="Arial" w:hAnsi="Arial"/>
          <w:sz w:val="21"/>
          <w:szCs w:val="21"/>
        </w:rPr>
        <w:t xml:space="preserve">Risk management effectiveness: are risks identified, measured, controlled, and monitored; are policies, personnel, processes, and controls adequate?</w:t>
      </w:r>
    </w:p>
    <w:p>
      <w:pPr>
        <w:spacing w:after="200"/>
      </w:pPr>
      <w:r>
        <w:rPr>
          <w:rFonts w:ascii="Arial" w:cs="Arial" w:eastAsia="Arial" w:hAnsi="Arial"/>
          <w:sz w:val="21"/>
          <w:szCs w:val="21"/>
        </w:rPr>
        <w:t xml:space="preserve">Sampling is risk-principles-based and relies on CRR expert judgment. Commercial selection priorities include non-pass exposures, larger exposures, lower-rated pass borrowers, watch-list names, subsector representation, newer originations, recent rating changes, new products, related-party exposures, and concentrations. Retail reviews rely more on portfolio data, policies, processes, reporting, and controls because individual exposures are more homogeneous.</w:t>
      </w:r>
    </w:p>
    <w:p>
      <w:pPr>
        <w:pStyle w:val="Heading1"/>
        <w:spacing w:after="120" w:before="300"/>
      </w:pPr>
      <w:r>
        <w:rPr>
          <w:rFonts w:ascii="Arial" w:cs="Arial" w:eastAsia="Arial" w:hAnsi="Arial"/>
          <w:b/>
          <w:bCs/>
          <w:color w:val="000000"/>
          <w:sz w:val="26"/>
          <w:szCs w:val="26"/>
        </w:rPr>
        <w:t xml:space="preserve">4. The analyst’s journey: completing a workpaper</w:t>
      </w:r>
    </w:p>
    <w:p>
      <w:pPr>
        <w:spacing w:after="140"/>
      </w:pPr>
      <w:r>
        <w:rPr>
          <w:rFonts w:ascii="Arial" w:cs="Arial" w:eastAsia="Arial" w:hAnsi="Arial"/>
          <w:sz w:val="21"/>
          <w:szCs w:val="21"/>
        </w:rPr>
        <w:t xml:space="preserve">Once sample assignments are received, substantive work begins. The journey below follows a single borrower through a review, from evidence gathering to final workpaper. The core work product is the workpaper; colloquially, CRR calls these linecards. All work product passes through a quality control and quality assurance process with the Reviewer-in-Charge before it is finalized.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750"/>
        <w:gridCol w:w="4600"/>
        <w:gridCol w:w="2560"/>
      </w:tblGrid>
      <w:tr>
        <w:trPr>
          <w:tblHeader/>
        </w:trPr>
        <w:tc>
          <w:tcPr>
            <w:tcW w:type="dxa" w:w="450"/>
            <w:tcMar>
              <w:top w:type="dxa" w:w="60"/>
              <w:left w:type="dxa" w:w="80"/>
              <w:bottom w:type="dxa" w:w="60"/>
              <w:right w:type="dxa" w:w="80"/>
            </w:tcMar>
          </w:tcPr>
          <w:p>
            <w:pPr>
              <w:spacing w:after="0"/>
            </w:pPr>
            <w:r>
              <w:rPr>
                <w:rFonts w:ascii="Arial" w:cs="Arial" w:eastAsia="Arial" w:hAnsi="Arial"/>
                <w:b/>
                <w:bCs/>
                <w:sz w:val="19"/>
                <w:szCs w:val="19"/>
              </w:rPr>
              <w:t xml:space="preserve">#</w:t>
            </w:r>
          </w:p>
        </w:tc>
        <w:tc>
          <w:tcPr>
            <w:tcW w:type="dxa" w:w="1750"/>
            <w:tcMar>
              <w:top w:type="dxa" w:w="60"/>
              <w:left w:type="dxa" w:w="80"/>
              <w:bottom w:type="dxa" w:w="60"/>
              <w:right w:type="dxa" w:w="80"/>
            </w:tcMar>
          </w:tcPr>
          <w:p>
            <w:pPr>
              <w:spacing w:after="0"/>
            </w:pPr>
            <w:r>
              <w:rPr>
                <w:rFonts w:ascii="Arial" w:cs="Arial" w:eastAsia="Arial" w:hAnsi="Arial"/>
                <w:b/>
                <w:bCs/>
                <w:sz w:val="19"/>
                <w:szCs w:val="19"/>
              </w:rPr>
              <w:t xml:space="preserve">Stage</w:t>
            </w:r>
          </w:p>
        </w:tc>
        <w:tc>
          <w:tcPr>
            <w:tcW w:type="dxa" w:w="4600"/>
            <w:tcMar>
              <w:top w:type="dxa" w:w="60"/>
              <w:left w:type="dxa" w:w="80"/>
              <w:bottom w:type="dxa" w:w="60"/>
              <w:right w:type="dxa" w:w="80"/>
            </w:tcMar>
          </w:tcPr>
          <w:p>
            <w:pPr>
              <w:spacing w:after="0"/>
            </w:pPr>
            <w:r>
              <w:rPr>
                <w:rFonts w:ascii="Arial" w:cs="Arial" w:eastAsia="Arial" w:hAnsi="Arial"/>
                <w:b/>
                <w:bCs/>
                <w:sz w:val="19"/>
                <w:szCs w:val="19"/>
              </w:rPr>
              <w:t xml:space="preserve">What the analyst does</w:t>
            </w:r>
          </w:p>
        </w:tc>
        <w:tc>
          <w:tcPr>
            <w:tcW w:type="dxa" w:w="2560"/>
            <w:tcMar>
              <w:top w:type="dxa" w:w="60"/>
              <w:left w:type="dxa" w:w="80"/>
              <w:bottom w:type="dxa" w:w="60"/>
              <w:right w:type="dxa" w:w="80"/>
            </w:tcMar>
          </w:tcPr>
          <w:p>
            <w:pPr>
              <w:spacing w:after="0"/>
            </w:pPr>
            <w:r>
              <w:rPr>
                <w:rFonts w:ascii="Arial" w:cs="Arial" w:eastAsia="Arial" w:hAnsi="Arial"/>
                <w:b/>
                <w:bCs/>
                <w:sz w:val="19"/>
                <w:szCs w:val="19"/>
              </w:rPr>
              <w:t xml:space="preserve">Systems &amp; artifacts</w:t>
            </w:r>
          </w:p>
        </w:tc>
      </w:tr>
      <w:tr>
        <w:trPr>
          <w:cantSplit/>
        </w:trPr>
        <w:tc>
          <w:tcPr>
            <w:tcW w:type="dxa" w:w="450"/>
            <w:tcMar>
              <w:top w:type="dxa" w:w="60"/>
              <w:left w:type="dxa" w:w="80"/>
              <w:bottom w:type="dxa" w:w="60"/>
              <w:right w:type="dxa" w:w="80"/>
            </w:tcMar>
          </w:tcPr>
          <w:p>
            <w:pPr>
              <w:spacing w:after="0"/>
            </w:pPr>
            <w:r>
              <w:rPr>
                <w:rFonts w:ascii="Arial" w:cs="Arial" w:eastAsia="Arial" w:hAnsi="Arial"/>
                <w:b/>
                <w:bCs/>
                <w:sz w:val="19"/>
                <w:szCs w:val="19"/>
              </w:rPr>
              <w:t xml:space="preserve">1</w:t>
            </w:r>
          </w:p>
        </w:tc>
        <w:tc>
          <w:tcPr>
            <w:tcW w:type="dxa" w:w="1750"/>
            <w:tcMar>
              <w:top w:type="dxa" w:w="60"/>
              <w:left w:type="dxa" w:w="80"/>
              <w:bottom w:type="dxa" w:w="60"/>
              <w:right w:type="dxa" w:w="80"/>
            </w:tcMar>
          </w:tcPr>
          <w:p>
            <w:pPr>
              <w:spacing w:after="0"/>
            </w:pPr>
            <w:r>
              <w:rPr>
                <w:rFonts w:ascii="Arial" w:cs="Arial" w:eastAsia="Arial" w:hAnsi="Arial"/>
                <w:b w:val="false"/>
                <w:bCs w:val="false"/>
                <w:sz w:val="19"/>
                <w:szCs w:val="19"/>
              </w:rPr>
              <w:t xml:space="preserve">Gather evidence</w:t>
            </w:r>
          </w:p>
        </w:tc>
        <w:tc>
          <w:tcPr>
            <w:tcW w:type="dxa" w:w="4600"/>
            <w:tcMar>
              <w:top w:type="dxa" w:w="60"/>
              <w:left w:type="dxa" w:w="80"/>
              <w:bottom w:type="dxa" w:w="60"/>
              <w:right w:type="dxa" w:w="80"/>
            </w:tcMar>
          </w:tcPr>
          <w:p>
            <w:pPr>
              <w:spacing w:after="0"/>
            </w:pPr>
            <w:r>
              <w:rPr>
                <w:rFonts w:ascii="Arial" w:cs="Arial" w:eastAsia="Arial" w:hAnsi="Arial"/>
                <w:b w:val="false"/>
                <w:bCs w:val="false"/>
                <w:sz w:val="19"/>
                <w:szCs w:val="19"/>
              </w:rPr>
              <w:t xml:space="preserve">Pull client information and documentation, including first and second line of defense assessments and material on the client’s credit risk profile. Documentation is also gathered from Credit Risk Control group shares and SharePoint sites. Investment banking reviews draw ComCo Memos, Annual Reviews, Quarterly Reviews, and Amendment Memorandums. Wealth management reviews draw credit details held as system fields in Encompass rather than standalone documents, occasionally with bank statements or credit reports attached.</w:t>
            </w:r>
          </w:p>
        </w:tc>
        <w:tc>
          <w:tcPr>
            <w:tcW w:type="dxa" w:w="2560"/>
            <w:tcMar>
              <w:top w:type="dxa" w:w="60"/>
              <w:left w:type="dxa" w:w="80"/>
              <w:bottom w:type="dxa" w:w="60"/>
              <w:right w:type="dxa" w:w="80"/>
            </w:tcMar>
          </w:tcPr>
          <w:p>
            <w:pPr>
              <w:spacing w:after="0"/>
            </w:pPr>
            <w:r>
              <w:rPr>
                <w:rFonts w:ascii="Arial" w:cs="Arial" w:eastAsia="Arial" w:hAnsi="Arial"/>
                <w:b w:val="false"/>
                <w:bCs w:val="false"/>
                <w:sz w:val="19"/>
                <w:szCs w:val="19"/>
              </w:rPr>
              <w:t xml:space="preserve">IRIS (investment banking); Encompass (wealth management); Credit Risk Control group shares and SharePoint sites</w:t>
            </w:r>
          </w:p>
        </w:tc>
      </w:tr>
      <w:tr>
        <w:trPr>
          <w:cantSplit/>
        </w:trPr>
        <w:tc>
          <w:tcPr>
            <w:tcW w:type="dxa" w:w="450"/>
            <w:tcMar>
              <w:top w:type="dxa" w:w="60"/>
              <w:left w:type="dxa" w:w="80"/>
              <w:bottom w:type="dxa" w:w="60"/>
              <w:right w:type="dxa" w:w="80"/>
            </w:tcMar>
          </w:tcPr>
          <w:p>
            <w:pPr>
              <w:spacing w:after="0"/>
            </w:pPr>
            <w:r>
              <w:rPr>
                <w:rFonts w:ascii="Arial" w:cs="Arial" w:eastAsia="Arial" w:hAnsi="Arial"/>
                <w:b/>
                <w:bCs/>
                <w:sz w:val="19"/>
                <w:szCs w:val="19"/>
              </w:rPr>
              <w:t xml:space="preserve">2</w:t>
            </w:r>
          </w:p>
        </w:tc>
        <w:tc>
          <w:tcPr>
            <w:tcW w:type="dxa" w:w="1750"/>
            <w:tcMar>
              <w:top w:type="dxa" w:w="60"/>
              <w:left w:type="dxa" w:w="80"/>
              <w:bottom w:type="dxa" w:w="60"/>
              <w:right w:type="dxa" w:w="80"/>
            </w:tcMar>
          </w:tcPr>
          <w:p>
            <w:pPr>
              <w:spacing w:after="0"/>
            </w:pPr>
            <w:r>
              <w:rPr>
                <w:rFonts w:ascii="Arial" w:cs="Arial" w:eastAsia="Arial" w:hAnsi="Arial"/>
                <w:b w:val="false"/>
                <w:bCs w:val="false"/>
                <w:sz w:val="19"/>
                <w:szCs w:val="19"/>
              </w:rPr>
              <w:t xml:space="preserve">Read and analyze</w:t>
            </w:r>
          </w:p>
        </w:tc>
        <w:tc>
          <w:tcPr>
            <w:tcW w:type="dxa" w:w="4600"/>
            <w:tcMar>
              <w:top w:type="dxa" w:w="60"/>
              <w:left w:type="dxa" w:w="80"/>
              <w:bottom w:type="dxa" w:w="60"/>
              <w:right w:type="dxa" w:w="80"/>
            </w:tcMar>
          </w:tcPr>
          <w:p>
            <w:pPr>
              <w:spacing w:after="0"/>
            </w:pPr>
            <w:r>
              <w:rPr>
                <w:rFonts w:ascii="Arial" w:cs="Arial" w:eastAsia="Arial" w:hAnsi="Arial"/>
                <w:b w:val="false"/>
                <w:bCs w:val="false"/>
                <w:sz w:val="19"/>
                <w:szCs w:val="19"/>
              </w:rPr>
              <w:t xml:space="preserve">Read and analyze the credit documents gathered in the prior step to understand the recent transaction, the client profile, and any details pertinent to the review. Compare the documents against applicable policies and industry regulations, assess the transaction against the risk appetite framework, and confirm the appropriate ratings are applied to the borrower.</w:t>
            </w:r>
          </w:p>
        </w:tc>
        <w:tc>
          <w:tcPr>
            <w:tcW w:type="dxa" w:w="2560"/>
            <w:tcMar>
              <w:top w:type="dxa" w:w="60"/>
              <w:left w:type="dxa" w:w="80"/>
              <w:bottom w:type="dxa" w:w="60"/>
              <w:right w:type="dxa" w:w="80"/>
            </w:tcMar>
          </w:tcPr>
          <w:p>
            <w:pPr>
              <w:spacing w:after="0"/>
            </w:pPr>
            <w:r>
              <w:rPr>
                <w:rFonts w:ascii="Arial" w:cs="Arial" w:eastAsia="Arial" w:hAnsi="Arial"/>
                <w:b w:val="false"/>
                <w:bCs w:val="false"/>
                <w:sz w:val="19"/>
                <w:szCs w:val="19"/>
              </w:rPr>
              <w:t xml:space="preserve">Credit documents from the prior step; policies; risk appetite framework</w:t>
            </w:r>
          </w:p>
        </w:tc>
      </w:tr>
      <w:tr>
        <w:trPr>
          <w:cantSplit/>
        </w:trPr>
        <w:tc>
          <w:tcPr>
            <w:tcW w:type="dxa" w:w="450"/>
            <w:tcMar>
              <w:top w:type="dxa" w:w="60"/>
              <w:left w:type="dxa" w:w="80"/>
              <w:bottom w:type="dxa" w:w="60"/>
              <w:right w:type="dxa" w:w="80"/>
            </w:tcMar>
          </w:tcPr>
          <w:p>
            <w:pPr>
              <w:spacing w:after="0"/>
            </w:pPr>
            <w:r>
              <w:rPr>
                <w:rFonts w:ascii="Arial" w:cs="Arial" w:eastAsia="Arial" w:hAnsi="Arial"/>
                <w:b/>
                <w:bCs/>
                <w:sz w:val="19"/>
                <w:szCs w:val="19"/>
              </w:rPr>
              <w:t xml:space="preserve">3</w:t>
            </w:r>
          </w:p>
        </w:tc>
        <w:tc>
          <w:tcPr>
            <w:tcW w:type="dxa" w:w="1750"/>
            <w:tcMar>
              <w:top w:type="dxa" w:w="60"/>
              <w:left w:type="dxa" w:w="80"/>
              <w:bottom w:type="dxa" w:w="60"/>
              <w:right w:type="dxa" w:w="80"/>
            </w:tcMar>
          </w:tcPr>
          <w:p>
            <w:pPr>
              <w:spacing w:after="0"/>
            </w:pPr>
            <w:r>
              <w:rPr>
                <w:rFonts w:ascii="Arial" w:cs="Arial" w:eastAsia="Arial" w:hAnsi="Arial"/>
                <w:b w:val="false"/>
                <w:bCs w:val="false"/>
                <w:sz w:val="19"/>
                <w:szCs w:val="19"/>
              </w:rPr>
              <w:t xml:space="preserve">Draft the workpaper</w:t>
            </w:r>
          </w:p>
        </w:tc>
        <w:tc>
          <w:tcPr>
            <w:tcW w:type="dxa" w:w="4600"/>
            <w:tcMar>
              <w:top w:type="dxa" w:w="60"/>
              <w:left w:type="dxa" w:w="80"/>
              <w:bottom w:type="dxa" w:w="60"/>
              <w:right w:type="dxa" w:w="80"/>
            </w:tcMar>
          </w:tcPr>
          <w:p>
            <w:pPr>
              <w:spacing w:after="0"/>
            </w:pPr>
            <w:r>
              <w:rPr>
                <w:rFonts w:ascii="Arial" w:cs="Arial" w:eastAsia="Arial" w:hAnsi="Arial"/>
                <w:b w:val="false"/>
                <w:bCs w:val="false"/>
                <w:sz w:val="19"/>
                <w:szCs w:val="19"/>
              </w:rPr>
              <w:t xml:space="preserve">Extract information from the source documentation to support the findings and conclusions of the analysis. Extraction is fairly standardized because the workpaper is templatized; some template elements may not apply to a given borrower.</w:t>
            </w:r>
          </w:p>
        </w:tc>
        <w:tc>
          <w:tcPr>
            <w:tcW w:type="dxa" w:w="2560"/>
            <w:tcMar>
              <w:top w:type="dxa" w:w="60"/>
              <w:left w:type="dxa" w:w="80"/>
              <w:bottom w:type="dxa" w:w="60"/>
              <w:right w:type="dxa" w:w="80"/>
            </w:tcMar>
          </w:tcPr>
          <w:p>
            <w:pPr>
              <w:spacing w:after="0"/>
            </w:pPr>
            <w:r>
              <w:rPr>
                <w:rFonts w:ascii="Arial" w:cs="Arial" w:eastAsia="Arial" w:hAnsi="Arial"/>
                <w:b w:val="false"/>
                <w:bCs w:val="false"/>
                <w:sz w:val="19"/>
                <w:szCs w:val="19"/>
              </w:rPr>
              <w:t xml:space="preserve">Workpaper template</w:t>
            </w:r>
          </w:p>
        </w:tc>
      </w:tr>
      <w:tr>
        <w:trPr>
          <w:cantSplit/>
        </w:trPr>
        <w:tc>
          <w:tcPr>
            <w:tcW w:type="dxa" w:w="450"/>
            <w:tcMar>
              <w:top w:type="dxa" w:w="60"/>
              <w:left w:type="dxa" w:w="80"/>
              <w:bottom w:type="dxa" w:w="60"/>
              <w:right w:type="dxa" w:w="80"/>
            </w:tcMar>
          </w:tcPr>
          <w:p>
            <w:pPr>
              <w:spacing w:after="0"/>
            </w:pPr>
            <w:r>
              <w:rPr>
                <w:rFonts w:ascii="Arial" w:cs="Arial" w:eastAsia="Arial" w:hAnsi="Arial"/>
                <w:b/>
                <w:bCs/>
                <w:sz w:val="19"/>
                <w:szCs w:val="19"/>
              </w:rPr>
              <w:t xml:space="preserve">4</w:t>
            </w:r>
          </w:p>
        </w:tc>
        <w:tc>
          <w:tcPr>
            <w:tcW w:type="dxa" w:w="1750"/>
            <w:tcMar>
              <w:top w:type="dxa" w:w="60"/>
              <w:left w:type="dxa" w:w="80"/>
              <w:bottom w:type="dxa" w:w="60"/>
              <w:right w:type="dxa" w:w="80"/>
            </w:tcMar>
          </w:tcPr>
          <w:p>
            <w:pPr>
              <w:spacing w:after="0"/>
            </w:pPr>
            <w:r>
              <w:rPr>
                <w:rFonts w:ascii="Arial" w:cs="Arial" w:eastAsia="Arial" w:hAnsi="Arial"/>
                <w:b w:val="false"/>
                <w:bCs w:val="false"/>
                <w:sz w:val="19"/>
                <w:szCs w:val="19"/>
              </w:rPr>
              <w:t xml:space="preserve">Submit for QC</w:t>
            </w:r>
          </w:p>
        </w:tc>
        <w:tc>
          <w:tcPr>
            <w:tcW w:type="dxa" w:w="4600"/>
            <w:tcMar>
              <w:top w:type="dxa" w:w="60"/>
              <w:left w:type="dxa" w:w="80"/>
              <w:bottom w:type="dxa" w:w="60"/>
              <w:right w:type="dxa" w:w="80"/>
            </w:tcMar>
          </w:tcPr>
          <w:p>
            <w:pPr>
              <w:spacing w:after="0"/>
            </w:pPr>
            <w:r>
              <w:rPr>
                <w:rFonts w:ascii="Arial" w:cs="Arial" w:eastAsia="Arial" w:hAnsi="Arial"/>
                <w:b w:val="false"/>
                <w:bCs w:val="false"/>
                <w:sz w:val="19"/>
                <w:szCs w:val="19"/>
              </w:rPr>
              <w:t xml:space="preserve">Submit the draft for review feedback by the Reviewer-in-Charge and address QC comments and questions in the draft.</w:t>
            </w:r>
          </w:p>
        </w:tc>
        <w:tc>
          <w:tcPr>
            <w:tcW w:type="dxa" w:w="2560"/>
            <w:tcMar>
              <w:top w:type="dxa" w:w="60"/>
              <w:left w:type="dxa" w:w="80"/>
              <w:bottom w:type="dxa" w:w="60"/>
              <w:right w:type="dxa" w:w="80"/>
            </w:tcMar>
          </w:tcPr>
          <w:p>
            <w:pPr>
              <w:spacing w:after="0"/>
            </w:pPr>
            <w:r>
              <w:rPr>
                <w:rFonts w:ascii="Arial" w:cs="Arial" w:eastAsia="Arial" w:hAnsi="Arial"/>
                <w:b w:val="false"/>
                <w:bCs w:val="false"/>
                <w:sz w:val="19"/>
                <w:szCs w:val="19"/>
              </w:rPr>
              <w:t xml:space="preserve">Departmental workflow tool</w:t>
            </w:r>
          </w:p>
        </w:tc>
      </w:tr>
      <w:tr>
        <w:trPr>
          <w:cantSplit/>
        </w:trPr>
        <w:tc>
          <w:tcPr>
            <w:tcW w:type="dxa" w:w="450"/>
            <w:tcMar>
              <w:top w:type="dxa" w:w="60"/>
              <w:left w:type="dxa" w:w="80"/>
              <w:bottom w:type="dxa" w:w="60"/>
              <w:right w:type="dxa" w:w="80"/>
            </w:tcMar>
          </w:tcPr>
          <w:p>
            <w:pPr>
              <w:spacing w:after="0"/>
            </w:pPr>
            <w:r>
              <w:rPr>
                <w:rFonts w:ascii="Arial" w:cs="Arial" w:eastAsia="Arial" w:hAnsi="Arial"/>
                <w:b/>
                <w:bCs/>
                <w:sz w:val="19"/>
                <w:szCs w:val="19"/>
              </w:rPr>
              <w:t xml:space="preserve">5</w:t>
            </w:r>
          </w:p>
        </w:tc>
        <w:tc>
          <w:tcPr>
            <w:tcW w:type="dxa" w:w="1750"/>
            <w:tcMar>
              <w:top w:type="dxa" w:w="60"/>
              <w:left w:type="dxa" w:w="80"/>
              <w:bottom w:type="dxa" w:w="60"/>
              <w:right w:type="dxa" w:w="80"/>
            </w:tcMar>
          </w:tcPr>
          <w:p>
            <w:pPr>
              <w:spacing w:after="0"/>
            </w:pPr>
            <w:r>
              <w:rPr>
                <w:rFonts w:ascii="Arial" w:cs="Arial" w:eastAsia="Arial" w:hAnsi="Arial"/>
                <w:b w:val="false"/>
                <w:bCs w:val="false"/>
                <w:sz w:val="19"/>
                <w:szCs w:val="19"/>
              </w:rPr>
              <w:t xml:space="preserve">Finalize and submit</w:t>
            </w:r>
          </w:p>
        </w:tc>
        <w:tc>
          <w:tcPr>
            <w:tcW w:type="dxa" w:w="4600"/>
            <w:tcMar>
              <w:top w:type="dxa" w:w="60"/>
              <w:left w:type="dxa" w:w="80"/>
              <w:bottom w:type="dxa" w:w="60"/>
              <w:right w:type="dxa" w:w="80"/>
            </w:tcMar>
          </w:tcPr>
          <w:p>
            <w:pPr>
              <w:spacing w:after="0"/>
            </w:pPr>
            <w:r>
              <w:rPr>
                <w:rFonts w:ascii="Arial" w:cs="Arial" w:eastAsia="Arial" w:hAnsi="Arial"/>
                <w:b w:val="false"/>
                <w:bCs w:val="false"/>
                <w:sz w:val="19"/>
                <w:szCs w:val="19"/>
              </w:rPr>
              <w:t xml:space="preserve">Upload the final draft, attach the documents used to support conclusions as appendices, and submit the workpaper as final.</w:t>
            </w:r>
          </w:p>
        </w:tc>
        <w:tc>
          <w:tcPr>
            <w:tcW w:type="dxa" w:w="2560"/>
            <w:tcMar>
              <w:top w:type="dxa" w:w="60"/>
              <w:left w:type="dxa" w:w="80"/>
              <w:bottom w:type="dxa" w:w="60"/>
              <w:right w:type="dxa" w:w="80"/>
            </w:tcMar>
          </w:tcPr>
          <w:p>
            <w:pPr>
              <w:spacing w:after="0"/>
            </w:pPr>
            <w:r>
              <w:rPr>
                <w:rFonts w:ascii="Arial" w:cs="Arial" w:eastAsia="Arial" w:hAnsi="Arial"/>
                <w:b w:val="false"/>
                <w:bCs w:val="false"/>
                <w:sz w:val="19"/>
                <w:szCs w:val="19"/>
              </w:rPr>
              <w:t xml:space="preserve">Departmental workflow tool</w:t>
            </w:r>
          </w:p>
        </w:tc>
      </w:tr>
    </w:tbl>
    <w:p>
      <w:pPr>
        <w:spacing w:after="60"/>
      </w:pPr>
      <w:r>
        <w:rPr>
          <w:rFonts w:ascii="Arial" w:cs="Arial" w:eastAsia="Arial" w:hAnsi="Arial"/>
          <w:sz w:val="21"/>
          <w:szCs w:val="21"/>
        </w:rPr>
        <w:t xml:space="preserve"/>
      </w:r>
    </w:p>
    <w:p>
      <w:pPr>
        <w:pStyle w:val="Heading2"/>
        <w:spacing w:after="100" w:before="200"/>
      </w:pPr>
      <w:r>
        <w:rPr>
          <w:rFonts w:ascii="Arial" w:cs="Arial" w:eastAsia="Arial" w:hAnsi="Arial"/>
          <w:b/>
          <w:bCs/>
          <w:color w:val="000000"/>
          <w:sz w:val="22"/>
          <w:szCs w:val="22"/>
        </w:rPr>
        <w:t xml:space="preserve">4.1 Inside the workpaper</w:t>
      </w:r>
    </w:p>
    <w:p>
      <w:pPr>
        <w:spacing w:after="140"/>
      </w:pPr>
      <w:r>
        <w:rPr>
          <w:rFonts w:ascii="Arial" w:cs="Arial" w:eastAsia="Arial" w:hAnsi="Arial"/>
          <w:sz w:val="21"/>
          <w:szCs w:val="21"/>
        </w:rPr>
        <w:t xml:space="preserve">The anatomy below shows what stages 2 and 3 actually contain. Each workpaper section pairs an independent CRR Assessment (what is CRR’s overall view, does CRR agree with the line’s analysis, what are the gaps) with structured verification questions answered from the source evidence. The anatomy shown is indicative of a leveraged lending review but is virtually the same for all IB lending reviews. Counterparty credit risk reviews assess specifics for those product types; those will be provided as a design spec at a later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Mar>
              <w:top w:type="dxa" w:w="60"/>
              <w:left w:type="dxa" w:w="80"/>
              <w:bottom w:type="dxa" w:w="60"/>
              <w:right w:type="dxa" w:w="80"/>
            </w:tcMar>
          </w:tcPr>
          <w:p>
            <w:pPr>
              <w:spacing w:after="0"/>
            </w:pPr>
            <w:r>
              <w:rPr>
                <w:rFonts w:ascii="Arial" w:cs="Arial" w:eastAsia="Arial" w:hAnsi="Arial"/>
                <w:b/>
                <w:bCs/>
                <w:sz w:val="19"/>
                <w:szCs w:val="19"/>
              </w:rPr>
              <w:t xml:space="preserve">Workpaper section</w:t>
            </w:r>
          </w:p>
        </w:tc>
        <w:tc>
          <w:tcPr>
            <w:tcW w:type="dxa" w:w="6860"/>
            <w:tcMar>
              <w:top w:type="dxa" w:w="60"/>
              <w:left w:type="dxa" w:w="80"/>
              <w:bottom w:type="dxa" w:w="60"/>
              <w:right w:type="dxa" w:w="80"/>
            </w:tcMar>
          </w:tcPr>
          <w:p>
            <w:pPr>
              <w:spacing w:after="0"/>
            </w:pPr>
            <w:r>
              <w:rPr>
                <w:rFonts w:ascii="Arial" w:cs="Arial" w:eastAsia="Arial" w:hAnsi="Arial"/>
                <w:b/>
                <w:bCs/>
                <w:sz w:val="19"/>
                <w:szCs w:val="19"/>
              </w:rPr>
              <w:t xml:space="preserve">What it assesses</w:t>
            </w:r>
          </w:p>
        </w:tc>
      </w:tr>
      <w:tr>
        <w:trPr>
          <w:cantSplit/>
        </w:trPr>
        <w:tc>
          <w:tcPr>
            <w:tcW w:type="dxa" w:w="2500"/>
            <w:tcMar>
              <w:top w:type="dxa" w:w="60"/>
              <w:left w:type="dxa" w:w="80"/>
              <w:bottom w:type="dxa" w:w="60"/>
              <w:right w:type="dxa" w:w="80"/>
            </w:tcMar>
          </w:tcPr>
          <w:p>
            <w:pPr>
              <w:spacing w:after="0"/>
            </w:pPr>
            <w:r>
              <w:rPr>
                <w:rFonts w:ascii="Arial" w:cs="Arial" w:eastAsia="Arial" w:hAnsi="Arial"/>
                <w:b/>
                <w:bCs/>
                <w:sz w:val="19"/>
                <w:szCs w:val="19"/>
              </w:rPr>
              <w:t xml:space="preserve">Borrower / Counterparty Relationship Overview</w:t>
            </w:r>
          </w:p>
        </w:tc>
        <w:tc>
          <w:tcPr>
            <w:tcW w:type="dxa" w:w="6860"/>
            <w:tcMar>
              <w:top w:type="dxa" w:w="60"/>
              <w:left w:type="dxa" w:w="80"/>
              <w:bottom w:type="dxa" w:w="60"/>
              <w:right w:type="dxa" w:w="80"/>
            </w:tcMar>
          </w:tcPr>
          <w:p>
            <w:pPr>
              <w:spacing w:after="0"/>
            </w:pPr>
            <w:r>
              <w:rPr>
                <w:rFonts w:ascii="Arial" w:cs="Arial" w:eastAsia="Arial" w:hAnsi="Arial"/>
                <w:b w:val="false"/>
                <w:bCs w:val="false"/>
                <w:sz w:val="19"/>
                <w:szCs w:val="19"/>
              </w:rPr>
              <w:t xml:space="preserve">Who the obligor is: business, country, industry and sub-segment niche, time in business, sponsor ownership, and UBS transaction history, plus leveraged loan identification against the Leveraged Lending Guidelines tests. Recent developments since the last review; external ratings and outlook (Moody’s / S&amp;P); transaction description (use of proceeds, syndicate, quantum, UBS take and hold, approvals); pro forma capitalization and leverage.</w:t>
            </w:r>
          </w:p>
        </w:tc>
      </w:tr>
      <w:tr>
        <w:trPr>
          <w:cantSplit/>
        </w:trPr>
        <w:tc>
          <w:tcPr>
            <w:tcW w:type="dxa" w:w="2500"/>
            <w:tcMar>
              <w:top w:type="dxa" w:w="60"/>
              <w:left w:type="dxa" w:w="80"/>
              <w:bottom w:type="dxa" w:w="60"/>
              <w:right w:type="dxa" w:w="80"/>
            </w:tcMar>
          </w:tcPr>
          <w:p>
            <w:pPr>
              <w:spacing w:after="0"/>
            </w:pPr>
            <w:r>
              <w:rPr>
                <w:rFonts w:ascii="Arial" w:cs="Arial" w:eastAsia="Arial" w:hAnsi="Arial"/>
                <w:b/>
                <w:bCs/>
                <w:sz w:val="19"/>
                <w:szCs w:val="19"/>
              </w:rPr>
              <w:t xml:space="preserve">Financials</w:t>
            </w:r>
          </w:p>
        </w:tc>
        <w:tc>
          <w:tcPr>
            <w:tcW w:type="dxa" w:w="6860"/>
            <w:tcMar>
              <w:top w:type="dxa" w:w="60"/>
              <w:left w:type="dxa" w:w="80"/>
              <w:bottom w:type="dxa" w:w="60"/>
              <w:right w:type="dxa" w:w="80"/>
            </w:tcMar>
          </w:tcPr>
          <w:p>
            <w:pPr>
              <w:spacing w:after="0"/>
            </w:pPr>
            <w:r>
              <w:rPr>
                <w:rFonts w:ascii="Arial" w:cs="Arial" w:eastAsia="Arial" w:hAnsi="Arial"/>
                <w:b w:val="false"/>
                <w:bCs w:val="false"/>
                <w:sz w:val="19"/>
                <w:szCs w:val="19"/>
              </w:rPr>
              <w:t xml:space="preserve">CRR’s independent assessment of the credit team’s (2LOD) financial analysis: revenue, EBITDA and the justification of EBITDA adjustments, free cash flow, leverage, liquidity; model assessments against quantified triggers; 7-year total debt repayment capacity projections; EV / total debt coverage analysis under the UBS Expected and Downside Cases.</w:t>
            </w:r>
          </w:p>
        </w:tc>
      </w:tr>
      <w:tr>
        <w:trPr>
          <w:cantSplit/>
        </w:trPr>
        <w:tc>
          <w:tcPr>
            <w:tcW w:type="dxa" w:w="2500"/>
            <w:tcMar>
              <w:top w:type="dxa" w:w="60"/>
              <w:left w:type="dxa" w:w="80"/>
              <w:bottom w:type="dxa" w:w="60"/>
              <w:right w:type="dxa" w:w="80"/>
            </w:tcMar>
          </w:tcPr>
          <w:p>
            <w:pPr>
              <w:spacing w:after="0"/>
            </w:pPr>
            <w:r>
              <w:rPr>
                <w:rFonts w:ascii="Arial" w:cs="Arial" w:eastAsia="Arial" w:hAnsi="Arial"/>
                <w:b/>
                <w:bCs/>
                <w:sz w:val="19"/>
                <w:szCs w:val="19"/>
              </w:rPr>
              <w:t xml:space="preserve">Underwriting &amp; Documentation</w:t>
            </w:r>
          </w:p>
        </w:tc>
        <w:tc>
          <w:tcPr>
            <w:tcW w:type="dxa" w:w="6860"/>
            <w:tcMar>
              <w:top w:type="dxa" w:w="60"/>
              <w:left w:type="dxa" w:w="80"/>
              <w:bottom w:type="dxa" w:w="60"/>
              <w:right w:type="dxa" w:w="80"/>
            </w:tcMar>
          </w:tcPr>
          <w:p>
            <w:pPr>
              <w:spacing w:after="0"/>
            </w:pPr>
            <w:r>
              <w:rPr>
                <w:rFonts w:ascii="Arial" w:cs="Arial" w:eastAsia="Arial" w:hAnsi="Arial"/>
                <w:b w:val="false"/>
                <w:bCs w:val="false"/>
                <w:sz w:val="19"/>
                <w:szCs w:val="19"/>
              </w:rPr>
              <w:t xml:space="preserve">Transaction structure against banking industry practice, including LMT protections; credit analysis quality across borrower, guarantor, industry dynamics, cash flow, liquidity, leverage, EV, collateral, covenants, and material non-financial risks; primary and secondary sources of repayment; underwriting standards and variances; credit approval authority and documentation timeliness.</w:t>
            </w:r>
          </w:p>
        </w:tc>
      </w:tr>
      <w:tr>
        <w:trPr>
          <w:cantSplit/>
        </w:trPr>
        <w:tc>
          <w:tcPr>
            <w:tcW w:type="dxa" w:w="2500"/>
            <w:tcMar>
              <w:top w:type="dxa" w:w="60"/>
              <w:left w:type="dxa" w:w="80"/>
              <w:bottom w:type="dxa" w:w="60"/>
              <w:right w:type="dxa" w:w="80"/>
            </w:tcMar>
          </w:tcPr>
          <w:p>
            <w:pPr>
              <w:spacing w:after="0"/>
            </w:pPr>
            <w:r>
              <w:rPr>
                <w:rFonts w:ascii="Arial" w:cs="Arial" w:eastAsia="Arial" w:hAnsi="Arial"/>
                <w:b/>
                <w:bCs/>
                <w:sz w:val="19"/>
                <w:szCs w:val="19"/>
              </w:rPr>
              <w:t xml:space="preserve">Portfolio Management</w:t>
            </w:r>
          </w:p>
        </w:tc>
        <w:tc>
          <w:tcPr>
            <w:tcW w:type="dxa" w:w="6860"/>
            <w:tcMar>
              <w:top w:type="dxa" w:w="60"/>
              <w:left w:type="dxa" w:w="80"/>
              <w:bottom w:type="dxa" w:w="60"/>
              <w:right w:type="dxa" w:w="80"/>
            </w:tcMar>
          </w:tcPr>
          <w:p>
            <w:pPr>
              <w:spacing w:after="0"/>
            </w:pPr>
            <w:r>
              <w:rPr>
                <w:rFonts w:ascii="Arial" w:cs="Arial" w:eastAsia="Arial" w:hAnsi="Arial"/>
                <w:b w:val="false"/>
                <w:bCs w:val="false"/>
                <w:sz w:val="19"/>
                <w:szCs w:val="19"/>
              </w:rPr>
              <w:t xml:space="preserve">Post-origination monitoring timeliness and quality, covenant compliance and monitoring, and credit watchlist status against the Global CWL Criteria.</w:t>
            </w:r>
          </w:p>
        </w:tc>
      </w:tr>
      <w:tr>
        <w:trPr>
          <w:cantSplit/>
        </w:trPr>
        <w:tc>
          <w:tcPr>
            <w:tcW w:type="dxa" w:w="2500"/>
            <w:tcMar>
              <w:top w:type="dxa" w:w="60"/>
              <w:left w:type="dxa" w:w="80"/>
              <w:bottom w:type="dxa" w:w="60"/>
              <w:right w:type="dxa" w:w="80"/>
            </w:tcMar>
          </w:tcPr>
          <w:p>
            <w:pPr>
              <w:spacing w:after="0"/>
            </w:pPr>
            <w:r>
              <w:rPr>
                <w:rFonts w:ascii="Arial" w:cs="Arial" w:eastAsia="Arial" w:hAnsi="Arial"/>
                <w:b/>
                <w:bCs/>
                <w:sz w:val="19"/>
                <w:szCs w:val="19"/>
              </w:rPr>
              <w:t xml:space="preserve">Risk Rating Recognition</w:t>
            </w:r>
          </w:p>
        </w:tc>
        <w:tc>
          <w:tcPr>
            <w:tcW w:type="dxa" w:w="6860"/>
            <w:tcMar>
              <w:top w:type="dxa" w:w="60"/>
              <w:left w:type="dxa" w:w="80"/>
              <w:bottom w:type="dxa" w:w="60"/>
              <w:right w:type="dxa" w:w="80"/>
            </w:tcMar>
          </w:tcPr>
          <w:p>
            <w:pPr>
              <w:spacing w:after="0"/>
            </w:pPr>
            <w:r>
              <w:rPr>
                <w:rFonts w:ascii="Arial" w:cs="Arial" w:eastAsia="Arial" w:hAnsi="Arial"/>
                <w:b w:val="false"/>
                <w:bCs w:val="false"/>
                <w:sz w:val="19"/>
                <w:szCs w:val="19"/>
              </w:rPr>
              <w:t xml:space="preserve">CRR’s assessment of the Regulatory, PD, and LGD ratings: alignment with Commercial Lending Policy Annex F and rating guidelines, accuracy and support of model inputs, consideration of key risk drivers, timeliness, trigger resets, and override justification.</w:t>
            </w:r>
          </w:p>
        </w:tc>
      </w:tr>
      <w:tr>
        <w:trPr>
          <w:cantSplit/>
        </w:trPr>
        <w:tc>
          <w:tcPr>
            <w:tcW w:type="dxa" w:w="2500"/>
            <w:tcMar>
              <w:top w:type="dxa" w:w="60"/>
              <w:left w:type="dxa" w:w="80"/>
              <w:bottom w:type="dxa" w:w="60"/>
              <w:right w:type="dxa" w:w="80"/>
            </w:tcMar>
          </w:tcPr>
          <w:p>
            <w:pPr>
              <w:spacing w:after="0"/>
            </w:pPr>
            <w:r>
              <w:rPr>
                <w:rFonts w:ascii="Arial" w:cs="Arial" w:eastAsia="Arial" w:hAnsi="Arial"/>
                <w:b/>
                <w:bCs/>
                <w:sz w:val="19"/>
                <w:szCs w:val="19"/>
              </w:rPr>
              <w:t xml:space="preserve">Trading Activity &amp; Exposure Analysis</w:t>
            </w:r>
          </w:p>
        </w:tc>
        <w:tc>
          <w:tcPr>
            <w:tcW w:type="dxa" w:w="6860"/>
            <w:tcMar>
              <w:top w:type="dxa" w:w="60"/>
              <w:left w:type="dxa" w:w="80"/>
              <w:bottom w:type="dxa" w:w="60"/>
              <w:right w:type="dxa" w:w="80"/>
            </w:tcMar>
          </w:tcPr>
          <w:p>
            <w:pPr>
              <w:spacing w:after="0"/>
            </w:pPr>
            <w:r>
              <w:rPr>
                <w:rFonts w:ascii="Arial" w:cs="Arial" w:eastAsia="Arial" w:hAnsi="Arial"/>
                <w:b w:val="false"/>
                <w:bCs w:val="false"/>
                <w:sz w:val="19"/>
                <w:szCs w:val="19"/>
              </w:rPr>
              <w:t xml:space="preserve">Counterparty trading exposure analysis where applicable (not applicable for leveraged loans).</w:t>
            </w:r>
          </w:p>
        </w:tc>
      </w:tr>
    </w:tbl>
    <w:p>
      <w:pPr>
        <w:spacing w:after="60"/>
      </w:pPr>
      <w:r>
        <w:rPr>
          <w:rFonts w:ascii="Arial" w:cs="Arial" w:eastAsia="Arial" w:hAnsi="Arial"/>
          <w:sz w:val="21"/>
          <w:szCs w:val="21"/>
        </w:rPr>
        <w:t xml:space="preserve"/>
      </w:r>
    </w:p>
    <w:p>
      <w:pPr>
        <w:pStyle w:val="Heading1"/>
        <w:spacing w:after="120" w:before="300"/>
      </w:pPr>
      <w:r>
        <w:rPr>
          <w:rFonts w:ascii="Arial" w:cs="Arial" w:eastAsia="Arial" w:hAnsi="Arial"/>
          <w:b/>
          <w:bCs/>
          <w:color w:val="000000"/>
          <w:sz w:val="26"/>
          <w:szCs w:val="26"/>
        </w:rPr>
        <w:t xml:space="preserve">5. What the work produces</w:t>
      </w:r>
    </w:p>
    <w:p>
      <w:pPr>
        <w:pStyle w:val="Heading2"/>
        <w:spacing w:after="100" w:before="200"/>
      </w:pPr>
      <w:r>
        <w:rPr>
          <w:rFonts w:ascii="Arial" w:cs="Arial" w:eastAsia="Arial" w:hAnsi="Arial"/>
          <w:b/>
          <w:bCs/>
          <w:color w:val="000000"/>
          <w:sz w:val="22"/>
          <w:szCs w:val="22"/>
        </w:rPr>
        <w:t xml:space="preserve">5.1 Workpapers and the documentation chain</w:t>
      </w:r>
    </w:p>
    <w:p>
      <w:pPr>
        <w:spacing w:after="140"/>
      </w:pPr>
      <w:r>
        <w:rPr>
          <w:rFonts w:ascii="Arial" w:cs="Arial" w:eastAsia="Arial" w:hAnsi="Arial"/>
          <w:sz w:val="21"/>
          <w:szCs w:val="21"/>
        </w:rPr>
        <w:t xml:space="preserve">The workpaper is the borrower-level file review record, completed for each borrower reviewed. It promotes consistent analysis and supports conclusions on rating accuracy and timeliness, underwriting standards, and regulatory and policy adherence; the template follows general review standards but may be modified for the risks of a particular portfolio, industry, product, or review objective. Additional workpapers cover non-obligor analysis, issue-remediation validation, new-product profiles, and thematic analysis. Every layer of documentation has a required relationship to the layer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3660"/>
      </w:tblGrid>
      <w:tr>
        <w:trPr>
          <w:tblHeader/>
        </w:trPr>
        <w:tc>
          <w:tcPr>
            <w:tcW w:type="dxa" w:w="1600"/>
            <w:tcMar>
              <w:top w:type="dxa" w:w="60"/>
              <w:left w:type="dxa" w:w="80"/>
              <w:bottom w:type="dxa" w:w="60"/>
              <w:right w:type="dxa" w:w="80"/>
            </w:tcMar>
          </w:tcPr>
          <w:p>
            <w:pPr>
              <w:spacing w:after="0"/>
            </w:pPr>
            <w:r>
              <w:rPr>
                <w:rFonts w:ascii="Arial" w:cs="Arial" w:eastAsia="Arial" w:hAnsi="Arial"/>
                <w:b/>
                <w:bCs/>
                <w:sz w:val="19"/>
                <w:szCs w:val="19"/>
              </w:rPr>
              <w:t xml:space="preserve">Layer</w:t>
            </w:r>
          </w:p>
        </w:tc>
        <w:tc>
          <w:tcPr>
            <w:tcW w:type="dxa" w:w="4100"/>
            <w:tcMar>
              <w:top w:type="dxa" w:w="60"/>
              <w:left w:type="dxa" w:w="80"/>
              <w:bottom w:type="dxa" w:w="60"/>
              <w:right w:type="dxa" w:w="80"/>
            </w:tcMar>
          </w:tcPr>
          <w:p>
            <w:pPr>
              <w:spacing w:after="0"/>
            </w:pPr>
            <w:r>
              <w:rPr>
                <w:rFonts w:ascii="Arial" w:cs="Arial" w:eastAsia="Arial" w:hAnsi="Arial"/>
                <w:b/>
                <w:bCs/>
                <w:sz w:val="19"/>
                <w:szCs w:val="19"/>
              </w:rPr>
              <w:t xml:space="preserve">Purpose</w:t>
            </w:r>
          </w:p>
        </w:tc>
        <w:tc>
          <w:tcPr>
            <w:tcW w:type="dxa" w:w="3660"/>
            <w:tcMar>
              <w:top w:type="dxa" w:w="60"/>
              <w:left w:type="dxa" w:w="80"/>
              <w:bottom w:type="dxa" w:w="60"/>
              <w:right w:type="dxa" w:w="80"/>
            </w:tcMar>
          </w:tcPr>
          <w:p>
            <w:pPr>
              <w:spacing w:after="0"/>
            </w:pPr>
            <w:r>
              <w:rPr>
                <w:rFonts w:ascii="Arial" w:cs="Arial" w:eastAsia="Arial" w:hAnsi="Arial"/>
                <w:b/>
                <w:bCs/>
                <w:sz w:val="19"/>
                <w:szCs w:val="19"/>
              </w:rPr>
              <w:t xml:space="preserve">Required relationship</w:t>
            </w:r>
          </w:p>
        </w:tc>
      </w:tr>
      <w:tr>
        <w:trPr>
          <w:cantSplit/>
        </w:trPr>
        <w:tc>
          <w:tcPr>
            <w:tcW w:type="dxa" w:w="1600"/>
            <w:tcMar>
              <w:top w:type="dxa" w:w="60"/>
              <w:left w:type="dxa" w:w="80"/>
              <w:bottom w:type="dxa" w:w="60"/>
              <w:right w:type="dxa" w:w="80"/>
            </w:tcMar>
          </w:tcPr>
          <w:p>
            <w:pPr>
              <w:spacing w:after="0"/>
            </w:pPr>
            <w:r>
              <w:rPr>
                <w:rFonts w:ascii="Arial" w:cs="Arial" w:eastAsia="Arial" w:hAnsi="Arial"/>
                <w:b/>
                <w:bCs/>
                <w:sz w:val="19"/>
                <w:szCs w:val="19"/>
              </w:rPr>
              <w:t xml:space="preserve">Source evidence</w:t>
            </w:r>
          </w:p>
        </w:tc>
        <w:tc>
          <w:tcPr>
            <w:tcW w:type="dxa" w:w="4100"/>
            <w:tcMar>
              <w:top w:type="dxa" w:w="60"/>
              <w:left w:type="dxa" w:w="80"/>
              <w:bottom w:type="dxa" w:w="60"/>
              <w:right w:type="dxa" w:w="80"/>
            </w:tcMar>
          </w:tcPr>
          <w:p>
            <w:pPr>
              <w:spacing w:after="0"/>
            </w:pPr>
            <w:r>
              <w:rPr>
                <w:rFonts w:ascii="Arial" w:cs="Arial" w:eastAsia="Arial" w:hAnsi="Arial"/>
                <w:b w:val="false"/>
                <w:bCs w:val="false"/>
                <w:sz w:val="19"/>
                <w:szCs w:val="19"/>
              </w:rPr>
              <w:t xml:space="preserve">Credit files, approvals, ratings, policies, portfolio data, management reporting, and other relevant evidence.</w:t>
            </w:r>
          </w:p>
        </w:tc>
        <w:tc>
          <w:tcPr>
            <w:tcW w:type="dxa" w:w="3660"/>
            <w:tcMar>
              <w:top w:type="dxa" w:w="60"/>
              <w:left w:type="dxa" w:w="80"/>
              <w:bottom w:type="dxa" w:w="60"/>
              <w:right w:type="dxa" w:w="80"/>
            </w:tcMar>
          </w:tcPr>
          <w:p>
            <w:pPr>
              <w:spacing w:after="0"/>
            </w:pPr>
            <w:r>
              <w:rPr>
                <w:rFonts w:ascii="Arial" w:cs="Arial" w:eastAsia="Arial" w:hAnsi="Arial"/>
                <w:b w:val="false"/>
                <w:bCs w:val="false"/>
                <w:sz w:val="19"/>
                <w:szCs w:val="19"/>
              </w:rPr>
              <w:t xml:space="preserve">The workpaper identifies the evidence used and preserves a retrievable reference.</w:t>
            </w:r>
          </w:p>
        </w:tc>
      </w:tr>
      <w:tr>
        <w:trPr>
          <w:cantSplit/>
        </w:trPr>
        <w:tc>
          <w:tcPr>
            <w:tcW w:type="dxa" w:w="1600"/>
            <w:tcMar>
              <w:top w:type="dxa" w:w="60"/>
              <w:left w:type="dxa" w:w="80"/>
              <w:bottom w:type="dxa" w:w="60"/>
              <w:right w:type="dxa" w:w="80"/>
            </w:tcMar>
          </w:tcPr>
          <w:p>
            <w:pPr>
              <w:spacing w:after="0"/>
            </w:pPr>
            <w:r>
              <w:rPr>
                <w:rFonts w:ascii="Arial" w:cs="Arial" w:eastAsia="Arial" w:hAnsi="Arial"/>
                <w:b/>
                <w:bCs/>
                <w:sz w:val="19"/>
                <w:szCs w:val="19"/>
              </w:rPr>
              <w:t xml:space="preserve">Reviewer analysis</w:t>
            </w:r>
          </w:p>
        </w:tc>
        <w:tc>
          <w:tcPr>
            <w:tcW w:type="dxa" w:w="4100"/>
            <w:tcMar>
              <w:top w:type="dxa" w:w="60"/>
              <w:left w:type="dxa" w:w="80"/>
              <w:bottom w:type="dxa" w:w="60"/>
              <w:right w:type="dxa" w:w="80"/>
            </w:tcMar>
          </w:tcPr>
          <w:p>
            <w:pPr>
              <w:spacing w:after="0"/>
            </w:pPr>
            <w:r>
              <w:rPr>
                <w:rFonts w:ascii="Arial" w:cs="Arial" w:eastAsia="Arial" w:hAnsi="Arial"/>
                <w:b w:val="false"/>
                <w:bCs w:val="false"/>
                <w:sz w:val="19"/>
                <w:szCs w:val="19"/>
              </w:rPr>
              <w:t xml:space="preserve">Application of CRR procedures, comparison to criteria, and interpretation of facts.</w:t>
            </w:r>
          </w:p>
        </w:tc>
        <w:tc>
          <w:tcPr>
            <w:tcW w:type="dxa" w:w="3660"/>
            <w:tcMar>
              <w:top w:type="dxa" w:w="60"/>
              <w:left w:type="dxa" w:w="80"/>
              <w:bottom w:type="dxa" w:w="60"/>
              <w:right w:type="dxa" w:w="80"/>
            </w:tcMar>
          </w:tcPr>
          <w:p>
            <w:pPr>
              <w:spacing w:after="0"/>
            </w:pPr>
            <w:r>
              <w:rPr>
                <w:rFonts w:ascii="Arial" w:cs="Arial" w:eastAsia="Arial" w:hAnsi="Arial"/>
                <w:b w:val="false"/>
                <w:bCs w:val="false"/>
                <w:sz w:val="19"/>
                <w:szCs w:val="19"/>
              </w:rPr>
              <w:t xml:space="preserve">Facts, criteria, analysis, and judgment are distinguishable.</w:t>
            </w:r>
          </w:p>
        </w:tc>
      </w:tr>
      <w:tr>
        <w:trPr>
          <w:cantSplit/>
        </w:trPr>
        <w:tc>
          <w:tcPr>
            <w:tcW w:type="dxa" w:w="1600"/>
            <w:tcMar>
              <w:top w:type="dxa" w:w="60"/>
              <w:left w:type="dxa" w:w="80"/>
              <w:bottom w:type="dxa" w:w="60"/>
              <w:right w:type="dxa" w:w="80"/>
            </w:tcMar>
          </w:tcPr>
          <w:p>
            <w:pPr>
              <w:spacing w:after="0"/>
            </w:pPr>
            <w:r>
              <w:rPr>
                <w:rFonts w:ascii="Arial" w:cs="Arial" w:eastAsia="Arial" w:hAnsi="Arial"/>
                <w:b/>
                <w:bCs/>
                <w:sz w:val="19"/>
                <w:szCs w:val="19"/>
              </w:rPr>
              <w:t xml:space="preserve">Conclusion</w:t>
            </w:r>
          </w:p>
        </w:tc>
        <w:tc>
          <w:tcPr>
            <w:tcW w:type="dxa" w:w="4100"/>
            <w:tcMar>
              <w:top w:type="dxa" w:w="60"/>
              <w:left w:type="dxa" w:w="80"/>
              <w:bottom w:type="dxa" w:w="60"/>
              <w:right w:type="dxa" w:w="80"/>
            </w:tcMar>
          </w:tcPr>
          <w:p>
            <w:pPr>
              <w:spacing w:after="0"/>
            </w:pPr>
            <w:r>
              <w:rPr>
                <w:rFonts w:ascii="Arial" w:cs="Arial" w:eastAsia="Arial" w:hAnsi="Arial"/>
                <w:b w:val="false"/>
                <w:bCs w:val="false"/>
                <w:sz w:val="19"/>
                <w:szCs w:val="19"/>
              </w:rPr>
              <w:t xml:space="preserve">Borrower-level or procedure-level result, including any proposed rating change or concern.</w:t>
            </w:r>
          </w:p>
        </w:tc>
        <w:tc>
          <w:tcPr>
            <w:tcW w:type="dxa" w:w="3660"/>
            <w:tcMar>
              <w:top w:type="dxa" w:w="60"/>
              <w:left w:type="dxa" w:w="80"/>
              <w:bottom w:type="dxa" w:w="60"/>
              <w:right w:type="dxa" w:w="80"/>
            </w:tcMar>
          </w:tcPr>
          <w:p>
            <w:pPr>
              <w:spacing w:after="0"/>
            </w:pPr>
            <w:r>
              <w:rPr>
                <w:rFonts w:ascii="Arial" w:cs="Arial" w:eastAsia="Arial" w:hAnsi="Arial"/>
                <w:b w:val="false"/>
                <w:bCs w:val="false"/>
                <w:sz w:val="19"/>
                <w:szCs w:val="19"/>
              </w:rPr>
              <w:t xml:space="preserve">The conclusion follows from documented analysis and evidence.</w:t>
            </w:r>
          </w:p>
        </w:tc>
      </w:tr>
      <w:tr>
        <w:trPr>
          <w:cantSplit/>
        </w:trPr>
        <w:tc>
          <w:tcPr>
            <w:tcW w:type="dxa" w:w="1600"/>
            <w:tcMar>
              <w:top w:type="dxa" w:w="60"/>
              <w:left w:type="dxa" w:w="80"/>
              <w:bottom w:type="dxa" w:w="60"/>
              <w:right w:type="dxa" w:w="80"/>
            </w:tcMar>
          </w:tcPr>
          <w:p>
            <w:pPr>
              <w:spacing w:after="0"/>
            </w:pPr>
            <w:r>
              <w:rPr>
                <w:rFonts w:ascii="Arial" w:cs="Arial" w:eastAsia="Arial" w:hAnsi="Arial"/>
                <w:b/>
                <w:bCs/>
                <w:sz w:val="19"/>
                <w:szCs w:val="19"/>
              </w:rPr>
              <w:t xml:space="preserve">Aggregation</w:t>
            </w:r>
          </w:p>
        </w:tc>
        <w:tc>
          <w:tcPr>
            <w:tcW w:type="dxa" w:w="4100"/>
            <w:tcMar>
              <w:top w:type="dxa" w:w="60"/>
              <w:left w:type="dxa" w:w="80"/>
              <w:bottom w:type="dxa" w:w="60"/>
              <w:right w:type="dxa" w:w="80"/>
            </w:tcMar>
          </w:tcPr>
          <w:p>
            <w:pPr>
              <w:spacing w:after="0"/>
            </w:pPr>
            <w:r>
              <w:rPr>
                <w:rFonts w:ascii="Arial" w:cs="Arial" w:eastAsia="Arial" w:hAnsi="Arial"/>
                <w:b w:val="false"/>
                <w:bCs w:val="false"/>
                <w:sz w:val="19"/>
                <w:szCs w:val="19"/>
              </w:rPr>
              <w:t xml:space="preserve">Synthesis across files or procedures to identify themes, materiality, and possible Issues.</w:t>
            </w:r>
          </w:p>
        </w:tc>
        <w:tc>
          <w:tcPr>
            <w:tcW w:type="dxa" w:w="3660"/>
            <w:tcMar>
              <w:top w:type="dxa" w:w="60"/>
              <w:left w:type="dxa" w:w="80"/>
              <w:bottom w:type="dxa" w:w="60"/>
              <w:right w:type="dxa" w:w="80"/>
            </w:tcMar>
          </w:tcPr>
          <w:p>
            <w:pPr>
              <w:spacing w:after="0"/>
            </w:pPr>
            <w:r>
              <w:rPr>
                <w:rFonts w:ascii="Arial" w:cs="Arial" w:eastAsia="Arial" w:hAnsi="Arial"/>
                <w:b w:val="false"/>
                <w:bCs w:val="false"/>
                <w:sz w:val="19"/>
                <w:szCs w:val="19"/>
              </w:rPr>
              <w:t xml:space="preserve">Aggregated statements are traceable to underlying workpapers.</w:t>
            </w:r>
          </w:p>
        </w:tc>
      </w:tr>
      <w:tr>
        <w:trPr>
          <w:cantSplit/>
        </w:trPr>
        <w:tc>
          <w:tcPr>
            <w:tcW w:type="dxa" w:w="1600"/>
            <w:tcMar>
              <w:top w:type="dxa" w:w="60"/>
              <w:left w:type="dxa" w:w="80"/>
              <w:bottom w:type="dxa" w:w="60"/>
              <w:right w:type="dxa" w:w="80"/>
            </w:tcMar>
          </w:tcPr>
          <w:p>
            <w:pPr>
              <w:spacing w:after="0"/>
            </w:pPr>
            <w:r>
              <w:rPr>
                <w:rFonts w:ascii="Arial" w:cs="Arial" w:eastAsia="Arial" w:hAnsi="Arial"/>
                <w:b/>
                <w:bCs/>
                <w:sz w:val="19"/>
                <w:szCs w:val="19"/>
              </w:rPr>
              <w:t xml:space="preserve">Reporting</w:t>
            </w:r>
          </w:p>
        </w:tc>
        <w:tc>
          <w:tcPr>
            <w:tcW w:type="dxa" w:w="4100"/>
            <w:tcMar>
              <w:top w:type="dxa" w:w="60"/>
              <w:left w:type="dxa" w:w="80"/>
              <w:bottom w:type="dxa" w:w="60"/>
              <w:right w:type="dxa" w:w="80"/>
            </w:tcMar>
          </w:tcPr>
          <w:p>
            <w:pPr>
              <w:spacing w:after="0"/>
            </w:pPr>
            <w:r>
              <w:rPr>
                <w:rFonts w:ascii="Arial" w:cs="Arial" w:eastAsia="Arial" w:hAnsi="Arial"/>
                <w:b w:val="false"/>
                <w:bCs w:val="false"/>
                <w:sz w:val="19"/>
                <w:szCs w:val="19"/>
              </w:rPr>
              <w:t xml:space="preserve">Review-level reporting that compiles scope, methodology, conclusions, identified concerns, and management responses.</w:t>
            </w:r>
          </w:p>
        </w:tc>
        <w:tc>
          <w:tcPr>
            <w:tcW w:type="dxa" w:w="3660"/>
            <w:tcMar>
              <w:top w:type="dxa" w:w="60"/>
              <w:left w:type="dxa" w:w="80"/>
              <w:bottom w:type="dxa" w:w="60"/>
              <w:right w:type="dxa" w:w="80"/>
            </w:tcMar>
          </w:tcPr>
          <w:p>
            <w:pPr>
              <w:spacing w:after="0"/>
            </w:pPr>
            <w:r>
              <w:rPr>
                <w:rFonts w:ascii="Arial" w:cs="Arial" w:eastAsia="Arial" w:hAnsi="Arial"/>
                <w:b w:val="false"/>
                <w:bCs w:val="false"/>
                <w:sz w:val="19"/>
                <w:szCs w:val="19"/>
              </w:rPr>
              <w:t xml:space="preserve">Reporting reconciles with approved workpapers and QC decisions.</w:t>
            </w:r>
          </w:p>
        </w:tc>
      </w:tr>
      <w:tr>
        <w:trPr>
          <w:cantSplit/>
        </w:trPr>
        <w:tc>
          <w:tcPr>
            <w:tcW w:type="dxa" w:w="1600"/>
            <w:tcMar>
              <w:top w:type="dxa" w:w="60"/>
              <w:left w:type="dxa" w:w="80"/>
              <w:bottom w:type="dxa" w:w="60"/>
              <w:right w:type="dxa" w:w="80"/>
            </w:tcMar>
          </w:tcPr>
          <w:p>
            <w:pPr>
              <w:spacing w:after="0"/>
            </w:pPr>
            <w:r>
              <w:rPr>
                <w:rFonts w:ascii="Arial" w:cs="Arial" w:eastAsia="Arial" w:hAnsi="Arial"/>
                <w:b/>
                <w:bCs/>
                <w:sz w:val="19"/>
                <w:szCs w:val="19"/>
              </w:rPr>
              <w:t xml:space="preserve">Follow-up</w:t>
            </w:r>
          </w:p>
        </w:tc>
        <w:tc>
          <w:tcPr>
            <w:tcW w:type="dxa" w:w="4100"/>
            <w:tcMar>
              <w:top w:type="dxa" w:w="60"/>
              <w:left w:type="dxa" w:w="80"/>
              <w:bottom w:type="dxa" w:w="60"/>
              <w:right w:type="dxa" w:w="80"/>
            </w:tcMar>
          </w:tcPr>
          <w:p>
            <w:pPr>
              <w:spacing w:after="0"/>
            </w:pPr>
            <w:r>
              <w:rPr>
                <w:rFonts w:ascii="Arial" w:cs="Arial" w:eastAsia="Arial" w:hAnsi="Arial"/>
                <w:b w:val="false"/>
                <w:bCs w:val="false"/>
                <w:sz w:val="19"/>
                <w:szCs w:val="19"/>
              </w:rPr>
              <w:t xml:space="preserve">Issue tracking, remediation evidence, validation testing, and closure decision.</w:t>
            </w:r>
          </w:p>
        </w:tc>
        <w:tc>
          <w:tcPr>
            <w:tcW w:type="dxa" w:w="3660"/>
            <w:tcMar>
              <w:top w:type="dxa" w:w="60"/>
              <w:left w:type="dxa" w:w="80"/>
              <w:bottom w:type="dxa" w:w="60"/>
              <w:right w:type="dxa" w:w="80"/>
            </w:tcMar>
          </w:tcPr>
          <w:p>
            <w:pPr>
              <w:spacing w:after="0"/>
            </w:pPr>
            <w:r>
              <w:rPr>
                <w:rFonts w:ascii="Arial" w:cs="Arial" w:eastAsia="Arial" w:hAnsi="Arial"/>
                <w:b w:val="false"/>
                <w:bCs w:val="false"/>
                <w:sz w:val="19"/>
                <w:szCs w:val="19"/>
              </w:rPr>
              <w:t xml:space="preserve">Validation links back to the original Issue, remediation commitment, and acceptance criteria.</w:t>
            </w:r>
          </w:p>
        </w:tc>
      </w:tr>
    </w:tbl>
    <w:p>
      <w:pPr>
        <w:spacing w:after="60"/>
      </w:pPr>
      <w:r>
        <w:rPr>
          <w:rFonts w:ascii="Arial" w:cs="Arial" w:eastAsia="Arial" w:hAnsi="Arial"/>
          <w:sz w:val="21"/>
          <w:szCs w:val="21"/>
        </w:rPr>
        <w:t xml:space="preserve"/>
      </w:r>
    </w:p>
    <w:p>
      <w:pPr>
        <w:pStyle w:val="Heading2"/>
        <w:spacing w:after="100" w:before="200"/>
      </w:pPr>
      <w:r>
        <w:rPr>
          <w:rFonts w:ascii="Arial" w:cs="Arial" w:eastAsia="Arial" w:hAnsi="Arial"/>
          <w:b/>
          <w:bCs/>
          <w:color w:val="000000"/>
          <w:sz w:val="22"/>
          <w:szCs w:val="22"/>
        </w:rPr>
        <w:t xml:space="preserve">5.2 Review outcomes</w:t>
      </w:r>
    </w:p>
    <w:p>
      <w:pPr>
        <w:spacing w:after="200"/>
      </w:pPr>
      <w:r>
        <w:rPr>
          <w:rFonts w:ascii="Arial" w:cs="Arial" w:eastAsia="Arial" w:hAnsi="Arial"/>
          <w:sz w:val="21"/>
          <w:szCs w:val="21"/>
        </w:rPr>
        <w:t xml:space="preserve">The collective insights from all workpapers in scope during a review are compiled and used to support quality of credit risk management (QCRM) grades and the opening of Issues. Issues are tracked to remediation and validated by CRR.</w:t>
      </w:r>
    </w:p>
    <w:p>
      <w:pPr>
        <w:pStyle w:val="Heading1"/>
        <w:spacing w:after="120" w:before="300"/>
      </w:pPr>
      <w:r>
        <w:rPr>
          <w:rFonts w:ascii="Arial" w:cs="Arial" w:eastAsia="Arial" w:hAnsi="Arial"/>
          <w:b/>
          <w:bCs/>
          <w:color w:val="000000"/>
          <w:sz w:val="26"/>
          <w:szCs w:val="26"/>
        </w:rPr>
        <w:t xml:space="preserve">6. Where the Sentinel platform fits</w:t>
      </w:r>
    </w:p>
    <w:p>
      <w:pPr>
        <w:spacing w:after="140"/>
      </w:pPr>
      <w:r>
        <w:rPr>
          <w:rFonts w:ascii="Arial" w:cs="Arial" w:eastAsia="Arial" w:hAnsi="Arial"/>
          <w:b/>
          <w:bCs/>
          <w:sz w:val="21"/>
          <w:szCs w:val="21"/>
        </w:rPr>
        <w:t xml:space="preserve">What the build is intended to support: </w:t>
      </w:r>
      <w:r>
        <w:rPr>
          <w:rFonts w:ascii="Arial" w:cs="Arial" w:eastAsia="Arial" w:hAnsi="Arial"/>
          <w:sz w:val="21"/>
          <w:szCs w:val="21"/>
        </w:rPr>
        <w:t xml:space="preserve">translate source evidence and reviewer analysis into complete, consistent, traceable workpaper documentation. It should accelerate drafting and completeness checks while preserving human ownership of scope, sampling, judgment, conclusions, concern classification, quality control, and final approval.</w:t>
      </w:r>
    </w:p>
    <w:p>
      <w:pPr>
        <w:spacing w:after="140"/>
      </w:pPr>
      <w:r>
        <w:rPr>
          <w:rFonts w:ascii="Arial" w:cs="Arial" w:eastAsia="Arial" w:hAnsi="Arial"/>
          <w:sz w:val="21"/>
          <w:szCs w:val="21"/>
        </w:rPr>
        <w:t xml:space="preserve">In journey terms, the platform’s target is stages 1 through 3 (gathering evidence, digesting it, and drafting the workpaper), plus completeness checks ahead of QC at stage 4. Platform-managed evidence linking would also close a current retrievability gap: today, supporting evidence lives in analyst-created shared drive folders while the record of review lives in the departmental workflow tool.</w:t>
      </w:r>
    </w:p>
    <w:p>
      <w:pPr>
        <w:spacing w:after="140"/>
      </w:pPr>
      <w:r>
        <w:rPr>
          <w:rFonts w:ascii="Arial" w:cs="Arial" w:eastAsia="Arial" w:hAnsi="Arial"/>
          <w:sz w:val="21"/>
          <w:szCs w:val="21"/>
        </w:rPr>
        <w:t xml:space="preserve">The workpaper decomposition in Section 4.1 makes the division of labor concrete. Its verification questions fall into four types: data-input pulls from the most recent Annual, Quarterly, or ComCo review (for example, TTM revenue and EBITDA, external ratings and outlook); quantified threshold checks (UBS Adjusted Full Year EBITDA deviating more than 10% from the UBS Expected Case, a benchmark curve move of more than 100 basis points, approvals uploaded to IRIS within 2 days of final approval); policy-alignment checks against named policy sections (Leveraged Lending Guidelines 5-G-006360, Commercial Lending Policy 5-P-000247 Annex F, Global CWL Criteria 1-G-012756); and judgment calls (does CRR agree with the credit team’s EBITDA adjustments, projection assumptions, or WACC). The first three types are candidates for pre-population and automated checking with citations back to source, provided every pre-populated figure carries its as-of date, since carrying data forward from the prior review is exactly where stale numbers propagate. The fourth type stays with the analyst.</w:t>
      </w:r>
    </w:p>
    <w:p>
      <w:pPr>
        <w:spacing w:after="140"/>
      </w:pPr>
      <w:r>
        <w:rPr>
          <w:rFonts w:ascii="Arial" w:cs="Arial" w:eastAsia="Arial" w:hAnsi="Arial"/>
          <w:sz w:val="21"/>
          <w:szCs w:val="21"/>
        </w:rPr>
        <w:t xml:space="preserve">Assignment, judgment, and approval stay exactly where they are today. The platform must not autonomously:</w:t>
      </w:r>
    </w:p>
    <w:p>
      <w:pPr>
        <w:pStyle w:val="ListParagraph"/>
        <w:numPr>
          <w:ilvl w:val="0"/>
          <w:numId w:val="2"/>
        </w:numPr>
        <w:spacing w:after="60"/>
      </w:pPr>
      <w:r>
        <w:rPr>
          <w:rFonts w:ascii="Arial" w:cs="Arial" w:eastAsia="Arial" w:hAnsi="Arial"/>
          <w:sz w:val="21"/>
          <w:szCs w:val="21"/>
        </w:rPr>
        <w:t xml:space="preserve">Set review scope, sample selection, or materiality.</w:t>
      </w:r>
    </w:p>
    <w:p>
      <w:pPr>
        <w:pStyle w:val="ListParagraph"/>
        <w:numPr>
          <w:ilvl w:val="0"/>
          <w:numId w:val="2"/>
        </w:numPr>
        <w:spacing w:after="60"/>
      </w:pPr>
      <w:r>
        <w:rPr>
          <w:rFonts w:ascii="Arial" w:cs="Arial" w:eastAsia="Arial" w:hAnsi="Arial"/>
          <w:sz w:val="21"/>
          <w:szCs w:val="21"/>
        </w:rPr>
        <w:t xml:space="preserve">Determine the final risk rating, classification, QCRM grade, or concern type.</w:t>
      </w:r>
    </w:p>
    <w:p>
      <w:pPr>
        <w:pStyle w:val="ListParagraph"/>
        <w:numPr>
          <w:ilvl w:val="0"/>
          <w:numId w:val="2"/>
        </w:numPr>
        <w:spacing w:after="60"/>
      </w:pPr>
      <w:r>
        <w:rPr>
          <w:rFonts w:ascii="Arial" w:cs="Arial" w:eastAsia="Arial" w:hAnsi="Arial"/>
          <w:sz w:val="21"/>
          <w:szCs w:val="21"/>
        </w:rPr>
        <w:t xml:space="preserve">Decide that multiple findings aggregate into an Issue.</w:t>
      </w:r>
    </w:p>
    <w:p>
      <w:pPr>
        <w:pStyle w:val="ListParagraph"/>
        <w:numPr>
          <w:ilvl w:val="0"/>
          <w:numId w:val="2"/>
        </w:numPr>
        <w:spacing w:after="60"/>
      </w:pPr>
      <w:r>
        <w:rPr>
          <w:rFonts w:ascii="Arial" w:cs="Arial" w:eastAsia="Arial" w:hAnsi="Arial"/>
          <w:sz w:val="21"/>
          <w:szCs w:val="21"/>
        </w:rPr>
        <w:t xml:space="preserve">Approve a management remediation plan, or determine that remediation is effective and sustainable.</w:t>
      </w:r>
    </w:p>
    <w:p>
      <w:pPr>
        <w:pStyle w:val="ListParagraph"/>
        <w:numPr>
          <w:ilvl w:val="0"/>
          <w:numId w:val="2"/>
        </w:numPr>
        <w:spacing w:after="60"/>
      </w:pPr>
      <w:r>
        <w:rPr>
          <w:rFonts w:ascii="Arial" w:cs="Arial" w:eastAsia="Arial" w:hAnsi="Arial"/>
          <w:sz w:val="21"/>
          <w:szCs w:val="21"/>
        </w:rPr>
        <w:t xml:space="preserve">Complete quality control or close an Issue.</w:t>
      </w:r>
    </w:p>
    <w:p>
      <w:pPr>
        <w:pStyle w:val="ListParagraph"/>
        <w:numPr>
          <w:ilvl w:val="0"/>
          <w:numId w:val="2"/>
        </w:numPr>
        <w:spacing w:after="60"/>
      </w:pPr>
      <w:r>
        <w:rPr>
          <w:rFonts w:ascii="Arial" w:cs="Arial" w:eastAsia="Arial" w:hAnsi="Arial"/>
          <w:sz w:val="21"/>
          <w:szCs w:val="21"/>
        </w:rPr>
        <w:t xml:space="preserve">Substitute for CRR expert judgment or the responsibilities of the first and second lines of defense.</w:t>
      </w:r>
    </w:p>
    <w:p>
      <w:pPr>
        <w:spacing w:after="200"/>
      </w:pPr>
      <w:r>
        <w:rPr>
          <w:rFonts w:ascii="Arial" w:cs="Arial" w:eastAsia="Arial" w:hAnsi="Arial"/>
          <w:sz w:val="21"/>
          <w:szCs w:val="21"/>
        </w:rPr>
        <w:t xml:space="preserve">Detailed target capabilities, data and integration considerations, and the initial requirements map are maintained in the companion business context document and the platform BRD.</w:t>
      </w:r>
    </w:p>
    <w:p>
      <w:pPr>
        <w:pStyle w:val="Heading1"/>
        <w:spacing w:after="120" w:before="300"/>
      </w:pPr>
      <w:r>
        <w:rPr>
          <w:rFonts w:ascii="Arial" w:cs="Arial" w:eastAsia="Arial" w:hAnsi="Arial"/>
          <w:b/>
          <w:bCs/>
          <w:color w:val="000000"/>
          <w:sz w:val="26"/>
          <w:szCs w:val="26"/>
        </w:rPr>
        <w:t xml:space="preserve">7.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Term</w:t>
            </w:r>
          </w:p>
        </w:tc>
        <w:tc>
          <w:tcPr>
            <w:tcW w:type="dxa" w:w="7260"/>
            <w:tcMar>
              <w:top w:type="dxa" w:w="60"/>
              <w:left w:type="dxa" w:w="80"/>
              <w:bottom w:type="dxa" w:w="60"/>
              <w:right w:type="dxa" w:w="80"/>
            </w:tcMar>
          </w:tcPr>
          <w:p>
            <w:pPr>
              <w:spacing w:after="0"/>
            </w:pPr>
            <w:r>
              <w:rPr>
                <w:rFonts w:ascii="Arial" w:cs="Arial" w:eastAsia="Arial" w:hAnsi="Arial"/>
                <w:b/>
                <w:bCs/>
                <w:sz w:val="19"/>
                <w:szCs w:val="19"/>
              </w:rPr>
              <w:t xml:space="preserve">Meaning in this document</w:t>
            </w:r>
          </w:p>
        </w:tc>
      </w:tr>
      <w:tr>
        <w:trPr>
          <w:cantSplit/>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CRR CUSO</w:t>
            </w:r>
          </w:p>
        </w:tc>
        <w:tc>
          <w:tcPr>
            <w:tcW w:type="dxa" w:w="7260"/>
            <w:tcMar>
              <w:top w:type="dxa" w:w="60"/>
              <w:left w:type="dxa" w:w="80"/>
              <w:bottom w:type="dxa" w:w="60"/>
              <w:right w:type="dxa" w:w="80"/>
            </w:tcMar>
          </w:tcPr>
          <w:p>
            <w:pPr>
              <w:spacing w:after="0"/>
            </w:pPr>
            <w:r>
              <w:rPr>
                <w:rFonts w:ascii="Arial" w:cs="Arial" w:eastAsia="Arial" w:hAnsi="Arial"/>
                <w:b w:val="false"/>
                <w:bCs w:val="false"/>
                <w:sz w:val="19"/>
                <w:szCs w:val="19"/>
              </w:rPr>
              <w:t xml:space="preserve">Credit Risk Review for the Combined U.S. Operations.</w:t>
            </w:r>
          </w:p>
        </w:tc>
      </w:tr>
      <w:tr>
        <w:trPr>
          <w:cantSplit/>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RIC</w:t>
            </w:r>
          </w:p>
        </w:tc>
        <w:tc>
          <w:tcPr>
            <w:tcW w:type="dxa" w:w="7260"/>
            <w:tcMar>
              <w:top w:type="dxa" w:w="60"/>
              <w:left w:type="dxa" w:w="80"/>
              <w:bottom w:type="dxa" w:w="60"/>
              <w:right w:type="dxa" w:w="80"/>
            </w:tcMar>
          </w:tcPr>
          <w:p>
            <w:pPr>
              <w:spacing w:after="0"/>
            </w:pPr>
            <w:r>
              <w:rPr>
                <w:rFonts w:ascii="Arial" w:cs="Arial" w:eastAsia="Arial" w:hAnsi="Arial"/>
                <w:b w:val="false"/>
                <w:bCs w:val="false"/>
                <w:sz w:val="19"/>
                <w:szCs w:val="19"/>
              </w:rPr>
              <w:t xml:space="preserve">Reviewer-in-Charge; performs primary quality control on workpapers.</w:t>
            </w:r>
          </w:p>
        </w:tc>
      </w:tr>
      <w:tr>
        <w:trPr>
          <w:cantSplit/>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Workpaper</w:t>
            </w:r>
          </w:p>
        </w:tc>
        <w:tc>
          <w:tcPr>
            <w:tcW w:type="dxa" w:w="7260"/>
            <w:tcMar>
              <w:top w:type="dxa" w:w="60"/>
              <w:left w:type="dxa" w:w="80"/>
              <w:bottom w:type="dxa" w:w="60"/>
              <w:right w:type="dxa" w:w="80"/>
            </w:tcMar>
          </w:tcPr>
          <w:p>
            <w:pPr>
              <w:spacing w:after="0"/>
            </w:pPr>
            <w:r>
              <w:rPr>
                <w:rFonts w:ascii="Arial" w:cs="Arial" w:eastAsia="Arial" w:hAnsi="Arial"/>
                <w:b w:val="false"/>
                <w:bCs w:val="false"/>
                <w:sz w:val="19"/>
                <w:szCs w:val="19"/>
              </w:rPr>
              <w:t xml:space="preserve">The borrower-level file review record; colloquially, CRR calls these linecards.</w:t>
            </w:r>
          </w:p>
        </w:tc>
      </w:tr>
      <w:tr>
        <w:trPr>
          <w:cantSplit/>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QCRM</w:t>
            </w:r>
          </w:p>
        </w:tc>
        <w:tc>
          <w:tcPr>
            <w:tcW w:type="dxa" w:w="7260"/>
            <w:tcMar>
              <w:top w:type="dxa" w:w="60"/>
              <w:left w:type="dxa" w:w="80"/>
              <w:bottom w:type="dxa" w:w="60"/>
              <w:right w:type="dxa" w:w="80"/>
            </w:tcMar>
          </w:tcPr>
          <w:p>
            <w:pPr>
              <w:spacing w:after="0"/>
            </w:pPr>
            <w:r>
              <w:rPr>
                <w:rFonts w:ascii="Arial" w:cs="Arial" w:eastAsia="Arial" w:hAnsi="Arial"/>
                <w:b w:val="false"/>
                <w:bCs w:val="false"/>
                <w:sz w:val="19"/>
                <w:szCs w:val="19"/>
              </w:rPr>
              <w:t xml:space="preserve">Quality of Credit Risk Management.</w:t>
            </w:r>
          </w:p>
        </w:tc>
      </w:tr>
      <w:tr>
        <w:trPr>
          <w:cantSplit/>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Issue</w:t>
            </w:r>
          </w:p>
        </w:tc>
        <w:tc>
          <w:tcPr>
            <w:tcW w:type="dxa" w:w="7260"/>
            <w:tcMar>
              <w:top w:type="dxa" w:w="60"/>
              <w:left w:type="dxa" w:w="80"/>
              <w:bottom w:type="dxa" w:w="60"/>
              <w:right w:type="dxa" w:w="80"/>
            </w:tcMar>
          </w:tcPr>
          <w:p>
            <w:pPr>
              <w:spacing w:after="0"/>
            </w:pPr>
            <w:r>
              <w:rPr>
                <w:rFonts w:ascii="Arial" w:cs="Arial" w:eastAsia="Arial" w:hAnsi="Arial"/>
                <w:b w:val="false"/>
                <w:bCs w:val="false"/>
                <w:sz w:val="19"/>
                <w:szCs w:val="19"/>
              </w:rPr>
              <w:t xml:space="preserve">A policy, procedure, or practice deficiency requiring formal response and remediation.</w:t>
            </w:r>
          </w:p>
        </w:tc>
      </w:tr>
      <w:tr>
        <w:trPr>
          <w:cantSplit/>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IRIS / Encompass</w:t>
            </w:r>
          </w:p>
        </w:tc>
        <w:tc>
          <w:tcPr>
            <w:tcW w:type="dxa" w:w="7260"/>
            <w:tcMar>
              <w:top w:type="dxa" w:w="60"/>
              <w:left w:type="dxa" w:w="80"/>
              <w:bottom w:type="dxa" w:w="60"/>
              <w:right w:type="dxa" w:w="80"/>
            </w:tcMar>
          </w:tcPr>
          <w:p>
            <w:pPr>
              <w:spacing w:after="0"/>
            </w:pPr>
            <w:r>
              <w:rPr>
                <w:rFonts w:ascii="Arial" w:cs="Arial" w:eastAsia="Arial" w:hAnsi="Arial"/>
                <w:b w:val="false"/>
                <w:bCs w:val="false"/>
                <w:sz w:val="19"/>
                <w:szCs w:val="19"/>
              </w:rPr>
              <w:t xml:space="preserve">Firm systems of record for investment banking and wealth management client credit documentation, respectively.</w:t>
            </w:r>
          </w:p>
        </w:tc>
      </w:tr>
      <w:tr>
        <w:trPr>
          <w:cantSplit/>
        </w:trPr>
        <w:tc>
          <w:tcPr>
            <w:tcW w:type="dxa" w:w="2100"/>
            <w:tcMar>
              <w:top w:type="dxa" w:w="60"/>
              <w:left w:type="dxa" w:w="80"/>
              <w:bottom w:type="dxa" w:w="60"/>
              <w:right w:type="dxa" w:w="80"/>
            </w:tcMar>
          </w:tcPr>
          <w:p>
            <w:pPr>
              <w:spacing w:after="0"/>
            </w:pPr>
            <w:r>
              <w:rPr>
                <w:rFonts w:ascii="Arial" w:cs="Arial" w:eastAsia="Arial" w:hAnsi="Arial"/>
                <w:b/>
                <w:bCs/>
                <w:sz w:val="19"/>
                <w:szCs w:val="19"/>
              </w:rPr>
              <w:t xml:space="preserve">1LOD / 2LOD</w:t>
            </w:r>
          </w:p>
        </w:tc>
        <w:tc>
          <w:tcPr>
            <w:tcW w:type="dxa" w:w="7260"/>
            <w:tcMar>
              <w:top w:type="dxa" w:w="60"/>
              <w:left w:type="dxa" w:w="80"/>
              <w:bottom w:type="dxa" w:w="60"/>
              <w:right w:type="dxa" w:w="80"/>
            </w:tcMar>
          </w:tcPr>
          <w:p>
            <w:pPr>
              <w:spacing w:after="0"/>
            </w:pPr>
            <w:r>
              <w:rPr>
                <w:rFonts w:ascii="Arial" w:cs="Arial" w:eastAsia="Arial" w:hAnsi="Arial"/>
                <w:b w:val="false"/>
                <w:bCs w:val="false"/>
                <w:sz w:val="19"/>
                <w:szCs w:val="19"/>
              </w:rPr>
              <w:t xml:space="preserve">First / second line of defense.</w:t>
            </w:r>
          </w:p>
        </w:tc>
      </w:tr>
    </w:tbl>
    <w:p>
      <w:pPr>
        <w:spacing w:after="60"/>
      </w:pPr>
      <w:r>
        <w:rPr>
          <w:rFonts w:ascii="Arial" w:cs="Arial" w:eastAsia="Arial" w:hAnsi="Arial"/>
          <w:sz w:val="21"/>
          <w:szCs w:val="21"/>
        </w:rPr>
        <w:t xml:space="preserve"/>
      </w:r>
    </w:p>
    <w:p>
      <w:pPr>
        <w:pStyle w:val="Heading1"/>
        <w:spacing w:after="120" w:before="300"/>
      </w:pPr>
      <w:r>
        <w:rPr>
          <w:rFonts w:ascii="Arial" w:cs="Arial" w:eastAsia="Arial" w:hAnsi="Arial"/>
          <w:b/>
          <w:bCs/>
          <w:color w:val="000000"/>
          <w:sz w:val="26"/>
          <w:szCs w:val="26"/>
        </w:rPr>
        <w:t xml:space="preserve">8. Sources and maintenance</w:t>
      </w:r>
    </w:p>
    <w:p>
      <w:pPr>
        <w:spacing w:after="140"/>
      </w:pPr>
      <w:r>
        <w:rPr>
          <w:rFonts w:ascii="Arial" w:cs="Arial" w:eastAsia="Arial" w:hAnsi="Arial"/>
          <w:sz w:val="21"/>
          <w:szCs w:val="21"/>
        </w:rPr>
        <w:t xml:space="preserve">Grounded in the CRR CUSO Procedures Manual (1-G-007544, published 14 July 2025) and the CRR reviewer process walkthrough. This document orients platform partners. It does not replace the Procedure Manual, the Credit Risk Review Policy, applicable records requirements, information security standards, model risk requirements, or legal and regulatory obligations. Business owner: Credit Risk Review CUSO. This is the main version, maintained by CRR.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666666"/>
        <w:sz w:val="16"/>
        <w:szCs w:val="16"/>
      </w:rPr>
      <w:t xml:space="preserve">Internal | Draft for IT discussion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66666"/>
        <w:sz w:val="16"/>
        <w:szCs w:val="16"/>
      </w:rPr>
      <w:t xml:space="preserve">CRR CUSO | Sentinel CRR Use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2026-08-20T21:25:54.759Z</dcterms:created>
  <dcterms:modified xsi:type="dcterms:W3CDTF">2026-08-20T21:25:54.760Z</dcterms:modified>
</cp:coreProperties>
</file>

<file path=docProps/custom.xml><?xml version="1.0" encoding="utf-8"?>
<Properties xmlns="http://schemas.openxmlformats.org/officeDocument/2006/custom-properties" xmlns:vt="http://schemas.openxmlformats.org/officeDocument/2006/docPropsVTypes"/>
</file>