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Work Paper Analysis Decomposition — v2 Draft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Leveraged lending target review linecard. Documentation of key assessment questions, points of analysis, and areas reviewers are trying to figure out throughout the workpaper lifecycle — the reviewer perspective once all documents are gathered.</w:t>
      </w:r>
    </w:p>
    <w:p>
      <w:pPr>
        <w:spacing w:after="24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How to read this draft: everything in black is the original question set, unchanged. </w:t>
      </w:r>
      <w:r>
        <w:rPr>
          <w:rFonts w:ascii="Arial" w:cs="Arial" w:eastAsia="Arial" w:hAnsi="Arial"/>
          <w:i/>
          <w:iCs/>
          <w:color w:val="0000FF"/>
          <w:sz w:val="21"/>
          <w:szCs w:val="21"/>
        </w:rPr>
        <w:t xml:space="preserve">Items in blue are proposed v2 additions for SME review — adopt, adapt, or reject.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Drafted 20 August 2026.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Who is the obligor and what business is it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country does the obligor operate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industry does the obligor operate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sub-segment of the industry does the obligor have a niche in?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How long has it been in business?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the obligor sponsor-owned? If so, who is the sponsor and how long have they owned the business?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types of transactions has UBS done with the obligor?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it a leveraged loan? Has the obligor been correctly identified as a leveraged loan and/or has it been incorrectly identified as a leveraged loan (check against the definition of a leveraged loan found in the Leveraged Lending Guidelines 5-G-006360, Quantitative Test or Ratings Test, page 8)?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By Work Paper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Borrower/Counterparty Relationship Overview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Counterparty overview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 input from the most recent review (Annual, Quarterly or ComCo Memo)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most recent TTM revenue and EBITDA for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as-of date of the financial data used (statement date vs. review date)? Are more recent interim results or covenant compliance certificates available?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Have data points carried forward from the prior review been re-verified against source documentation rather than copied?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Recent developments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Data input from the most recent review (Annual, Quarterly or ComCo Memo)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there been any recent development post-transaction or review of the obligor that has not been already captured?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External credit ratings and rating outlook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are the most recent credit ratings from both Moody’s and S&amp;P?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When were the ratings assigned?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When did the ratings change?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rating outlook from both rating agencies?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Transaction description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was the most recent transaction between UBS and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Who is the Administrative Agent on the transaction?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Who is in the banking syndicate?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use of proceeds?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it a cash flow or an Asset Based Loan (ABL) transaction?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it a best-efforts transaction?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transaction quantum?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UBS’s take and hold commitment?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Did the transaction have requisite approvals?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Capitalization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does the pro forma capital structure look like?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pro forma leverage of the obligor?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FF"/>
          <w:sz w:val="21"/>
          <w:szCs w:val="21"/>
        </w:rPr>
        <w:t xml:space="preserve">Sponsor assessment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sponsor’s track record on this and comparable credits — dividend recaps, support provided in prior periods of stress, liability-management transaction history?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sponsor’s remaining equity cushion at the current implied valuation, and does it still incentivize support?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Financials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CRR Assessment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your overall assessment of the credit team’s financial analysis?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the credit team’s analysis?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are the gaps in the credit team’s analysis, if any?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Credit team / 2nd LoD Financial Analysis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Evaluate the financial performance of the obligor. Focus on revenue, EBITDA, free cash flow, leverage and liquidity of the obligor.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the credit team’s EBITDA adjustments?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Have the EBITDA adjustments been adequately justified?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there any gaps in the EBITDA adjustments?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all adjustments non-cash and non-recurring?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Have all credit risks been identified appropriately?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credit risk identified have mitigants?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FF"/>
          <w:sz w:val="21"/>
          <w:szCs w:val="21"/>
        </w:rPr>
        <w:t xml:space="preserve">Liquidity &amp; runway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obligor’s 12–18 month liquidity runway (cash plus revolver availability against fixed charges, capital expenditures, and working capital needs) under the UBS Downside Case?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current revolver availability, and does drawing it spring any covenant test?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debt maturities fall due within the next 24 months, and what is the refinancing plan and market access?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share of floating-rate debt is hedged? When do hedges or caps expire, and what is the unhedged interest-expense sensitivity?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 Assessments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Were financial projections updated as required by section 8.4 of Leveraged Lending Guidelines (5-G-006360)?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Did UBS Adjusted Full Year EBITDA deviate more than 10% from the UBS Expected Case?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Was there a change to the capital structure (excluding regular amortization, RCF draws or PIK accruals)?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Did the average interest benchmark curve change more than 100 basis points?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Did the management budget FY plan EBITDA deviate more than 10% from the UBS Expected Case?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business completed an acquisition or divestiture of assets?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Financial Projections — 7-year Total Debt Repayment Capacity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 Business’s financial projections reasonable and sufficiently justified?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 financial projections include key assumptions for revenue, EBITDA margin, cost savings/synergy realization, working capital, capital expenditures, interest expense, amortization schedule, contractual excess cash flow sweeps, planned acquisitions, planned asset sales, and planned dividends?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Did the credit team provide critical challenge to these assumptions?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financial projections too aggressive compared to the obligor’s historical performance?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 projections assess the risks of a rising interest rate environment?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Under the UBS Downside Case, does the obligor still delever and retain repayment capacity over the projection period?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Financial Projections — EV / Total Debt Coverage Analysis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Was a discounted cash flow-based EV calculated for both the UBS Expected Case and the UBS Downside Case?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Were the assumptions used to calculate EV reasonable and well documented?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the selection of comparable company examples?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the trading multiples used?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comparable precedent transaction multiples used?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CRR agree with the assumptions underlying the calculation of the Weighted Average Cost of Capital (WACC)?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UBS Expected Case EV fully cover Total Debt of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Does the UBS Downside Case EV fully cover Total Debt of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If not, where in the capital structure does value break, and what does that imply for LGD and expected recovery?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Underwriting &amp; Documentation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CRR Assessment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CRR’s overall assessment related to underwriting and documentation?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Transaction Structure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See above (transaction description)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the credit structure consistent with banking industry practices?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credit structure have liability management transaction (LMT) protection? This includes J.Crew Protection, Serta Protection and Chewy Protection (page 32 of 5-G-006360).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FF"/>
          <w:sz w:val="21"/>
          <w:szCs w:val="21"/>
        </w:rPr>
        <w:t xml:space="preserve">Covenant package &amp; documentation capacity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Is the facility cov-lite or maintenance? Which financial covenant tests apply, and when?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How broad is the contractual EBITDA definition — are addbacks capped, and which uncapped addback categories exist?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restricted payment, restricted investment, and incremental facility capacity exists, and could it materially increase leverage or leak value from the credit?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Credit Analysis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borrower been evaluated appropriately?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guarantor been evaluated appropriately?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are the industry dynamics?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cash flow generating ability of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liquidity profile of the obligor?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borrower’s leverage?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the borrower’s EV?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borrower have collateral?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borrower have covenants?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credit team independently verified that the borrower is in compliance with its covenants?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Have material non-financial risks of the borrower been appropriately identified, evaluated and documented? These include key credit risks, quality of management, sustainability and climate risk.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 of Repayment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primary source of repayment (PSOR) been properly identified?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analysis assess the adequacy of PSOR to repay the loan?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the secondary source of repayment (SSOR) been properly identified?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analysis assess the adequacy of SSOR to repay the loan?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Underwriting Standards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are the underwriting standards pertaining to this transaction?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there any underwriting variances identified?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ComCo Memo properly identify and sufficiently mitigate any policy and underwriting exceptions? Note that three variances result in an underwriting exception.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Credit Approval Authority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Was sufficient credit authority obtained?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there sufficient availability under all relevant limits?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Has sufficient due diligence been performed?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all approvals in place before providing any commitment?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 credit terms in the ComCo Memo identical to the credit terms in the Closing Memo?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Have all approvals been uploaded to IRIS within 2 days of final approval?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Portfolio Management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CRR Assessment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CRR’s view on the overall monitoring process?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Post origination monitoring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periodic reviews completed in a timely manner? (by due date or EOM for quarterly)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 periodic reviews properly identify and evaluate material financial and non-financial risks, including changes in borrower performance?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Covenant compliance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borrower in compliance?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covenants examined in the most recent review?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not in compliance, what actions have been taken?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covenants monitored in a timely manner, as required by the credit agreement?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current headroom (%) against the tightest financial covenant?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What is the projected covenant headroom trajectory over the next four quarters?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Credit watchlist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 the obligor on the credit watchlist (CWL)? Refer to criteria for adding an obligor to CWL, Section 4.2, page 5 of 1-G-012756.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monitoring of the obligor adhere to the Global CWL Criteria?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 Rating Recognition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CRR Assessment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What is CRR’s overall assessment of the Regulatory, PD and LGD Ratings?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Are the weaknesses identified in the Financials and Underwriting &amp; Documentation sections reflected in the regulatory, PD, and LGD ratings? Where a rating is unchanged despite identified weaknesses, is the rationale documented?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FF"/>
          <w:sz w:val="21"/>
          <w:szCs w:val="21"/>
        </w:rPr>
        <w:t xml:space="preserve">Are CRR’s section-level assessments internally consistent with the final rating conclusion and any proposed Grading Difference?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 Risk Rating Classification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regulatory ratings aligned with Annex F of Commercial Lending Policy (5-P-000247) and regulatory guidance?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regulatory ratings accurate and sufficiently supported?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Does the regulatory rating analysis appropriately consider such key risk drivers as the strength of the primary source of repayment, performance to plan, leverage and liquidity, as applicable?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regulatory ratings assigned timely?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Risk Rating Triggers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regulatory risk rating triggers aligned with section 3 of Annex F of Commercial Lending Policy (5-P-000247)?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triggers reset when a regulatory rating is changed as specified in section 8.5 of Leveraged Lending Guidelines (5-G-006360)?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PD Rating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ratings aligned with Commercial Lending Policy (5-P-000247) and Leveraged Lending Guidelines (5-G-006360)?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 rating model inputs accurate and appropriately supported?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ratings timely?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Were PD overrides appropriately justified?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LGD Rating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ratings aligned with Commercial Lending Policy (5-P-000247) and Leveraged Lending Guidelines (5-G-006360)?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the rating model inputs accurate and appropriately supported?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Are ratings timely?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Trading Activity and Exposure Analysis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 applicable for leveraged loans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360"/>
      </w:pPr>
    </w:lvl>
    <w:lvl w:ilvl="1" w15:tentative="1">
      <w:start w:val="1"/>
      <w:numFmt w:val="bullet"/>
      <w:lvlText w:val="o"/>
      <w:lvlJc w:val="left"/>
      <w:pPr>
        <w:ind w:left="1008" w:hanging="360"/>
      </w:pPr>
    </w:lvl>
    <w:lvl w:ilvl="2" w15:tentative="1">
      <w:start w:val="1"/>
      <w:numFmt w:val="bullet"/>
      <w:lvlText w:val="▪"/>
      <w:lvlJc w:val="left"/>
      <w:pPr>
        <w:ind w:left="158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2026-08-20T21:09:15.556Z</dcterms:created>
  <dcterms:modified xsi:type="dcterms:W3CDTF">2026-08-20T21:09:15.556Z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