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Risk Hive Requirements — CRR Feedback</w:t>
      </w:r>
    </w:p>
    <w:p>
      <w:pPr/>
      <w:r>
        <w:t xml:space="preserve">Oct 7, 2026</w:t>
      </w:r>
      <w:r>
        <w:t xml:space="preserve"> · </w:t>
      </w:r>
      <w:r>
        <w:t xml:space="preserve">@Steve</w:t>
      </w:r>
    </w:p>
    <w:p>
      <w:pPr>
        <w:pStyle w:val="Heading2"/>
      </w:pPr>
      <w:r>
        <w:t xml:space="preserve">Purpose and how to read this note</w:t>
      </w:r>
    </w:p>
    <w:p>
      <w:pPr/>
      <w:r>
        <w:t xml:space="preserve">This note accompanies my email on the Risk Hive candidate requirements (v1) and the divisional requirement deltas. It sets out CRR's position as a consuming application (CRR Sentinel), with the business context behind each ruling.</w:t>
      </w:r>
    </w:p>
    <w:p>
      <w:pPr/>
      <w:r>
        <w:t xml:space="preserve">Each topic follows the same structure: </w:t>
      </w:r>
      <w:r>
        <w:rPr>
          <w:b/>
        </w:rPr>
        <w:t xml:space="preserve">Business context</w:t>
      </w:r>
      <w:r>
        <w:t xml:space="preserve"> (why it matters to the business), </w:t>
      </w:r>
      <w:r>
        <w:rPr>
          <w:b/>
        </w:rPr>
        <w:t xml:space="preserve">Ruling</w:t>
      </w:r>
      <w:r>
        <w:t xml:space="preserve"> (my position), and </w:t>
      </w:r>
      <w:r>
        <w:rPr>
          <w:b/>
        </w:rPr>
        <w:t xml:space="preserve">Explanation</w:t>
      </w:r>
      <w:r>
        <w:t xml:space="preserve"> (the detail behind it). The divisional deltas are treated as proposals, not requirements; the disposition table below gives the ruling on each.</w:t>
      </w:r>
    </w:p>
    <w:p>
      <w:pPr>
        <w:pStyle w:val="Heading2"/>
      </w:pPr>
      <w:r>
        <w:t xml:space="preserve">Guiding principle: what Hive is</w:t>
      </w:r>
    </w:p>
    <w:p>
      <w:pPr/>
      <w:r>
        <w:rPr>
          <w:b/>
        </w:rPr>
        <w:t xml:space="preserve">Ruling.</w:t>
      </w:r>
      <w:r>
        <w:t xml:space="preserve"> Hive is the storage layer for published, finalised documents: close to, but not quite, cold storage. Work in progress does not land in Hive, and AI capabilities sit outside it.</w:t>
      </w:r>
    </w:p>
    <w:p>
      <w:pPr>
        <w:pStyle w:val="ListParagraph"/>
        <w:numPr>
          <w:ilvl w:val="0"/>
          <w:numId w:val="2"/>
        </w:numPr>
      </w:pPr>
      <w:r>
        <w:t xml:space="preserve">Drafting and collaboration stay upstream in OneDrive and SharePoint. Documents enter Hive when they are ready to be relied on.</w:t>
      </w:r>
    </w:p>
    <w:p>
      <w:pPr>
        <w:pStyle w:val="ListParagraph"/>
        <w:numPr>
          <w:ilvl w:val="0"/>
          <w:numId w:val="2"/>
        </w:numPr>
      </w:pPr>
      <w:r>
        <w:t xml:space="preserve">DEEP is the document extraction and embedding engine. Hive stores and exposes documents and, where useful, AI outputs produced elsewhere with their provenance. It does not generate them.</w:t>
      </w:r>
    </w:p>
    <w:p>
      <w:pPr>
        <w:pStyle w:val="ListParagraph"/>
        <w:numPr>
          <w:ilvl w:val="0"/>
          <w:numId w:val="2"/>
        </w:numPr>
      </w:pPr>
      <w:r>
        <w:t xml:space="preserve">Several deltas are declined because they would turn Hive into a collaboration platform or an AI platform. Both already exist elsewhere in the institution.</w:t>
      </w:r>
    </w:p>
    <w:p>
      <w:pPr>
        <w:pStyle w:val="Heading2"/>
      </w:pPr>
      <w:r>
        <w:t xml:space="preserve">Disposition of divisional deltas</w:t>
      </w:r>
    </w:p>
    <w:p>
      <w:pPr/>
      <w:r>
        <w:t xml:space="preserve">CRR adopts 7 deltas outright, adopts 9 with conditions and declines 8. Deltas not listed have no CRR position.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Delta</w:t>
            </w:r>
          </w:p>
        </w:tc>
        <w:tc>
          <w:tcPr>
            <w:tcW w:w="1872" w:type="dxa"/>
            <w:shd w:val="clear" w:color="auto" w:fill="F2F2F2"/>
          </w:tcPr>
          <w:p>
            <w:pPr/>
            <w:r>
              <w:t xml:space="preserve">Topic</w:t>
            </w:r>
          </w:p>
        </w:tc>
        <w:tc>
          <w:tcPr>
            <w:tcW w:w="1872" w:type="dxa"/>
            <w:shd w:val="clear" w:color="auto" w:fill="F2F2F2"/>
          </w:tcPr>
          <w:p>
            <w:pPr/>
            <w:r>
              <w:t xml:space="preserve">Decision</w:t>
            </w:r>
          </w:p>
        </w:tc>
        <w:tc>
          <w:tcPr>
            <w:tcW w:w="1872" w:type="dxa"/>
            <w:shd w:val="clear" w:color="auto" w:fill="F2F2F2"/>
          </w:tcPr>
          <w:p>
            <w:pPr/>
            <w:r>
              <w:t xml:space="preserve">Business context and rationale</w:t>
            </w:r>
          </w:p>
        </w:tc>
        <w:tc>
          <w:tcPr>
            <w:tcW w:w="1872" w:type="dxa"/>
            <w:shd w:val="clear" w:color="auto" w:fill="F2F2F2"/>
          </w:tcPr>
          <w:p>
            <w:pPr/>
            <w:r>
              <w:t xml:space="preserve">Section</w:t>
            </w:r>
          </w:p>
        </w:tc>
      </w:tr>
      <w:tr>
        <w:tc>
          <w:tcPr>
            <w:tcW w:w="1872" w:type="dxa"/>
          </w:tcPr>
          <w:p>
            <w:pPr/>
            <w:r>
              <w:t xml:space="preserve">ODR-48</w:t>
            </w:r>
          </w:p>
        </w:tc>
        <w:tc>
          <w:tcPr>
            <w:tcW w:w="1872" w:type="dxa"/>
          </w:tcPr>
          <w:p>
            <w:pPr/>
            <w:r>
              <w:t xml:space="preserve">Immediate access tightening</w:t>
            </w:r>
          </w:p>
        </w:tc>
        <w:tc>
          <w:tcPr>
            <w:tcW w:w="1872" w:type="dxa"/>
          </w:tcPr>
          <w:p>
            <w:pPr/>
            <w:r>
              <w:t xml:space="preserve">Adopt</w:t>
            </w:r>
          </w:p>
        </w:tc>
        <w:tc>
          <w:tcPr>
            <w:tcW w:w="1872" w:type="dxa"/>
          </w:tcPr>
          <w:p>
            <w:pPr/>
            <w:r>
              <w:t xml:space="preserve">Access changes must take effect at once; must also apply in DEEP</w:t>
            </w:r>
          </w:p>
        </w:tc>
        <w:tc>
          <w:tcPr>
            <w:tcW w:w="1872" w:type="dxa"/>
          </w:tcPr>
          <w:p>
            <w:pPr/>
            <w:r>
              <w:t xml:space="preserve">1, 7</w:t>
            </w:r>
          </w:p>
        </w:tc>
      </w:tr>
      <w:tr>
        <w:tc>
          <w:tcPr>
            <w:tcW w:w="1872" w:type="dxa"/>
          </w:tcPr>
          <w:p>
            <w:pPr/>
            <w:r>
              <w:t xml:space="preserve">ODR-49</w:t>
            </w:r>
          </w:p>
        </w:tc>
        <w:tc>
          <w:tcPr>
            <w:tcW w:w="1872" w:type="dxa"/>
          </w:tcPr>
          <w:p>
            <w:pPr/>
            <w:r>
              <w:t xml:space="preserve">No metadata leakage in search</w:t>
            </w:r>
          </w:p>
        </w:tc>
        <w:tc>
          <w:tcPr>
            <w:tcW w:w="1872" w:type="dxa"/>
          </w:tcPr>
          <w:p>
            <w:pPr/>
            <w:r>
              <w:t xml:space="preserve">Adopt</w:t>
            </w:r>
          </w:p>
        </w:tc>
        <w:tc>
          <w:tcPr>
            <w:tcW w:w="1872" w:type="dxa"/>
          </w:tcPr>
          <w:p>
            <w:pPr/>
            <w:r>
              <w:t xml:space="preserve">Users must not learn that a restricted document exists; extend to DEEP and duplicate-match responses</w:t>
            </w:r>
          </w:p>
        </w:tc>
        <w:tc>
          <w:tcPr>
            <w:tcW w:w="1872" w:type="dxa"/>
          </w:tcPr>
          <w:p>
            <w:pPr/>
            <w:r>
              <w:t xml:space="preserve">1, 7</w:t>
            </w:r>
          </w:p>
        </w:tc>
      </w:tr>
      <w:tr>
        <w:tc>
          <w:tcPr>
            <w:tcW w:w="1872" w:type="dxa"/>
          </w:tcPr>
          <w:p>
            <w:pPr/>
            <w:r>
              <w:t xml:space="preserve">ODR-25</w:t>
            </w:r>
          </w:p>
        </w:tc>
        <w:tc>
          <w:tcPr>
            <w:tcW w:w="1872" w:type="dxa"/>
          </w:tcPr>
          <w:p>
            <w:pPr/>
            <w:r>
              <w:t xml:space="preserve">Legal hold</w:t>
            </w:r>
          </w:p>
        </w:tc>
        <w:tc>
          <w:tcPr>
            <w:tcW w:w="1872" w:type="dxa"/>
          </w:tcPr>
          <w:p>
            <w:pPr/>
            <w:r>
              <w:t xml:space="preserve">Adopt</w:t>
            </w:r>
          </w:p>
        </w:tc>
        <w:tc>
          <w:tcPr>
            <w:tcW w:w="1872" w:type="dxa"/>
          </w:tcPr>
          <w:p>
            <w:pPr/>
            <w:r>
              <w:t xml:space="preserve">Legal obligations override retention and deletion</w:t>
            </w:r>
          </w:p>
        </w:tc>
        <w:tc>
          <w:tcPr>
            <w:tcW w:w="1872" w:type="dxa"/>
          </w:tcPr>
          <w:p>
            <w:pPr/>
            <w:r>
              <w:t xml:space="preserve">4</w:t>
            </w:r>
          </w:p>
        </w:tc>
      </w:tr>
      <w:tr>
        <w:tc>
          <w:tcPr>
            <w:tcW w:w="1872" w:type="dxa"/>
          </w:tcPr>
          <w:p>
            <w:pPr/>
            <w:r>
              <w:t xml:space="preserve">ODR-16</w:t>
            </w:r>
          </w:p>
        </w:tc>
        <w:tc>
          <w:tcPr>
            <w:tcW w:w="1872" w:type="dxa"/>
          </w:tcPr>
          <w:p>
            <w:pPr/>
            <w:r>
              <w:t xml:space="preserve">Outbound lifecycle events</w:t>
            </w:r>
          </w:p>
        </w:tc>
        <w:tc>
          <w:tcPr>
            <w:tcW w:w="1872" w:type="dxa"/>
          </w:tcPr>
          <w:p>
            <w:pPr/>
            <w:r>
              <w:t xml:space="preserve">Adopt</w:t>
            </w:r>
          </w:p>
        </w:tc>
        <w:tc>
          <w:tcPr>
            <w:tcW w:w="1872" w:type="dxa"/>
          </w:tcPr>
          <w:p>
            <w:pPr/>
            <w:r>
              <w:t xml:space="preserve">Lets applications react to new versions, deletions, quarantine and entitlement changes</w:t>
            </w:r>
          </w:p>
        </w:tc>
        <w:tc>
          <w:tcPr>
            <w:tcW w:w="1872" w:type="dxa"/>
          </w:tcPr>
          <w:p>
            <w:pPr/>
            <w:r>
              <w:t xml:space="preserve">4, 6</w:t>
            </w:r>
          </w:p>
        </w:tc>
      </w:tr>
      <w:tr>
        <w:tc>
          <w:tcPr>
            <w:tcW w:w="1872" w:type="dxa"/>
          </w:tcPr>
          <w:p>
            <w:pPr/>
            <w:r>
              <w:t xml:space="preserve">ODR-53</w:t>
            </w:r>
          </w:p>
        </w:tc>
        <w:tc>
          <w:tcPr>
            <w:tcW w:w="1872" w:type="dxa"/>
          </w:tcPr>
          <w:p>
            <w:pPr/>
            <w:r>
              <w:t xml:space="preserve">AI citations and prompt/run audit</w:t>
            </w:r>
          </w:p>
        </w:tc>
        <w:tc>
          <w:tcPr>
            <w:tcW w:w="1872" w:type="dxa"/>
          </w:tcPr>
          <w:p>
            <w:pPr/>
            <w:r>
              <w:t xml:space="preserve">Adopt</w:t>
            </w:r>
          </w:p>
        </w:tc>
        <w:tc>
          <w:tcPr>
            <w:tcW w:w="1872" w:type="dxa"/>
          </w:tcPr>
          <w:p>
            <w:pPr/>
            <w:r>
              <w:t xml:space="preserve">Findings must be traceable to the exact document version; an application obligation</w:t>
            </w:r>
          </w:p>
        </w:tc>
        <w:tc>
          <w:tcPr>
            <w:tcW w:w="1872" w:type="dxa"/>
          </w:tcPr>
          <w:p>
            <w:pPr/>
            <w:r>
              <w:t xml:space="preserve">3</w:t>
            </w:r>
          </w:p>
        </w:tc>
      </w:tr>
      <w:tr>
        <w:tc>
          <w:tcPr>
            <w:tcW w:w="1872" w:type="dxa"/>
          </w:tcPr>
          <w:p>
            <w:pPr/>
            <w:r>
              <w:t xml:space="preserve">ODR-06, ODR-07</w:t>
            </w:r>
          </w:p>
        </w:tc>
        <w:tc>
          <w:tcPr>
            <w:tcW w:w="1872" w:type="dxa"/>
          </w:tcPr>
          <w:p>
            <w:pPr/>
            <w:r>
              <w:t xml:space="preserve">OpenAPI and API management</w:t>
            </w:r>
          </w:p>
        </w:tc>
        <w:tc>
          <w:tcPr>
            <w:tcW w:w="1872" w:type="dxa"/>
          </w:tcPr>
          <w:p>
            <w:pPr/>
            <w:r>
              <w:t xml:space="preserve">Adopt</w:t>
            </w:r>
          </w:p>
        </w:tc>
        <w:tc>
          <w:tcPr>
            <w:tcW w:w="1872" w:type="dxa"/>
          </w:tcPr>
          <w:p>
            <w:pPr/>
            <w:r>
              <w:t xml:space="preserve">Standard integration hygiene</w:t>
            </w:r>
          </w:p>
        </w:tc>
        <w:tc>
          <w:tcPr>
            <w:tcW w:w="1872" w:type="dxa"/>
          </w:tcPr>
          <w:p>
            <w:pPr/>
            <w:r>
              <w:t xml:space="preserve">—</w:t>
            </w:r>
          </w:p>
        </w:tc>
      </w:tr>
      <w:tr>
        <w:tc>
          <w:tcPr>
            <w:tcW w:w="1872" w:type="dxa"/>
          </w:tcPr>
          <w:p>
            <w:pPr/>
            <w:r>
              <w:t xml:space="preserve">ODR-01, ODR-09, ODR-52</w:t>
            </w:r>
          </w:p>
        </w:tc>
        <w:tc>
          <w:tcPr>
            <w:tcW w:w="1872" w:type="dxa"/>
          </w:tcPr>
          <w:p>
            <w:pPr/>
            <w:r>
              <w:t xml:space="preserve">Legal-entity, location and regulatory restrictions</w:t>
            </w:r>
          </w:p>
        </w:tc>
        <w:tc>
          <w:tcPr>
            <w:tcW w:w="1872" w:type="dxa"/>
          </w:tcPr>
          <w:p>
            <w:pPr/>
            <w:r>
              <w:t xml:space="preserve">Adopt with conditions</w:t>
            </w:r>
          </w:p>
        </w:tc>
        <w:tc>
          <w:tcPr>
            <w:tcW w:w="1872" w:type="dxa"/>
          </w:tcPr>
          <w:p>
            <w:pPr/>
            <w:r>
              <w:t xml:space="preserve">Right intent; delivered through standard and restricted collections</w:t>
            </w:r>
          </w:p>
        </w:tc>
        <w:tc>
          <w:tcPr>
            <w:tcW w:w="1872" w:type="dxa"/>
          </w:tcPr>
          <w:p>
            <w:pPr/>
            <w:r>
              <w:t xml:space="preserve">1</w:t>
            </w:r>
          </w:p>
        </w:tc>
      </w:tr>
      <w:tr>
        <w:tc>
          <w:tcPr>
            <w:tcW w:w="1872" w:type="dxa"/>
          </w:tcPr>
          <w:p>
            <w:pPr/>
            <w:r>
              <w:t xml:space="preserve">ODR-36</w:t>
            </w:r>
          </w:p>
        </w:tc>
        <w:tc>
          <w:tcPr>
            <w:tcW w:w="1872" w:type="dxa"/>
          </w:tcPr>
          <w:p>
            <w:pPr/>
            <w:r>
              <w:t xml:space="preserve">Document-level permission exceptions</w:t>
            </w:r>
          </w:p>
        </w:tc>
        <w:tc>
          <w:tcPr>
            <w:tcW w:w="1872" w:type="dxa"/>
          </w:tcPr>
          <w:p>
            <w:pPr/>
            <w:r>
              <w:t xml:space="preserve">Adopt with conditions</w:t>
            </w:r>
          </w:p>
        </w:tc>
        <w:tc>
          <w:tcPr>
            <w:tcW w:w="1872" w:type="dxa"/>
          </w:tcPr>
          <w:p>
            <w:pPr/>
            <w:r>
              <w:t xml:space="preserve">Handled by restricted collections, not per-document exceptions</w:t>
            </w:r>
          </w:p>
        </w:tc>
        <w:tc>
          <w:tcPr>
            <w:tcW w:w="1872" w:type="dxa"/>
          </w:tcPr>
          <w:p>
            <w:pPr/>
            <w:r>
              <w:t xml:space="preserve">1</w:t>
            </w:r>
          </w:p>
        </w:tc>
      </w:tr>
      <w:tr>
        <w:tc>
          <w:tcPr>
            <w:tcW w:w="1872" w:type="dxa"/>
          </w:tcPr>
          <w:p>
            <w:pPr/>
            <w:r>
              <w:t xml:space="preserve">ODR-31, ODR-32</w:t>
            </w:r>
          </w:p>
        </w:tc>
        <w:tc>
          <w:tcPr>
            <w:tcW w:w="1872" w:type="dxa"/>
          </w:tcPr>
          <w:p>
            <w:pPr/>
            <w:r>
              <w:t xml:space="preserve">Version-specific hard deletion; reversible prevent-delete</w:t>
            </w:r>
          </w:p>
        </w:tc>
        <w:tc>
          <w:tcPr>
            <w:tcW w:w="1872" w:type="dxa"/>
          </w:tcPr>
          <w:p>
            <w:pPr/>
            <w:r>
              <w:t xml:space="preserve">Adopt with conditions</w:t>
            </w:r>
          </w:p>
        </w:tc>
        <w:tc>
          <w:tcPr>
            <w:tcW w:w="1872" w:type="dxa"/>
          </w:tcPr>
          <w:p>
            <w:pPr/>
            <w:r>
              <w:t xml:space="preserve">Needed for client offboarding; tombstone model, downstream purge, four-eyes removal</w:t>
            </w:r>
          </w:p>
        </w:tc>
        <w:tc>
          <w:tcPr>
            <w:tcW w:w="1872" w:type="dxa"/>
          </w:tcPr>
          <w:p>
            <w:pPr/>
            <w:r>
              <w:t xml:space="preserve">4</w:t>
            </w:r>
          </w:p>
        </w:tc>
      </w:tr>
      <w:tr>
        <w:tc>
          <w:tcPr>
            <w:tcW w:w="1872" w:type="dxa"/>
          </w:tcPr>
          <w:p>
            <w:pPr/>
            <w:r>
              <w:t xml:space="preserve">ODR-26</w:t>
            </w:r>
          </w:p>
        </w:tc>
        <w:tc>
          <w:tcPr>
            <w:tcW w:w="1872" w:type="dxa"/>
          </w:tcPr>
          <w:p>
            <w:pPr/>
            <w:r>
              <w:t xml:space="preserve">Bulk retention-policy modification</w:t>
            </w:r>
          </w:p>
        </w:tc>
        <w:tc>
          <w:tcPr>
            <w:tcW w:w="1872" w:type="dxa"/>
          </w:tcPr>
          <w:p>
            <w:pPr/>
            <w:r>
              <w:t xml:space="preserve">Adopt with conditions</w:t>
            </w:r>
          </w:p>
        </w:tc>
        <w:tc>
          <w:tcPr>
            <w:tcW w:w="1872" w:type="dxa"/>
          </w:tcPr>
          <w:p>
            <w:pPr/>
            <w:r>
              <w:t xml:space="preserve">Subject to legal hold and audited</w:t>
            </w:r>
          </w:p>
        </w:tc>
        <w:tc>
          <w:tcPr>
            <w:tcW w:w="1872" w:type="dxa"/>
          </w:tcPr>
          <w:p>
            <w:pPr/>
            <w:r>
              <w:t xml:space="preserve">4</w:t>
            </w:r>
          </w:p>
        </w:tc>
      </w:tr>
      <w:tr>
        <w:tc>
          <w:tcPr>
            <w:tcW w:w="1872" w:type="dxa"/>
          </w:tcPr>
          <w:p>
            <w:pPr/>
            <w:r>
              <w:t xml:space="preserve">ODR-17</w:t>
            </w:r>
          </w:p>
        </w:tc>
        <w:tc>
          <w:tcPr>
            <w:tcW w:w="1872" w:type="dxa"/>
          </w:tcPr>
          <w:p>
            <w:pPr/>
            <w:r>
              <w:t xml:space="preserve">Duplicate-content report</w:t>
            </w:r>
          </w:p>
        </w:tc>
        <w:tc>
          <w:tcPr>
            <w:tcW w:w="1872" w:type="dxa"/>
          </w:tcPr>
          <w:p>
            <w:pPr/>
            <w:r>
              <w:t xml:space="preserve">Adopt with conditions</w:t>
            </w:r>
          </w:p>
        </w:tc>
        <w:tc>
          <w:tcPr>
            <w:tcW w:w="1872" w:type="dxa"/>
          </w:tcPr>
          <w:p>
            <w:pPr/>
            <w:r>
              <w:t xml:space="preserve">Process once: prevent duplicates at upload, not only report them afterwards</w:t>
            </w:r>
          </w:p>
        </w:tc>
        <w:tc>
          <w:tcPr>
            <w:tcW w:w="1872" w:type="dxa"/>
          </w:tcPr>
          <w:p>
            <w:pPr/>
            <w:r>
              <w:t xml:space="preserve">5</w:t>
            </w:r>
          </w:p>
        </w:tc>
      </w:tr>
      <w:tr>
        <w:tc>
          <w:tcPr>
            <w:tcW w:w="1872" w:type="dxa"/>
          </w:tcPr>
          <w:p>
            <w:pPr/>
            <w:r>
              <w:t xml:space="preserve">ODR-42</w:t>
            </w:r>
          </w:p>
        </w:tc>
        <w:tc>
          <w:tcPr>
            <w:tcW w:w="1872" w:type="dxa"/>
          </w:tcPr>
          <w:p>
            <w:pPr/>
            <w:r>
              <w:t xml:space="preserve">Multilingual search and OCR</w:t>
            </w:r>
          </w:p>
        </w:tc>
        <w:tc>
          <w:tcPr>
            <w:tcW w:w="1872" w:type="dxa"/>
          </w:tcPr>
          <w:p>
            <w:pPr/>
            <w:r>
              <w:t xml:space="preserve">Adopt with conditions</w:t>
            </w:r>
          </w:p>
        </w:tc>
        <w:tc>
          <w:tcPr>
            <w:tcW w:w="1872" w:type="dxa"/>
          </w:tcPr>
          <w:p>
            <w:pPr/>
            <w:r>
              <w:t xml:space="preserve">Supported; delivered in DEEP</w:t>
            </w:r>
          </w:p>
        </w:tc>
        <w:tc>
          <w:tcPr>
            <w:tcW w:w="1872" w:type="dxa"/>
          </w:tcPr>
          <w:p>
            <w:pPr/>
            <w:r>
              <w:t xml:space="preserve">7</w:t>
            </w:r>
          </w:p>
        </w:tc>
      </w:tr>
      <w:tr>
        <w:tc>
          <w:tcPr>
            <w:tcW w:w="1872" w:type="dxa"/>
          </w:tcPr>
          <w:p>
            <w:pPr/>
            <w:r>
              <w:t xml:space="preserve">ODR-37, ODR-38, ODR-39, ODR-40</w:t>
            </w:r>
          </w:p>
        </w:tc>
        <w:tc>
          <w:tcPr>
            <w:tcW w:w="1872" w:type="dxa"/>
          </w:tcPr>
          <w:p>
            <w:pPr/>
            <w:r>
              <w:t xml:space="preserve">Check-in/check-out, custom workflows, folders, co-authoring</w:t>
            </w:r>
          </w:p>
        </w:tc>
        <w:tc>
          <w:tcPr>
            <w:tcW w:w="1872" w:type="dxa"/>
          </w:tcPr>
          <w:p>
            <w:pPr/>
            <w:r>
              <w:t xml:space="preserve">Decline</w:t>
            </w:r>
          </w:p>
        </w:tc>
        <w:tc>
          <w:tcPr>
            <w:tcW w:w="1872" w:type="dxa"/>
          </w:tcPr>
          <w:p>
            <w:pPr/>
            <w:r>
              <w:t xml:space="preserve">Work in progress belongs in OneDrive and SharePoint; Hive holds finalised content</w:t>
            </w:r>
          </w:p>
        </w:tc>
        <w:tc>
          <w:tcPr>
            <w:tcW w:w="1872" w:type="dxa"/>
          </w:tcPr>
          <w:p>
            <w:pPr/>
            <w:r>
              <w:t xml:space="preserve">9</w:t>
            </w:r>
          </w:p>
        </w:tc>
      </w:tr>
      <w:tr>
        <w:tc>
          <w:tcPr>
            <w:tcW w:w="1872" w:type="dxa"/>
          </w:tcPr>
          <w:p>
            <w:pPr/>
            <w:r>
              <w:t xml:space="preserve">ODR-20, ODR-45, ODR-46, ODR-47</w:t>
            </w:r>
          </w:p>
        </w:tc>
        <w:tc>
          <w:tcPr>
            <w:tcW w:w="1872" w:type="dxa"/>
          </w:tcPr>
          <w:p>
            <w:pPr/>
            <w:r>
              <w:t xml:space="preserve">Knowledge graph, summarisation, entity resolution, relationship graph</w:t>
            </w:r>
          </w:p>
        </w:tc>
        <w:tc>
          <w:tcPr>
            <w:tcW w:w="1872" w:type="dxa"/>
          </w:tcPr>
          <w:p>
            <w:pPr/>
            <w:r>
              <w:t xml:space="preserve">Decline</w:t>
            </w:r>
          </w:p>
        </w:tc>
        <w:tc>
          <w:tcPr>
            <w:tcW w:w="1872" w:type="dxa"/>
          </w:tcPr>
          <w:p>
            <w:pPr/>
            <w:r>
              <w:t xml:space="preserve">AI capabilities sit outside Hive; DEEP is the extraction engine</w:t>
            </w:r>
          </w:p>
        </w:tc>
        <w:tc>
          <w:tcPr>
            <w:tcW w:w="1872" w:type="dxa"/>
          </w:tcPr>
          <w:p>
            <w:pPr/>
            <w:r>
              <w:t xml:space="preserve">10</w:t>
            </w:r>
          </w:p>
        </w:tc>
      </w:tr>
    </w:tbl>
    <w:p>
      <w:pPr>
        <w:pStyle w:val="Heading2"/>
      </w:pPr>
      <w:r>
        <w:t xml:space="preserve">1. Entitlement model</w:t>
      </w:r>
    </w:p>
    <w:p>
      <w:pPr/>
      <w:r>
        <w:rPr>
          <w:b/>
        </w:rPr>
        <w:t xml:space="preserve">Business context.</w:t>
      </w:r>
      <w:r>
        <w:t xml:space="preserve"> Credit files routinely contain material that only certain people should see: undisclosed transactions before close, board-member financials, HR-related documents. Legal entity and jurisdiction also determine who may see what.</w:t>
      </w:r>
    </w:p>
    <w:p>
      <w:pPr/>
      <w:r>
        <w:rPr>
          <w:b/>
        </w:rPr>
        <w:t xml:space="preserve">Ruling.</w:t>
      </w:r>
      <w:r>
        <w:t xml:space="preserve"> Support the intent of ODR-01, ODR-09, ODR-36, ODR-48, ODR-49 and ODR-52, delivered through standard and restricted collections rather than per-document exceptions.</w:t>
      </w:r>
    </w:p>
    <w:p>
      <w:pPr/>
      <w:r>
        <w:rPr>
          <w:b/>
        </w:rPr>
        <w:t xml:space="preserve">Explanation.</w:t>
      </w:r>
      <w:r>
        <w:t xml:space="preserve"> FR-4A sets entitlements at collection level, while ODR-01, ODR-09 and ODR-52 attach attributes to individual documents. ODR-36 is flagged as the conflict, but the other three conflict just as much.</w:t>
      </w:r>
    </w:p>
    <w:p>
      <w:pPr>
        <w:pStyle w:val="ListParagraph"/>
        <w:numPr>
          <w:ilvl w:val="0"/>
          <w:numId w:val="3"/>
        </w:numPr>
      </w:pPr>
      <w:r>
        <w:rPr>
          <w:b/>
        </w:rPr>
        <w:t xml:space="preserve">Standard collections</w:t>
      </w:r>
      <w:r>
        <w:t xml:space="preserve"> hold the bulk of credit documentation (periodic reviews, origination packages).</w:t>
      </w:r>
    </w:p>
    <w:p>
      <w:pPr>
        <w:pStyle w:val="ListParagraph"/>
        <w:numPr>
          <w:ilvl w:val="0"/>
          <w:numId w:val="3"/>
        </w:numPr>
      </w:pPr>
      <w:r>
        <w:rPr>
          <w:b/>
        </w:rPr>
        <w:t xml:space="preserve">Restricted collections</w:t>
      </w:r>
      <w:r>
        <w:t xml:space="preserve"> hold sensitive material under their own entitlement rules. This keeps the collection count manageable.</w:t>
      </w:r>
    </w:p>
    <w:p>
      <w:pPr>
        <w:pStyle w:val="ListParagraph"/>
        <w:numPr>
          <w:ilvl w:val="0"/>
          <w:numId w:val="3"/>
        </w:numPr>
      </w:pPr>
      <w:r>
        <w:rPr>
          <w:b/>
        </w:rPr>
        <w:t xml:space="preserve">Mechanics to define:</w:t>
      </w:r>
      <w:r>
        <w:t xml:space="preserve"> placement criteria and who decides; documents that qualify for both; whether standard collections still need a document-level legal-entity attribute (ODR-01).</w:t>
      </w:r>
    </w:p>
    <w:p>
      <w:pPr>
        <w:pStyle w:val="ListParagraph"/>
        <w:numPr>
          <w:ilvl w:val="0"/>
          <w:numId w:val="3"/>
        </w:numPr>
      </w:pPr>
      <w:r>
        <w:rPr>
          <w:b/>
        </w:rPr>
        <w:t xml:space="preserve">FR-4D vs FR-4H:</w:t>
      </w:r>
      <w:r>
        <w:t xml:space="preserve"> version-level reader access contradicts "no separate version-access restriction". One should be removed.</w:t>
      </w:r>
    </w:p>
    <w:p>
      <w:pPr>
        <w:pStyle w:val="ListParagraph"/>
        <w:numPr>
          <w:ilvl w:val="0"/>
          <w:numId w:val="3"/>
        </w:numPr>
      </w:pPr>
      <w:r>
        <w:rPr>
          <w:b/>
        </w:rPr>
        <w:t xml:space="preserve">Non-discoverability:</w:t>
      </w:r>
      <w:r>
        <w:t xml:space="preserve"> restricted collections are never revealed through search counts, duplicate-match responses or error messages. An unauthorised request returns "not found", never "access denied".</w:t>
      </w:r>
    </w:p>
    <w:p>
      <w:pPr>
        <w:pStyle w:val="ListParagraph"/>
        <w:numPr>
          <w:ilvl w:val="0"/>
          <w:numId w:val="3"/>
        </w:numPr>
      </w:pPr>
      <w:r>
        <w:rPr>
          <w:b/>
        </w:rPr>
        <w:t xml:space="preserve">Migration:</w:t>
      </w:r>
      <w:r>
        <w:t xml:space="preserve"> a document may start restricted and later become visible, e.g. a confidential deal that closes. The document ID is retained; which versions migrate is an explicit decision (typically the final version only); DEEP indexes are re-entitled; any move from visible to restricted takes immediate effect under ODR-48.</w:t>
      </w:r>
    </w:p>
    <w:p>
      <w:pPr>
        <w:pStyle w:val="Heading2"/>
      </w:pPr>
      <w:r>
        <w:t xml:space="preserve">2. Agent and application access on behalf of users</w:t>
      </w:r>
    </w:p>
    <w:p>
      <w:pPr/>
      <w:r>
        <w:rPr>
          <w:b/>
        </w:rPr>
        <w:t xml:space="preserve">Business context.</w:t>
      </w:r>
      <w:r>
        <w:t xml:space="preserve"> Agents, including CRR Sentinel, will query Hive for individual users. If an agent reads with its application's account, a user could obtain through the agent documents they could not open themselves. That is a control failure, and a hard one to explain to Audit.</w:t>
      </w:r>
    </w:p>
    <w:p>
      <w:pPr/>
      <w:r>
        <w:rPr>
          <w:b/>
        </w:rPr>
        <w:t xml:space="preserve">Ruling.</w:t>
      </w:r>
      <w:r>
        <w:t xml:space="preserve"> API and MCP calls made for a user carry that user's identity, and Hive enforces that user's entitlements.</w:t>
      </w:r>
    </w:p>
    <w:p>
      <w:pPr/>
      <w:r>
        <w:rPr>
          <w:b/>
        </w:rPr>
        <w:t xml:space="preserve">Explanation.</w:t>
      </w:r>
      <w:r>
        <w:t xml:space="preserve"> FR-4B and FR-14 together currently allow an agent to read with the application's technical account, which must be entitled to everything any of its users might need.</w:t>
      </w:r>
    </w:p>
    <w:p>
      <w:pPr>
        <w:pStyle w:val="ListParagraph"/>
        <w:numPr>
          <w:ilvl w:val="0"/>
          <w:numId w:val="4"/>
        </w:numPr>
      </w:pPr>
      <w:r>
        <w:t xml:space="preserve">An agent acting for a user has no standing access of its own. Hive returns only what that user is entitled to.</w:t>
      </w:r>
    </w:p>
    <w:p>
      <w:pPr>
        <w:pStyle w:val="ListParagraph"/>
        <w:numPr>
          <w:ilvl w:val="0"/>
          <w:numId w:val="4"/>
        </w:numPr>
      </w:pPr>
      <w:r>
        <w:t xml:space="preserve">Enforcement sits in Hive, not in agent configuration. An agent that holds broader credentials but is configured not to use them can still leak through a defect or prompt injection.</w:t>
      </w:r>
    </w:p>
    <w:p>
      <w:pPr>
        <w:pStyle w:val="ListParagraph"/>
        <w:numPr>
          <w:ilvl w:val="0"/>
          <w:numId w:val="4"/>
        </w:numPr>
      </w:pPr>
      <w:r>
        <w:t xml:space="preserve">Application configuration may further </w:t>
      </w:r>
      <w:r>
        <w:rPr>
          <w:b/>
        </w:rPr>
        <w:t xml:space="preserve">narrow</w:t>
      </w:r>
      <w:r>
        <w:t xml:space="preserve"> access (e.g. only credit collections), never widen it.</w:t>
      </w:r>
    </w:p>
    <w:p>
      <w:pPr>
        <w:pStyle w:val="ListParagraph"/>
        <w:numPr>
          <w:ilvl w:val="0"/>
          <w:numId w:val="4"/>
        </w:numPr>
      </w:pPr>
      <w:r>
        <w:t xml:space="preserve">The technical account (UAMI) is reserved for unattended processes such as scheduled synchronisation.</w:t>
      </w:r>
    </w:p>
    <w:p>
      <w:pPr>
        <w:pStyle w:val="Heading2"/>
      </w:pPr>
      <w:r>
        <w:t xml:space="preserve">3. Version guarantees</w:t>
      </w:r>
    </w:p>
    <w:p>
      <w:pPr/>
      <w:r>
        <w:rPr>
          <w:b/>
        </w:rPr>
        <w:t xml:space="preserve">Business context.</w:t>
      </w:r>
      <w:r>
        <w:t xml:space="preserve"> CRR reviews must be reproducible for audit and regulators. Months later, we must be able to show exactly which version of which document supported a finding, and that it has not changed.</w:t>
      </w:r>
    </w:p>
    <w:p>
      <w:pPr/>
      <w:r>
        <w:rPr>
          <w:b/>
        </w:rPr>
        <w:t xml:space="preserve">Ruling.</w:t>
      </w:r>
      <w:r>
        <w:t xml:space="preserve"> Pinning references is the consuming application's job; CRR Sentinel cites a document ID and version ID and locks completed reviews. Hive's job is to guarantee that a version ID always returns exactly the same content, or a deletion record (section 4).</w:t>
      </w:r>
    </w:p>
    <w:p>
      <w:pPr/>
      <w:r>
        <w:rPr>
          <w:b/>
        </w:rPr>
        <w:t xml:space="preserve">Explanation.</w:t>
      </w:r>
    </w:p>
    <w:p>
      <w:pPr>
        <w:pStyle w:val="ListParagraph"/>
        <w:numPr>
          <w:ilvl w:val="0"/>
          <w:numId w:val="5"/>
        </w:numPr>
      </w:pPr>
      <w:r>
        <w:t xml:space="preserve">Versions are immutable by definition, not by an optional flag. FR-3 immutability can remain for document heads.</w:t>
      </w:r>
    </w:p>
    <w:p>
      <w:pPr>
        <w:pStyle w:val="ListParagraph"/>
        <w:numPr>
          <w:ilvl w:val="0"/>
          <w:numId w:val="5"/>
        </w:numPr>
      </w:pPr>
      <w:r>
        <w:t xml:space="preserve">FR-2H: content hashes become mandatory ("must" rather than "should"), so consumers can verify they received what they cited.</w:t>
      </w:r>
    </w:p>
    <w:p>
      <w:pPr>
        <w:pStyle w:val="ListParagraph"/>
        <w:numPr>
          <w:ilvl w:val="0"/>
          <w:numId w:val="5"/>
        </w:numPr>
      </w:pPr>
      <w:r>
        <w:t xml:space="preserve">FR-2E: defaulting to the latest version is acceptable for general users, provided every resolved reference returns its explicit version ID.</w:t>
      </w:r>
    </w:p>
    <w:p>
      <w:pPr>
        <w:pStyle w:val="Heading2"/>
      </w:pPr>
      <w:r>
        <w:t xml:space="preserve">4. Deletion, tombstones and derived artifacts</w:t>
      </w:r>
    </w:p>
    <w:p>
      <w:pPr/>
      <w:r>
        <w:rPr>
          <w:b/>
        </w:rPr>
        <w:t xml:space="preserve">Business context.</w:t>
      </w:r>
      <w:r>
        <w:t xml:space="preserve"> Wealth Management must permanently delete a client's documents when the client is offboarded, under information standards and potentially legal requirements. Legal, in turn, needs holds that override deletion. Downstream systems must never confuse a deleted document with a new one.</w:t>
      </w:r>
    </w:p>
    <w:p>
      <w:pPr/>
      <w:r>
        <w:rPr>
          <w:b/>
        </w:rPr>
        <w:t xml:space="preserve">Ruling.</w:t>
      </w:r>
      <w:r>
        <w:t xml:space="preserve"> Adopt ODR-25, ODR-26, ODR-31 and ODR-32 into the baseline using a tombstone model. Immutability means content cannot be changed, not that it can never be removed.</w:t>
      </w:r>
    </w:p>
    <w:p>
      <w:pPr/>
      <w:r>
        <w:rPr>
          <w:b/>
        </w:rPr>
        <w:t xml:space="preserve">Explanation.</w:t>
      </w:r>
    </w:p>
    <w:p>
      <w:pPr>
        <w:pStyle w:val="ListParagraph"/>
        <w:numPr>
          <w:ilvl w:val="0"/>
          <w:numId w:val="6"/>
        </w:numPr>
      </w:pPr>
      <w:r>
        <w:rPr>
          <w:b/>
        </w:rPr>
        <w:t xml:space="preserve">Tombstone.</w:t>
      </w:r>
      <w:r>
        <w:t xml:space="preserve"> On permanent deletion the content is removed but the record persists, flagged as permanently deleted. Document and version IDs are never reused.</w:t>
      </w:r>
    </w:p>
    <w:p>
      <w:pPr>
        <w:pStyle w:val="ListParagraph"/>
        <w:numPr>
          <w:ilvl w:val="0"/>
          <w:numId w:val="6"/>
        </w:numPr>
      </w:pPr>
      <w:r>
        <w:rPr>
          <w:b/>
        </w:rPr>
        <w:t xml:space="preserve">Tombstone contents.</w:t>
      </w:r>
      <w:r>
        <w:t xml:space="preserve"> Only non-identifying fields are kept: document ID, version ID, deletion timestamp, authorising user and reason code. Titles, metadata and tags may identify the client and are removed. Retaining the content hash is a policy decision to confirm.</w:t>
      </w:r>
    </w:p>
    <w:p>
      <w:pPr>
        <w:pStyle w:val="ListParagraph"/>
        <w:numPr>
          <w:ilvl w:val="0"/>
          <w:numId w:val="6"/>
        </w:numPr>
      </w:pPr>
      <w:r>
        <w:rPr>
          <w:b/>
        </w:rPr>
        <w:t xml:space="preserve">Derived artifacts.</w:t>
      </w:r>
      <w:r>
        <w:t xml:space="preserve"> Deletion covers everything derived from the document: extracted text, OCR output, JSON indexes, chunks, embeddings, rendered views and search indexes.</w:t>
      </w:r>
    </w:p>
    <w:p>
      <w:pPr>
        <w:pStyle w:val="ListParagraph"/>
        <w:numPr>
          <w:ilvl w:val="0"/>
          <w:numId w:val="6"/>
        </w:numPr>
      </w:pPr>
      <w:r>
        <w:rPr>
          <w:b/>
        </w:rPr>
        <w:t xml:space="preserve">Downstream purge with confirmation.</w:t>
      </w:r>
      <w:r>
        <w:t xml:space="preserve"> Hive purges what it holds and publishes a deletion event (ODR-16). DEEP and every consuming application purge their copies and confirm back. Backup expiry windows are stated.</w:t>
      </w:r>
    </w:p>
    <w:p>
      <w:pPr>
        <w:pStyle w:val="ListParagraph"/>
        <w:numPr>
          <w:ilvl w:val="0"/>
          <w:numId w:val="6"/>
        </w:numPr>
      </w:pPr>
      <w:r>
        <w:rPr>
          <w:b/>
        </w:rPr>
        <w:t xml:space="preserve">Legal hold wins.</w:t>
      </w:r>
      <w:r>
        <w:t xml:space="preserve"> A deletion request against a held document is blocked and escalated. Bulk retention changes (ODR-26) are also subject to hold and audited.</w:t>
      </w:r>
    </w:p>
    <w:p>
      <w:pPr>
        <w:pStyle w:val="ListParagraph"/>
        <w:numPr>
          <w:ilvl w:val="0"/>
          <w:numId w:val="6"/>
        </w:numPr>
      </w:pPr>
      <w:r>
        <w:rPr>
          <w:b/>
        </w:rPr>
        <w:t xml:space="preserve">Lineage.</w:t>
      </w:r>
      <w:r>
        <w:t xml:space="preserve"> Parent and successor links (FR-2I) point to the tombstone, so deleting one version does not break the chain.</w:t>
      </w:r>
    </w:p>
    <w:p>
      <w:pPr>
        <w:pStyle w:val="ListParagraph"/>
        <w:numPr>
          <w:ilvl w:val="0"/>
          <w:numId w:val="6"/>
        </w:numPr>
      </w:pPr>
      <w:r>
        <w:rPr>
          <w:b/>
        </w:rPr>
        <w:t xml:space="preserve">Removing prevent-delete (ODR-32)</w:t>
      </w:r>
      <w:r>
        <w:t xml:space="preserve"> requires authorisation, four-eyes approval and an audit record.</w:t>
      </w:r>
    </w:p>
    <w:p>
      <w:pPr>
        <w:pStyle w:val="ListParagraph"/>
        <w:numPr>
          <w:ilvl w:val="0"/>
          <w:numId w:val="6"/>
        </w:numPr>
      </w:pPr>
      <w:r>
        <w:rPr>
          <w:b/>
        </w:rPr>
        <w:t xml:space="preserve">Resolution.</w:t>
      </w:r>
      <w:r>
        <w:t xml:space="preserve"> A request for a deleted version returns its tombstone ("deleted on [date] under [reason]"), not an error.</w:t>
      </w:r>
    </w:p>
    <w:p>
      <w:pPr>
        <w:pStyle w:val="Heading2"/>
      </w:pPr>
      <w:r>
        <w:t xml:space="preserve">5. Duplicate detection and data residency</w:t>
      </w:r>
    </w:p>
    <w:p>
      <w:pPr/>
      <w:r>
        <w:rPr>
          <w:b/>
        </w:rPr>
        <w:t xml:space="preserve">Business context.</w:t>
      </w:r>
      <w:r>
        <w:t xml:space="preserve"> Process once. Duplicate records waste processing, leave users unsure which copy is authoritative, and make offboarding deletion incomplete if one copy is missed. Some jurisdictions, such as Switzerland, require data to remain in-country.</w:t>
      </w:r>
    </w:p>
    <w:p>
      <w:pPr/>
      <w:r>
        <w:rPr>
          <w:b/>
        </w:rPr>
        <w:t xml:space="preserve">Ruling.</w:t>
      </w:r>
      <w:r>
        <w:t xml:space="preserve"> Adopt ODR-17 with conditions: duplicates are prevented at upload, not only reported afterwards. FR-10A's file-name check alone is not sufficient.</w:t>
      </w:r>
    </w:p>
    <w:p>
      <w:pPr/>
      <w:r>
        <w:rPr>
          <w:b/>
        </w:rPr>
        <w:t xml:space="preserve">Explanation.</w:t>
      </w:r>
      <w:r>
        <w:t xml:space="preserve"> Detection is layered, with each check given a defined role: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Role</w:t>
            </w:r>
          </w:p>
        </w:tc>
        <w:tc>
          <w:tcPr>
            <w:tcW w:w="3120" w:type="dxa"/>
            <w:shd w:val="clear" w:color="auto" w:fill="F2F2F2"/>
          </w:tcPr>
          <w:p>
            <w:pPr/>
            <w:r>
              <w:t xml:space="preserve">Reliability</w:t>
            </w:r>
          </w:p>
        </w:tc>
      </w:tr>
      <w:tr>
        <w:tc>
          <w:tcPr>
            <w:tcW w:w="3120" w:type="dxa"/>
          </w:tcPr>
          <w:p>
            <w:pPr/>
            <w:r>
              <w:t xml:space="preserve">Content hash</w:t>
            </w:r>
          </w:p>
        </w:tc>
        <w:tc>
          <w:tcPr>
            <w:tcW w:w="3120" w:type="dxa"/>
          </w:tcPr>
          <w:p>
            <w:pPr/>
            <w:r>
              <w:t xml:space="preserve">Decides exact duplicates at upload</w:t>
            </w:r>
          </w:p>
        </w:tc>
        <w:tc>
          <w:tcPr>
            <w:tcW w:w="3120" w:type="dxa"/>
          </w:tcPr>
          <w:p>
            <w:pPr/>
            <w:r>
              <w:t xml:space="preserve">Certain</w:t>
            </w:r>
          </w:p>
        </w:tc>
      </w:tr>
      <w:tr>
        <w:tc>
          <w:tcPr>
            <w:tcW w:w="3120" w:type="dxa"/>
          </w:tcPr>
          <w:p>
            <w:pPr/>
            <w:r>
              <w:t xml:space="preserve">File name</w:t>
            </w:r>
          </w:p>
        </w:tc>
        <w:tc>
          <w:tcPr>
            <w:tcW w:w="3120" w:type="dxa"/>
          </w:tcPr>
          <w:p>
            <w:pPr/>
            <w:r>
              <w:t xml:space="preserve">Cheap first signal only; never decides</w:t>
            </w:r>
          </w:p>
        </w:tc>
        <w:tc>
          <w:tcPr>
            <w:tcW w:w="3120" w:type="dxa"/>
          </w:tcPr>
          <w:p>
            <w:pPr/>
            <w:r>
              <w:t xml:space="preserve">Low: many different documents share names like "Financials.pdf"</w:t>
            </w:r>
          </w:p>
        </w:tc>
      </w:tr>
      <w:tr>
        <w:tc>
          <w:tcPr>
            <w:tcW w:w="3120" w:type="dxa"/>
          </w:tcPr>
          <w:p>
            <w:pPr/>
            <w:r>
              <w:t xml:space="preserve">Content similarity</w:t>
            </w:r>
          </w:p>
        </w:tc>
        <w:tc>
          <w:tcPr>
            <w:tcW w:w="3120" w:type="dxa"/>
          </w:tcPr>
          <w:p>
            <w:pPr/>
            <w:r>
              <w:t xml:space="preserve">Flags near duplicates (re-saved, scanned or converted files) for review</w:t>
            </w:r>
          </w:p>
        </w:tc>
        <w:tc>
          <w:tcPr>
            <w:tcW w:w="3120" w:type="dxa"/>
          </w:tcPr>
          <w:p>
            <w:pPr/>
            <w:r>
              <w:t xml:space="preserve">Probabilistic; threshold to be set</w:t>
            </w:r>
          </w:p>
        </w:tc>
      </w:tr>
    </w:tbl>
    <w:p>
      <w:pPr>
        <w:pStyle w:val="ListParagraph"/>
        <w:numPr>
          <w:ilvl w:val="0"/>
          <w:numId w:val="7"/>
        </w:numPr>
      </w:pPr>
      <w:r>
        <w:t xml:space="preserve">The hash check sits in Hive, because identity and complete deletion depend on it. Similarity may sit with DEEP or a layer between applications and Hive, but </w:t>
      </w:r>
      <w:r>
        <w:rPr>
          <w:b/>
        </w:rPr>
        <w:t xml:space="preserve">every</w:t>
      </w:r>
      <w:r>
        <w:t xml:space="preserve"> ingestion path must pass through it: GUI, API, event-driven ingestion (FR-6) and synchronisation (FR-7).</w:t>
      </w:r>
    </w:p>
    <w:p>
      <w:pPr>
        <w:pStyle w:val="ListParagraph"/>
        <w:numPr>
          <w:ilvl w:val="0"/>
          <w:numId w:val="7"/>
        </w:numPr>
      </w:pPr>
      <w:r>
        <w:t xml:space="preserve">A duplicate-match response must not reveal a document in a collection the uploader cannot see (ODR-49).</w:t>
      </w:r>
    </w:p>
    <w:p>
      <w:pPr>
        <w:pStyle w:val="ListParagraph"/>
        <w:numPr>
          <w:ilvl w:val="0"/>
          <w:numId w:val="7"/>
        </w:numPr>
      </w:pPr>
      <w:r>
        <w:t xml:space="preserve">Where residency requires a separate copy, the copies are linked by content hash as one logical document, so deletion finds them all.</w:t>
      </w:r>
    </w:p>
    <w:p>
      <w:pPr>
        <w:pStyle w:val="ListParagraph"/>
        <w:numPr>
          <w:ilvl w:val="0"/>
          <w:numId w:val="7"/>
        </w:numPr>
      </w:pPr>
      <w:r>
        <w:t xml:space="preserve">Combining documents from different collections at runtime requires that the caller is entitled to every collection, that processing location meets each document's residency rules (to confirm with Legal / Data Protection), and that outputs carry the most restrictive classification of their inputs.</w:t>
      </w:r>
    </w:p>
    <w:p>
      <w:pPr>
        <w:pStyle w:val="Heading2"/>
      </w:pPr>
      <w:r>
        <w:t xml:space="preserve">6. Quarantine and processing state</w:t>
      </w:r>
    </w:p>
    <w:p>
      <w:pPr/>
      <w:r>
        <w:rPr>
          <w:b/>
        </w:rPr>
        <w:t xml:space="preserve">Business context.</w:t>
      </w:r>
      <w:r>
        <w:t xml:space="preserve"> A document that failed a check, or has not finished processing, looks like a document with no content. An analyst or agent could conclude "there is no covenant language in this file" when the file simply was not readable yet.</w:t>
      </w:r>
    </w:p>
    <w:p>
      <w:pPr/>
      <w:r>
        <w:rPr>
          <w:b/>
        </w:rPr>
        <w:t xml:space="preserve">Ruling.</w:t>
      </w:r>
      <w:r>
        <w:t xml:space="preserve"> A quarantined document is unusable by any application and is flagged to its owner for resolution.</w:t>
      </w:r>
    </w:p>
    <w:p>
      <w:pPr/>
      <w:r>
        <w:rPr>
          <w:b/>
        </w:rPr>
        <w:t xml:space="preserve">Explanation.</w:t>
      </w:r>
    </w:p>
    <w:p>
      <w:pPr>
        <w:pStyle w:val="ListParagraph"/>
        <w:numPr>
          <w:ilvl w:val="0"/>
          <w:numId w:val="8"/>
        </w:numPr>
      </w:pPr>
      <w:r>
        <w:rPr>
          <w:b/>
        </w:rPr>
        <w:t xml:space="preserve">Two states, both blocking use.</w:t>
      </w:r>
      <w:r>
        <w:t xml:space="preserve"> "Processing" is normal and needs no action. "Quarantined" (malware, password protection, corruption, failed validation) needs resolution.</w:t>
      </w:r>
    </w:p>
    <w:p>
      <w:pPr>
        <w:pStyle w:val="ListParagraph"/>
        <w:numPr>
          <w:ilvl w:val="0"/>
          <w:numId w:val="8"/>
        </w:numPr>
      </w:pPr>
      <w:r>
        <w:rPr>
          <w:b/>
        </w:rPr>
        <w:t xml:space="preserve">Notification.</w:t>
      </w:r>
      <w:r>
        <w:t xml:space="preserve"> The uploader or owner is notified for manual uploads; the source application for API or event-driven ingestion.</w:t>
      </w:r>
    </w:p>
    <w:p>
      <w:pPr>
        <w:pStyle w:val="ListParagraph"/>
        <w:numPr>
          <w:ilvl w:val="0"/>
          <w:numId w:val="8"/>
        </w:numPr>
      </w:pPr>
      <w:r>
        <w:rPr>
          <w:b/>
        </w:rPr>
        <w:t xml:space="preserve">Isolation.</w:t>
      </w:r>
      <w:r>
        <w:t xml:space="preserve"> A quarantined document is not visible to other readers and is not processed by DEEP.</w:t>
      </w:r>
    </w:p>
    <w:p>
      <w:pPr>
        <w:pStyle w:val="ListParagraph"/>
        <w:numPr>
          <w:ilvl w:val="0"/>
          <w:numId w:val="8"/>
        </w:numPr>
      </w:pPr>
      <w:r>
        <w:rPr>
          <w:b/>
        </w:rPr>
        <w:t xml:space="preserve">Resolution.</w:t>
      </w:r>
      <w:r>
        <w:t xml:space="preserve"> A corrected file is uploaded as a new version, or the document is rejected.</w:t>
      </w:r>
    </w:p>
    <w:p>
      <w:pPr>
        <w:pStyle w:val="ListParagraph"/>
        <w:numPr>
          <w:ilvl w:val="0"/>
          <w:numId w:val="8"/>
        </w:numPr>
      </w:pPr>
      <w:r>
        <w:rPr>
          <w:b/>
        </w:rPr>
        <w:t xml:space="preserve">Status exposure.</w:t>
      </w:r>
      <w:r>
        <w:t xml:space="preserve"> Each version's state is queryable and published as an event (ODR-16).</w:t>
      </w:r>
    </w:p>
    <w:p>
      <w:pPr>
        <w:pStyle w:val="Heading2"/>
      </w:pPr>
      <w:r>
        <w:t xml:space="preserve">7. Masked views and DEEP</w:t>
      </w:r>
    </w:p>
    <w:p>
      <w:pPr/>
      <w:r>
        <w:rPr>
          <w:b/>
        </w:rPr>
        <w:t xml:space="preserve">Business context.</w:t>
      </w:r>
      <w:r>
        <w:t xml:space="preserve"> Masked views exist so that some readers see less of a document. If search indexes the unmasked text, a masked reader can surface the hidden content through a query, and the masking is cosmetic.</w:t>
      </w:r>
    </w:p>
    <w:p>
      <w:pPr/>
      <w:r>
        <w:rPr>
          <w:b/>
        </w:rPr>
        <w:t xml:space="preserve">Ruling.</w:t>
      </w:r>
      <w:r>
        <w:t xml:space="preserve"> Hive's entitlements, including view masking, follow content into DEEP. DEEP remains the extraction and embedding engine, including for multilingual search and OCR (ODR-42).</w:t>
      </w:r>
    </w:p>
    <w:p>
      <w:pPr/>
      <w:r>
        <w:rPr>
          <w:b/>
        </w:rPr>
        <w:t xml:space="preserve">Explanation.</w:t>
      </w:r>
      <w:r>
        <w:t xml:space="preserve"> ODR-48 and ODR-49 as written protect Hive's own storage and search. An agent searching DEEP's index directly bypasses them.</w:t>
      </w:r>
    </w:p>
    <w:p>
      <w:pPr>
        <w:pStyle w:val="ListParagraph"/>
        <w:numPr>
          <w:ilvl w:val="0"/>
          <w:numId w:val="9"/>
        </w:numPr>
      </w:pPr>
      <w:r>
        <w:rPr>
          <w:b/>
        </w:rPr>
        <w:t xml:space="preserve">Index per view.</w:t>
      </w:r>
      <w:r>
        <w:t xml:space="preserve"> DEEP indexes each view (document, version and view) separately, carrying that view's entitlements.</w:t>
      </w:r>
    </w:p>
    <w:p>
      <w:pPr>
        <w:pStyle w:val="ListParagraph"/>
        <w:numPr>
          <w:ilvl w:val="0"/>
          <w:numId w:val="9"/>
        </w:numPr>
      </w:pPr>
      <w:r>
        <w:rPr>
          <w:b/>
        </w:rPr>
        <w:t xml:space="preserve">Explicit view at query time.</w:t>
      </w:r>
      <w:r>
        <w:t xml:space="preserve"> Queries name the view by its ID, not a naming convention. Where none is given, the default is the most restrictive view the caller is entitled to, not the head view (FR-2E).</w:t>
      </w:r>
    </w:p>
    <w:p>
      <w:pPr>
        <w:pStyle w:val="ListParagraph"/>
        <w:numPr>
          <w:ilvl w:val="0"/>
          <w:numId w:val="9"/>
        </w:numPr>
      </w:pPr>
      <w:r>
        <w:rPr>
          <w:b/>
        </w:rPr>
        <w:t xml:space="preserve">Provenance.</w:t>
      </w:r>
      <w:r>
        <w:t xml:space="preserve"> Each extraction records the source version hash and the extractor or model version, so outputs made stale by a model change can be identified.</w:t>
      </w:r>
    </w:p>
    <w:p>
      <w:pPr>
        <w:pStyle w:val="ListParagraph"/>
        <w:numPr>
          <w:ilvl w:val="0"/>
          <w:numId w:val="9"/>
        </w:numPr>
      </w:pPr>
      <w:r>
        <w:rPr>
          <w:b/>
        </w:rPr>
        <w:t xml:space="preserve">New versions</w:t>
      </w:r>
      <w:r>
        <w:t xml:space="preserve"> trigger re-extraction.</w:t>
      </w:r>
    </w:p>
    <w:p>
      <w:pPr>
        <w:pStyle w:val="ListParagraph"/>
        <w:numPr>
          <w:ilvl w:val="0"/>
          <w:numId w:val="9"/>
        </w:numPr>
      </w:pPr>
      <w:r>
        <w:rPr>
          <w:b/>
        </w:rPr>
        <w:t xml:space="preserve">Revocation and migration</w:t>
      </w:r>
      <w:r>
        <w:t xml:space="preserve"> (ODR-48, section 1) apply in DEEP as well as Hive.</w:t>
      </w:r>
    </w:p>
    <w:p>
      <w:pPr>
        <w:pStyle w:val="Heading2"/>
      </w:pPr>
      <w:r>
        <w:t xml:space="preserve">8. Audit</w:t>
      </w:r>
    </w:p>
    <w:p>
      <w:pPr/>
      <w:r>
        <w:rPr>
          <w:b/>
        </w:rPr>
        <w:t xml:space="preserve">Business context.</w:t>
      </w:r>
      <w:r>
        <w:t xml:space="preserve"> Questions such as "who accessed this board member's file in the last 12 months" must be answerable. Today the requirements record who changed a document (NFR-3), not who accessed it. ODR-08 telemetry is aggregate adoption reporting, not a retained per-event record.</w:t>
      </w:r>
    </w:p>
    <w:p>
      <w:pPr/>
      <w:r>
        <w:rPr>
          <w:b/>
        </w:rPr>
        <w:t xml:space="preserve">Ruling.</w:t>
      </w:r>
      <w:r>
        <w:t xml:space="preserve"> Every read, download and retrieval is logged.</w:t>
      </w:r>
    </w:p>
    <w:p>
      <w:pPr/>
      <w:r>
        <w:rPr>
          <w:b/>
        </w:rPr>
        <w:t xml:space="preserve">Explanation.</w:t>
      </w:r>
    </w:p>
    <w:p>
      <w:pPr>
        <w:pStyle w:val="ListParagraph"/>
        <w:numPr>
          <w:ilvl w:val="0"/>
          <w:numId w:val="10"/>
        </w:numPr>
      </w:pPr>
      <w:r>
        <w:t xml:space="preserve">Each event records the user, the application or agent, whether access was on the user's behalf, the document, version and view, and the time. This distinguishes "a user opened it" from "an application retrieved it for that user".</w:t>
      </w:r>
    </w:p>
    <w:p>
      <w:pPr>
        <w:pStyle w:val="ListParagraph"/>
        <w:numPr>
          <w:ilvl w:val="0"/>
          <w:numId w:val="10"/>
        </w:numPr>
      </w:pPr>
      <w:r>
        <w:t xml:space="preserve">Changes to metadata and entitlements are logged alongside content changes.</w:t>
      </w:r>
    </w:p>
    <w:p>
      <w:pPr>
        <w:pStyle w:val="ListParagraph"/>
        <w:numPr>
          <w:ilvl w:val="0"/>
          <w:numId w:val="10"/>
        </w:numPr>
      </w:pPr>
      <w:r>
        <w:t xml:space="preserve">Records are retained under policy.</w:t>
      </w:r>
    </w:p>
    <w:p>
      <w:pPr>
        <w:pStyle w:val="Heading2"/>
      </w:pPr>
      <w:r>
        <w:t xml:space="preserve">9. Collaboration and work in progress</w:t>
      </w:r>
    </w:p>
    <w:p>
      <w:pPr/>
      <w:r>
        <w:rPr>
          <w:b/>
        </w:rPr>
        <w:t xml:space="preserve">Business context.</w:t>
      </w:r>
      <w:r>
        <w:t xml:space="preserve"> Drafting and co-authoring already happen in OneDrive and SharePoint, which the institution supports. Anyone consuming Hive, person or application, needs to trust that what they find is the record, not a working copy.</w:t>
      </w:r>
    </w:p>
    <w:p>
      <w:pPr/>
      <w:r>
        <w:rPr>
          <w:b/>
        </w:rPr>
        <w:t xml:space="preserve">Ruling.</w:t>
      </w:r>
      <w:r>
        <w:t xml:space="preserve"> Decline ODR-37, ODR-38, ODR-39 and ODR-40 entirely. Hive holds published, finalised content only; work in progress does not land in Hive.</w:t>
      </w:r>
    </w:p>
    <w:p>
      <w:pPr/>
      <w:r>
        <w:rPr>
          <w:b/>
        </w:rPr>
        <w:t xml:space="preserve">Explanation.</w:t>
      </w:r>
    </w:p>
    <w:p>
      <w:pPr>
        <w:pStyle w:val="ListParagraph"/>
        <w:numPr>
          <w:ilvl w:val="0"/>
          <w:numId w:val="11"/>
        </w:numPr>
      </w:pPr>
      <w:r>
        <w:rPr>
          <w:b/>
        </w:rPr>
        <w:t xml:space="preserve">ODR-37 (check-in/check-out) and ODR-40 (co-authoring)</w:t>
      </w:r>
      <w:r>
        <w:t xml:space="preserve"> are editing in place. That conflicts with immutable versions, which citation (section 3) and deletion (section 4) depend on.</w:t>
      </w:r>
    </w:p>
    <w:p>
      <w:pPr>
        <w:pStyle w:val="ListParagraph"/>
        <w:numPr>
          <w:ilvl w:val="0"/>
          <w:numId w:val="11"/>
        </w:numPr>
      </w:pPr>
      <w:r>
        <w:rPr>
          <w:b/>
        </w:rPr>
        <w:t xml:space="preserve">ODR-38 (custom review and approval workflows)</w:t>
      </w:r>
      <w:r>
        <w:t xml:space="preserve"> is work-in-progress process. It belongs upstream or in workflow tooling.</w:t>
      </w:r>
    </w:p>
    <w:p>
      <w:pPr>
        <w:pStyle w:val="ListParagraph"/>
        <w:numPr>
          <w:ilvl w:val="0"/>
          <w:numId w:val="11"/>
        </w:numPr>
      </w:pPr>
      <w:r>
        <w:rPr>
          <w:b/>
        </w:rPr>
        <w:t xml:space="preserve">ODR-39 (folder-based organisation)</w:t>
      </w:r>
      <w:r>
        <w:t xml:space="preserve"> is a file-share habit. Hive organises by collection and metadata.</w:t>
      </w:r>
    </w:p>
    <w:p>
      <w:pPr>
        <w:pStyle w:val="ListParagraph"/>
        <w:numPr>
          <w:ilvl w:val="0"/>
          <w:numId w:val="11"/>
        </w:numPr>
      </w:pPr>
      <w:r>
        <w:rPr>
          <w:b/>
        </w:rPr>
        <w:t xml:space="preserve">FR-7 (network share and SharePoint synchronisation)</w:t>
      </w:r>
      <w:r>
        <w:t xml:space="preserve"> should pick up only published or finalised documents. Otherwise synchronisation becomes the back door that brings drafts into Hive.</w:t>
      </w:r>
    </w:p>
    <w:p>
      <w:pPr>
        <w:pStyle w:val="ListParagraph"/>
        <w:numPr>
          <w:ilvl w:val="0"/>
          <w:numId w:val="11"/>
        </w:numPr>
      </w:pPr>
      <w:r>
        <w:rPr>
          <w:b/>
        </w:rPr>
        <w:t xml:space="preserve">FR-5 (personal staging)</w:t>
      </w:r>
      <w:r>
        <w:t xml:space="preserve"> is a short-lived holding area before publication, not a place to edit documents.</w:t>
      </w:r>
    </w:p>
    <w:p>
      <w:pPr>
        <w:pStyle w:val="Heading2"/>
      </w:pPr>
      <w:r>
        <w:t xml:space="preserve">10. AI features in Hive</w:t>
      </w:r>
    </w:p>
    <w:p>
      <w:pPr/>
      <w:r>
        <w:rPr>
          <w:b/>
        </w:rPr>
        <w:t xml:space="preserve">Business context.</w:t>
      </w:r>
      <w:r>
        <w:t xml:space="preserve"> DEEP is the document extraction and embedding engine, and the institutional direction is to build AI capabilities outside the platforms they consume.</w:t>
      </w:r>
    </w:p>
    <w:p>
      <w:pPr/>
      <w:r>
        <w:rPr>
          <w:b/>
        </w:rPr>
        <w:t xml:space="preserve">Ruling.</w:t>
      </w:r>
      <w:r>
        <w:t xml:space="preserve"> Decline ODR-20, ODR-45, ODR-46 and ODR-47 (knowledge graph, summarisation, entity resolution, relationship graph).</w:t>
      </w:r>
    </w:p>
    <w:p>
      <w:pPr/>
      <w:r>
        <w:rPr>
          <w:b/>
        </w:rPr>
        <w:t xml:space="preserve">Explanation.</w:t>
      </w:r>
      <w:r>
        <w:t xml:space="preserve"> These are valuable capabilities, but building them into Hive would:</w:t>
      </w:r>
    </w:p>
    <w:p>
      <w:pPr>
        <w:pStyle w:val="ListParagraph"/>
        <w:numPr>
          <w:ilvl w:val="0"/>
          <w:numId w:val="12"/>
        </w:numPr>
      </w:pPr>
      <w:r>
        <w:t xml:space="preserve">duplicate DEEP;</w:t>
      </w:r>
    </w:p>
    <w:p>
      <w:pPr>
        <w:pStyle w:val="ListParagraph"/>
        <w:numPr>
          <w:ilvl w:val="0"/>
          <w:numId w:val="12"/>
        </w:numPr>
      </w:pPr>
      <w:r>
        <w:t xml:space="preserve">create a second AI layer with its own model-risk ownership and validation burden;</w:t>
      </w:r>
    </w:p>
    <w:p>
      <w:pPr>
        <w:pStyle w:val="ListParagraph"/>
        <w:numPr>
          <w:ilvl w:val="0"/>
          <w:numId w:val="12"/>
        </w:numPr>
      </w:pPr>
      <w:r>
        <w:t xml:space="preserve">blur accountability when an output is wrong.</w:t>
      </w:r>
    </w:p>
    <w:p>
      <w:pPr/>
      <w:r>
        <w:t xml:space="preserve">Hive may store AI outputs produced elsewhere, with their provenance. ODR-53 traceability still applies to those outputs.</w:t>
      </w:r>
    </w:p>
    <w:p>
      <w:pPr>
        <w:pStyle w:val="Heading2"/>
      </w:pPr>
      <w:r>
        <w:t xml:space="preserve">Open questions for the authors</w:t>
      </w:r>
    </w:p>
    <w:p>
      <w:pPr>
        <w:pStyle w:val="ListParagraph"/>
        <w:numPr>
          <w:ilvl w:val="0"/>
          <w:numId w:val="13"/>
        </w:numPr>
      </w:pPr>
      <w:r>
        <w:t xml:space="preserve">Entitlements: are the ODR-01, ODR-09 and ODR-52 attributes intended at collection level or document level? Can one document relate to more than one legal entity?</w:t>
      </w:r>
    </w:p>
    <w:p>
      <w:pPr>
        <w:pStyle w:val="ListParagraph"/>
        <w:numPr>
          <w:ilvl w:val="0"/>
          <w:numId w:val="13"/>
        </w:numPr>
      </w:pPr>
      <w:r>
        <w:t xml:space="preserve">Restricted collections: who decides placement, against what criteria, and how are documents that qualify for both standard and restricted collections handled?</w:t>
      </w:r>
    </w:p>
    <w:p>
      <w:pPr>
        <w:pStyle w:val="ListParagraph"/>
        <w:numPr>
          <w:ilvl w:val="0"/>
          <w:numId w:val="13"/>
        </w:numPr>
      </w:pPr>
      <w:r>
        <w:t xml:space="preserve">Duplicates: what is the matching basis (hash, similarity or both), when does it run, what is its scope (within or across collections), and what happens on a match (link, reject or allow)?</w:t>
      </w:r>
    </w:p>
    <w:p>
      <w:pPr>
        <w:pStyle w:val="ListParagraph"/>
        <w:numPr>
          <w:ilvl w:val="0"/>
          <w:numId w:val="13"/>
        </w:numPr>
      </w:pPr>
      <w:r>
        <w:t xml:space="preserve">Deletion: which fields does a tombstone retain, what is the backup expiry window, and how do downstream systems confirm purge?</w:t>
      </w:r>
    </w:p>
    <w:p>
      <w:pPr>
        <w:pStyle w:val="ListParagraph"/>
        <w:numPr>
          <w:ilvl w:val="0"/>
          <w:numId w:val="13"/>
        </w:numPr>
      </w:pPr>
      <w:r>
        <w:t xml:space="preserve">Residency: does the Swiss residency requirement govern processing location as well as storage? (For Legal / Data Protection.)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Risk Hive Requirements — CRR Feedback</dc:title>
  <dc:description>Claude Docs node/e2663939-d3af@18 docx-w6</dc:description>
  <cp:revision>18</cp:revision>
</cp:coreProperties>
</file>