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SENTINEL | ARCHITECTURE WORKING DOCUMENT</w:t>
      </w:r>
    </w:p>
    <w:p>
      <w:pPr>
        <w:pStyle w:val="Title"/>
      </w:pPr>
      <w:r>
        <w:t>Architecture V2.1</w:t>
      </w:r>
    </w:p>
    <w:p>
      <w:r>
        <w:rPr>
          <w:color w:val="6E6E73"/>
          <w:sz w:val="28"/>
        </w:rPr>
        <w:t>Governed AI execution platform for credit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F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North star</w:t>
            </w:r>
            <w:r>
              <w:br/>
              <w:t>The LLM may propose facts, interpretations, plans, and challenges. It never determines authority, access, workflow state, evidence identity, or final judgment.</w:t>
            </w:r>
          </w:p>
        </w:tc>
      </w:tr>
    </w:tbl>
    <w:p>
      <w:pPr>
        <w:spacing w:after="0"/>
      </w:pPr>
    </w:p>
    <w:p>
      <w:r>
        <w:rPr>
          <w:b/>
        </w:rPr>
        <w:t xml:space="preserve">How to use this document. </w:t>
      </w:r>
      <w:r>
        <w:t>This is the editable Word companion to the V2.1 architecture. The diagrams preserve the topology of the interactive HTML: branching, nested worker chains, fan-out/fan-in, evidence-amendment loops, and the separation of deterministic code, probabilistic reasoning, governed stores, controls, and human judgment.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6"/>
              </w:rPr>
              <w:t>Control / enforcement</w:t>
            </w:r>
          </w:p>
        </w:tc>
        <w:tc>
          <w:tcPr>
            <w:tcW w:type="dxa" w:w="2033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6"/>
              </w:rPr>
              <w:t>LLM / probabilistic</w:t>
            </w:r>
          </w:p>
        </w:tc>
        <w:tc>
          <w:tcPr>
            <w:tcW w:type="dxa" w:w="2033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Deterministic code</w:t>
            </w:r>
          </w:p>
        </w:tc>
        <w:tc>
          <w:tcPr>
            <w:tcW w:type="dxa" w:w="2033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6"/>
              </w:rPr>
              <w:t>Human</w:t>
            </w:r>
          </w:p>
        </w:tc>
        <w:tc>
          <w:tcPr>
            <w:tcW w:type="dxa" w:w="2033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Governed store</w:t>
            </w:r>
          </w:p>
        </w:tc>
      </w:tr>
    </w:tbl>
    <w:p>
      <w:r>
        <w:br w:type="page"/>
      </w:r>
    </w:p>
    <w:p>
      <w:pPr>
        <w:pStyle w:val="Heading1"/>
      </w:pPr>
      <w:r>
        <w:t>1. Overview and commitments</w:t>
      </w:r>
    </w:p>
    <w:p>
      <w:r>
        <w:rPr>
          <w:b/>
        </w:rPr>
        <w:t xml:space="preserve">Sentinel moves the reviewer’s starting point from assembling information to adjudicating a prepared, evidence-backed credit assessment: </w:t>
      </w:r>
      <w:r>
        <w:t>assemble, assess, challenge, adjudicate. The architecture separates deterministic authority from bounded probabilistic reasoning and makes the audit trail a property of the topology rather than a feature.</w:t>
      </w:r>
    </w:p>
    <w:p>
      <w:pPr>
        <w:pStyle w:val="Heading2"/>
      </w:pPr>
      <w:r>
        <w:t>The fifteen commitments</w:t>
      </w:r>
    </w:p>
    <w:p>
      <w:r>
        <w:rPr>
          <w:b/>
          <w:color w:val="1D1D1F"/>
        </w:rPr>
        <w:t>1. One governed read path</w:t>
      </w:r>
      <w:r>
        <w:br/>
        <w:t>Agents and applications never touch the index or store directly; no path bypasses the enforcement point.</w:t>
      </w:r>
    </w:p>
    <w:p>
      <w:r>
        <w:rPr>
          <w:b/>
          <w:color w:val="1D1D1F"/>
        </w:rPr>
        <w:t>2. Effective access is an intersection</w:t>
      </w:r>
      <w:r>
        <w:rPr>
          <w:color w:val="6E6E73"/>
          <w:sz w:val="15"/>
        </w:rPr>
        <w:t xml:space="preserve">  [amended]</w:t>
      </w:r>
      <w:r>
        <w:br/>
        <w:t>User ∩ agent ∩ purpose ∩ tenant ∩ stage; purpose minted by the workflow; authorization evaluated per governed capability invocation and recorded as AuthorizationDecisions.</w:t>
      </w:r>
    </w:p>
    <w:p>
      <w:r>
        <w:rPr>
          <w:b/>
          <w:color w:val="1D1D1F"/>
        </w:rPr>
        <w:t>3. Entitlements enforce at the data layer</w:t>
      </w:r>
      <w:r>
        <w:br/>
        <w:t>Filters apply at the index before search; post-retrieval filtering is already a breach.</w:t>
      </w:r>
    </w:p>
    <w:p>
      <w:r>
        <w:rPr>
          <w:b/>
          <w:color w:val="1D1D1F"/>
        </w:rPr>
        <w:t>4. Authority decisions are never probabilistic</w:t>
      </w:r>
      <w:r>
        <w:rPr>
          <w:color w:val="6E6E73"/>
          <w:sz w:val="15"/>
        </w:rPr>
        <w:t xml:space="preserve">  [amended]</w:t>
      </w:r>
      <w:r>
        <w:br/>
        <w:t>No LLM in any authorization, tenant-routing, storage, state-transition, or evidence-identity path.</w:t>
      </w:r>
    </w:p>
    <w:p>
      <w:r>
        <w:rPr>
          <w:b/>
          <w:color w:val="1D1D1F"/>
        </w:rPr>
        <w:t>5. Deterministic sandwich, two-stage validation</w:t>
      </w:r>
      <w:r>
        <w:rPr>
          <w:color w:val="6E6E73"/>
          <w:sz w:val="15"/>
        </w:rPr>
        <w:t xml:space="preserve">  [amended]</w:t>
      </w:r>
      <w:r>
        <w:br/>
        <w:t>Deterministic evidence validation blocks and fails loud; probabilistic reasoning evaluation scores, flags, escalates — and never creates authority.</w:t>
      </w:r>
    </w:p>
    <w:p>
      <w:r>
        <w:rPr>
          <w:b/>
          <w:color w:val="1D1D1F"/>
        </w:rPr>
        <w:t>6. Typed artifacts as workflow state</w:t>
      </w:r>
      <w:r>
        <w:rPr>
          <w:color w:val="6E6E73"/>
          <w:sz w:val="15"/>
        </w:rPr>
        <w:t xml:space="preserve">  [amended]</w:t>
      </w:r>
      <w:r>
        <w:br/>
        <w:t>Agents compose through persisted, immutable artifacts that are explicit inputs and outputs of a durable, checkpointed workflow — never conversation.</w:t>
      </w:r>
    </w:p>
    <w:p>
      <w:r>
        <w:rPr>
          <w:b/>
          <w:color w:val="1D1D1F"/>
        </w:rPr>
        <w:t>7. Audit is structurally unavoidable</w:t>
      </w:r>
      <w:r>
        <w:rPr>
          <w:color w:val="6E6E73"/>
          <w:sz w:val="15"/>
        </w:rPr>
        <w:t xml:space="preserve">  [amended]</w:t>
      </w:r>
      <w:r>
        <w:br/>
        <w:t>Decision provenance fails closed before the workflow advances; telemetry is best-effort; audit truth and user-visible provenance are separate views.</w:t>
      </w:r>
    </w:p>
    <w:p>
      <w:r>
        <w:rPr>
          <w:b/>
          <w:color w:val="1D1D1F"/>
        </w:rPr>
        <w:t>8. Two chokepoints, opposite directions</w:t>
      </w:r>
      <w:r>
        <w:br/>
        <w:t>The inbound pipeline and the request-time gateway are separate components with different failure types, tempos, and owners.</w:t>
      </w:r>
    </w:p>
    <w:p>
      <w:r>
        <w:rPr>
          <w:b/>
          <w:color w:val="1D1D1F"/>
        </w:rPr>
        <w:t>9. Security envelope at capture; derive reproducibly</w:t>
      </w:r>
      <w:r>
        <w:rPr>
          <w:color w:val="6E6E73"/>
          <w:sz w:val="15"/>
        </w:rPr>
        <w:t xml:space="preserve">  [amended]</w:t>
      </w:r>
      <w:r>
        <w:br/>
        <w:t>Hash, provenance, tenant, and ACL attach before any parsing or model contact; raw bytes are immutable; every derivation is versioned, reproducible, and lineage-linked.</w:t>
      </w:r>
    </w:p>
    <w:p>
      <w:r>
        <w:rPr>
          <w:b/>
          <w:color w:val="1D1D1F"/>
        </w:rPr>
        <w:t>10. Human terminus, as durable state</w:t>
      </w:r>
      <w:r>
        <w:rPr>
          <w:color w:val="6E6E73"/>
          <w:sz w:val="15"/>
        </w:rPr>
        <w:t xml:space="preserve">  [amended]</w:t>
      </w:r>
      <w:r>
        <w:br/>
        <w:t>The final decision point is a human ruling of record, implemented as a checkpointed pause with structured resume outcomes.</w:t>
      </w:r>
    </w:p>
    <w:p>
      <w:r>
        <w:rPr>
          <w:b/>
          <w:color w:val="1D1D1F"/>
        </w:rPr>
        <w:t>11. Configuration over training</w:t>
      </w:r>
      <w:r>
        <w:br/>
        <w:t>Improvement through authored content, retrieval, evaluation, and governed configuration — never autonomous retraining on production data.</w:t>
      </w:r>
    </w:p>
    <w:p>
      <w:r>
        <w:rPr>
          <w:b/>
          <w:color w:val="1D1D1F"/>
        </w:rPr>
        <w:t>12. Evidence never has instruction authority</w:t>
      </w:r>
      <w:r>
        <w:rPr>
          <w:color w:val="6E6E73"/>
          <w:sz w:val="15"/>
        </w:rPr>
        <w:t xml:space="preserve">  [new]</w:t>
      </w:r>
      <w:r>
        <w:br/>
        <w:t>All retrieved content is untrusted data with provenance, authority class, and trust class; the defense is structural, not detection-dependent.</w:t>
      </w:r>
    </w:p>
    <w:p>
      <w:r>
        <w:rPr>
          <w:b/>
          <w:color w:val="1D1D1F"/>
        </w:rPr>
        <w:t>13. The workflow owns legal state transitions</w:t>
      </w:r>
      <w:r>
        <w:rPr>
          <w:color w:val="6E6E73"/>
          <w:sz w:val="15"/>
        </w:rPr>
        <w:t xml:space="preserve">  [new]</w:t>
      </w:r>
      <w:r>
        <w:br/>
        <w:t>Durable state, checkpoints, defined failure outcomes, idempotent replay; LLM output cannot independently advance a regulated workflow.</w:t>
      </w:r>
    </w:p>
    <w:p>
      <w:r>
        <w:rPr>
          <w:b/>
          <w:color w:val="1D1D1F"/>
        </w:rPr>
        <w:t>14. Frozen evidence, live authorization</w:t>
      </w:r>
      <w:r>
        <w:rPr>
          <w:color w:val="6E6E73"/>
          <w:sz w:val="15"/>
        </w:rPr>
        <w:t xml:space="preserve">  [new]</w:t>
      </w:r>
      <w:r>
        <w:br/>
        <w:t>Snapshots fix the evidence universe and supersede rather than mutate; permissions are evaluated at access time; revocation strands trigger a defined resolution state.</w:t>
      </w:r>
    </w:p>
    <w:p>
      <w:r>
        <w:rPr>
          <w:b/>
          <w:color w:val="1D1D1F"/>
        </w:rPr>
        <w:t>15. Every behavioral change is evaluation-gated</w:t>
      </w:r>
      <w:r>
        <w:rPr>
          <w:color w:val="6E6E73"/>
          <w:sz w:val="15"/>
        </w:rPr>
        <w:t xml:space="preserve">  [new]</w:t>
      </w:r>
      <w:r>
        <w:br/>
        <w:t>Models, prompts, parsers, chunking, embeddings, retrieval, taxonomies, policies, schemas, and guardrails change only through the reference-corpus regression gate; any manifest change is a new agent.</w:t>
      </w:r>
    </w:p>
    <w:p>
      <w:pPr>
        <w:sectPr>
          <w:footerReference w:type="default" r:id="rId9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2. Logical architecture — four planes</w:t>
      </w:r>
    </w:p>
    <w:p>
      <w:r>
        <w:rPr>
          <w:color w:val="6E6E73"/>
        </w:rPr>
        <w:t>Control decides, Execution runs, Data persists, Ingestion feeds. Security, audit, evaluation, observability, and lineage cut across all four.</w:t>
      </w:r>
    </w:p>
    <w:p>
      <w:pPr>
        <w:spacing w:before="60" w:after="100"/>
      </w:pPr>
      <w:r>
        <w:rPr>
          <w:b/>
          <w:color w:val="1D1D1F"/>
          <w:sz w:val="20"/>
        </w:rPr>
        <w:t>Experience</w:t>
      </w:r>
      <w:r>
        <w:rPr>
          <w:color w:val="6E6E73"/>
          <w:sz w:val="17"/>
        </w:rPr>
        <w:t xml:space="preserve">  tenant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8"/>
              </w:rPr>
              <w:t>CRR review workspace</w:t>
            </w:r>
            <w:r>
              <w:rPr>
                <w:color w:val="6E6E73"/>
                <w:sz w:val="15"/>
              </w:rPr>
              <w:br/>
              <w:t>reviewer’s application</w:t>
            </w:r>
          </w:p>
        </w:tc>
        <w:tc>
          <w:tcPr>
            <w:tcW w:type="dxa" w:w="7128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8"/>
              </w:rPr>
              <w:t>Other tenant applications</w:t>
            </w:r>
            <w:r>
              <w:rPr>
                <w:color w:val="6E6E73"/>
                <w:sz w:val="15"/>
              </w:rPr>
              <w:br/>
              <w:t>event search · field extraction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Control plane</w:t>
      </w:r>
      <w:r>
        <w:rPr>
          <w:color w:val="6E6E73"/>
          <w:sz w:val="17"/>
        </w:rPr>
        <w:t xml:space="preserve">  authority &amp;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6"/>
              </w:rPr>
              <w:t>Identity service</w:t>
            </w:r>
            <w:r>
              <w:rPr>
                <w:color w:val="6E6E73"/>
                <w:sz w:val="14"/>
              </w:rPr>
              <w:br/>
              <w:t>firm IAM · entitlements</w:t>
            </w:r>
          </w:p>
        </w:tc>
        <w:tc>
          <w:tcPr>
            <w:tcW w:type="dxa" w:w="2851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6"/>
              </w:rPr>
              <w:t>Entitlement gateway (PEP)</w:t>
            </w:r>
            <w:r>
              <w:rPr>
                <w:color w:val="6E6E73"/>
                <w:sz w:val="14"/>
              </w:rPr>
              <w:br/>
              <w:t>effective-access intersection</w:t>
            </w:r>
          </w:p>
        </w:tc>
        <w:tc>
          <w:tcPr>
            <w:tcW w:type="dxa" w:w="2851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6"/>
              </w:rPr>
              <w:t>Purpose &amp; capability policy</w:t>
            </w:r>
            <w:r>
              <w:rPr>
                <w:color w:val="6E6E73"/>
                <w:sz w:val="14"/>
              </w:rPr>
              <w:br/>
              <w:t>purpose minted by workflow</w:t>
            </w:r>
          </w:p>
        </w:tc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Use-case configuration</w:t>
            </w:r>
            <w:r>
              <w:rPr>
                <w:color w:val="6E6E73"/>
                <w:sz w:val="14"/>
              </w:rPr>
              <w:br/>
              <w:t>business-owned · versioned</w:t>
            </w:r>
          </w:p>
        </w:tc>
        <w:tc>
          <w:tcPr>
            <w:tcW w:type="dxa" w:w="2851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6"/>
              </w:rPr>
              <w:t>Agent &amp; model registry</w:t>
            </w:r>
            <w:r>
              <w:rPr>
                <w:color w:val="6E6E73"/>
                <w:sz w:val="14"/>
              </w:rPr>
              <w:br/>
              <w:t>manifests · version policy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⇣  every governed call re-crosses the PEP — per-operation authorization  ⇣</w:t>
      </w:r>
    </w:p>
    <w:p>
      <w:pPr>
        <w:spacing w:before="60" w:after="100"/>
      </w:pPr>
      <w:r>
        <w:rPr>
          <w:b/>
          <w:color w:val="1D1D1F"/>
          <w:sz w:val="20"/>
        </w:rPr>
        <w:t>Execution plane</w:t>
      </w:r>
      <w:r>
        <w:rPr>
          <w:color w:val="6E6E73"/>
          <w:sz w:val="17"/>
        </w:rPr>
        <w:t xml:space="preserve">  durable, governed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Workflow runtime</w:t>
            </w:r>
            <w:r>
              <w:rPr>
                <w:color w:val="6E6E73"/>
                <w:sz w:val="14"/>
              </w:rPr>
              <w:br/>
              <w:t>owns legal transitions</w:t>
            </w:r>
          </w:p>
        </w:tc>
        <w:tc>
          <w:tcPr>
            <w:tcW w:type="dxa" w:w="2037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5"/>
              </w:rPr>
              <w:t>State &amp; checkpoints</w:t>
            </w:r>
            <w:r>
              <w:rPr>
                <w:color w:val="6E6E73"/>
                <w:sz w:val="14"/>
              </w:rPr>
              <w:br/>
              <w:t>interrupts · retries · replay</w:t>
            </w:r>
          </w:p>
        </w:tc>
        <w:tc>
          <w:tcPr>
            <w:tcW w:type="dxa" w:w="2037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Retrieval broker</w:t>
            </w:r>
            <w:r>
              <w:rPr>
                <w:color w:val="6E6E73"/>
                <w:sz w:val="14"/>
              </w:rPr>
              <w:br/>
              <w:t>hybrid · authorized</w:t>
            </w:r>
          </w:p>
        </w:tc>
        <w:tc>
          <w:tcPr>
            <w:tcW w:type="dxa" w:w="2037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Context firewall</w:t>
            </w:r>
            <w:r>
              <w:rPr>
                <w:color w:val="6E6E73"/>
                <w:sz w:val="14"/>
              </w:rPr>
              <w:br/>
              <w:t>evidence is data</w:t>
            </w:r>
          </w:p>
        </w:tc>
        <w:tc>
          <w:tcPr>
            <w:tcW w:type="dxa" w:w="2037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5"/>
              </w:rPr>
              <w:t>AI reasoning runtime</w:t>
            </w:r>
            <w:r>
              <w:rPr>
                <w:color w:val="6E6E73"/>
                <w:sz w:val="14"/>
              </w:rPr>
              <w:br/>
              <w:t>bounded reasoning nodes</w:t>
            </w:r>
          </w:p>
        </w:tc>
        <w:tc>
          <w:tcPr>
            <w:tcW w:type="dxa" w:w="2037"/>
            <w:shd w:fill="E9F6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8577"/>
                <w:sz w:val="15"/>
              </w:rPr>
              <w:t>Model gateway</w:t>
            </w:r>
            <w:r>
              <w:rPr>
                <w:color w:val="6E6E73"/>
                <w:sz w:val="14"/>
              </w:rPr>
              <w:br/>
              <w:t>governed deployments</w:t>
            </w:r>
          </w:p>
        </w:tc>
        <w:tc>
          <w:tcPr>
            <w:tcW w:type="dxa" w:w="2037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Validation framework</w:t>
            </w:r>
            <w:r>
              <w:rPr>
                <w:color w:val="6E6E73"/>
                <w:sz w:val="14"/>
              </w:rPr>
              <w:br/>
              <w:t>per-task profiles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Data plane</w:t>
      </w:r>
      <w:r>
        <w:rPr>
          <w:color w:val="6E6E73"/>
          <w:sz w:val="17"/>
        </w:rPr>
        <w:t xml:space="preserve">  governed persistent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VEGA index</w:t>
            </w:r>
            <w:r>
              <w:rPr>
                <w:color w:val="6E6E73"/>
                <w:sz w:val="14"/>
              </w:rPr>
              <w:br/>
              <w:t>filter-before-search</w:t>
            </w:r>
          </w:p>
        </w:tc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Hive store</w:t>
            </w:r>
            <w:r>
              <w:rPr>
                <w:color w:val="6E6E73"/>
                <w:sz w:val="14"/>
              </w:rPr>
              <w:br/>
              <w:t>raw + derived · by hash</w:t>
            </w:r>
          </w:p>
        </w:tc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Evidence snapshots</w:t>
            </w:r>
            <w:r>
              <w:rPr>
                <w:color w:val="6E6E73"/>
                <w:sz w:val="14"/>
              </w:rPr>
              <w:br/>
              <w:t>frozen · superseded</w:t>
            </w:r>
          </w:p>
        </w:tc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Workflow artifacts</w:t>
            </w:r>
            <w:r>
              <w:rPr>
                <w:color w:val="6E6E73"/>
                <w:sz w:val="14"/>
              </w:rPr>
              <w:br/>
              <w:t>typed · immutable</w:t>
            </w:r>
          </w:p>
        </w:tc>
        <w:tc>
          <w:tcPr>
            <w:tcW w:type="dxa" w:w="2851"/>
            <w:shd w:fill="FAF0E6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B25000"/>
                <w:sz w:val="16"/>
              </w:rPr>
              <w:t>Audit &amp; decision record</w:t>
            </w:r>
            <w:r>
              <w:rPr>
                <w:color w:val="6E6E73"/>
                <w:sz w:val="14"/>
              </w:rPr>
              <w:br/>
              <w:t>append-only · two views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↑</w:t>
      </w:r>
    </w:p>
    <w:p>
      <w:pPr>
        <w:spacing w:before="60" w:after="100"/>
      </w:pPr>
      <w:r>
        <w:rPr>
          <w:b/>
          <w:color w:val="1D1D1F"/>
          <w:sz w:val="20"/>
        </w:rPr>
        <w:t>Ingestion plane</w:t>
      </w:r>
      <w:r>
        <w:rPr>
          <w:color w:val="6E6E73"/>
          <w:sz w:val="17"/>
        </w:rPr>
        <w:t xml:space="preserve">  separate tempo — capture once, derive reproducibly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Capture</w:t>
            </w:r>
            <w:r>
              <w:rPr>
                <w:color w:val="6E6E73"/>
                <w:sz w:val="14"/>
              </w:rPr>
              <w:br/>
              <w:t>security envelope at boundary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Validate / quarantine</w:t>
            </w:r>
            <w:r>
              <w:rPr>
                <w:color w:val="6E6E73"/>
                <w:sz w:val="14"/>
              </w:rPr>
              <w:br/>
              <w:t>invalid never publishes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DEEP parse</w:t>
            </w:r>
            <w:r>
              <w:rPr>
                <w:color w:val="6E6E73"/>
                <w:sz w:val="14"/>
              </w:rPr>
              <w:br/>
              <w:t>versioned derivation</w:t>
            </w:r>
          </w:p>
        </w:tc>
        <w:tc>
          <w:tcPr>
            <w:tcW w:type="dxa" w:w="2851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6"/>
              </w:rPr>
              <w:t>Classify &amp; enrich</w:t>
            </w:r>
            <w:r>
              <w:rPr>
                <w:color w:val="6E6E73"/>
                <w:sz w:val="14"/>
              </w:rPr>
              <w:br/>
              <w:t>derived metadata only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Chunk · embed · publish</w:t>
            </w:r>
            <w:r>
              <w:rPr>
                <w:color w:val="6E6E73"/>
                <w:sz w:val="14"/>
              </w:rPr>
              <w:br/>
              <w:t>versioned strategies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5F5F7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Cross-cutting controls</w:t>
            </w:r>
            <w:r>
              <w:br/>
              <w:t>Security  •  Audit  •  Evaluation  •  Observability  •  Lineage</w:t>
            </w:r>
          </w:p>
        </w:tc>
      </w:tr>
    </w:tbl>
    <w:p>
      <w:pPr>
        <w:spacing w:after="0"/>
      </w:pPr>
    </w:p>
    <w:p>
      <w:pPr>
        <w:sectPr>
          <w:footerReference w:type="default" r:id="rId10"/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3. Plane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Plane</w:t>
            </w:r>
          </w:p>
        </w:tc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Key responsibilities</w:t>
            </w:r>
          </w:p>
        </w:tc>
      </w:tr>
      <w:tr>
        <w:trPr>
          <w:cantSplit/>
          <w:cantSplit/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Control plane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Authority and configuration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Identity, effective-access policy, workflow-minted purpose, business-owned use-case configuration, and versioned agent/model manifests.</w:t>
            </w:r>
          </w:p>
        </w:tc>
      </w:tr>
      <w:tr>
        <w:trPr>
          <w:cantSplit/>
          <w:cantSplit/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Execution plane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Durable governed execution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Predefined workflow state and transitions, checkpoints, per-operation authorization, hybrid retrieval, context trust enforcement, bounded model calls, and task-specific validation.</w:t>
            </w:r>
          </w:p>
        </w:tc>
      </w:tr>
      <w:tr>
        <w:trPr>
          <w:cantSplit/>
          <w:cantSplit/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Data plane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Persistent evidence and decision state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Tenant-aware retrieval index, immutable raw/derived content, evidence snapshots, typed workflow artifacts, and append-only audit/decision provenance.</w:t>
            </w:r>
          </w:p>
        </w:tc>
      </w:tr>
      <w:tr>
        <w:trPr>
          <w:cantSplit/>
          <w:cantSplit/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Ingestion plane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Controlled inbound processing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envelope at capture, validation/quarantine, exact identity and relationship detection, versioned DEEP derivations, one classification/enrichment model call, and versioned publication.</w:t>
            </w:r>
          </w:p>
        </w:tc>
      </w:tr>
    </w:tbl>
    <w:p>
      <w:pPr>
        <w:pStyle w:val="Heading2"/>
      </w:pPr>
      <w:r>
        <w:t>Authorization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6F4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Effective access</w:t>
            </w:r>
            <w:r>
              <w:br/>
              <w:t>User entitlement ∩ Agent capability ∩ Purpose ∩ Tenant ∩ Workflow stage</w:t>
            </w:r>
          </w:p>
        </w:tc>
      </w:tr>
    </w:tbl>
    <w:p>
      <w:pPr>
        <w:spacing w:after="0"/>
      </w:pPr>
    </w:p>
    <w:p>
      <w:pPr>
        <w:pStyle w:val="ListBullet"/>
      </w:pPr>
      <w:r>
        <w:t>Initial request authorization and downstream capability authorization are distinct events.</w:t>
      </w:r>
    </w:p>
    <w:p>
      <w:pPr>
        <w:pStyle w:val="ListBullet"/>
      </w:pPr>
      <w:r>
        <w:t>Purpose is minted from authorized workflow state, never caller-declared.</w:t>
      </w:r>
    </w:p>
    <w:p>
      <w:pPr>
        <w:pStyle w:val="ListBullet"/>
      </w:pPr>
      <w:r>
        <w:t>The PEP issues an authorized retrieval scope; VEGA executes search inside that hard constraint.</w:t>
      </w:r>
    </w:p>
    <w:p>
      <w:pPr>
        <w:pStyle w:val="ListBullet"/>
      </w:pPr>
      <w:r>
        <w:t>WorkflowState stores authorization inputs, not cached entitlement decisions; each actual decision is persisted as an AuthorizationDecision.</w:t>
      </w:r>
    </w:p>
    <w:p>
      <w:pPr>
        <w:pStyle w:val="Heading2"/>
      </w:pPr>
      <w:r>
        <w:t>Context trust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4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Structural defense</w:t>
            </w:r>
            <w:r>
              <w:br/>
              <w:t>Evidence has evidentiary authority but never instruction authority.</w:t>
            </w:r>
          </w:p>
        </w:tc>
      </w:tr>
    </w:tbl>
    <w:p>
      <w:pPr>
        <w:spacing w:after="0"/>
      </w:pPr>
    </w:p>
    <w:p>
      <w:r>
        <w:t>Retrieved documents may inform reasoning, but cannot change capability scope, system instructions, tool availability, or workflow state. Injection/anomaly screening is secondary defense-in-depth, not the primary security guarantee.</w:t>
      </w:r>
    </w:p>
    <w:p>
      <w:pPr>
        <w:sectPr>
          <w:footerReference w:type="default" r:id="rId11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4. Review workflow — initiation through parallel workers</w:t>
      </w:r>
    </w:p>
    <w:p>
      <w:r>
        <w:rPr>
          <w:color w:val="6E6E73"/>
        </w:rPr>
        <w:t>A composition of workflows, not an autonomous agent: two initiation paths converge on the same machinery, followed by a bounded planner, deterministic plan validation, and parallel independent section workers.</w:t>
      </w:r>
    </w:p>
    <w:p>
      <w:pPr>
        <w:spacing w:before="60" w:after="100"/>
      </w:pPr>
      <w:r>
        <w:rPr>
          <w:b/>
          <w:color w:val="1D1D1F"/>
          <w:sz w:val="20"/>
        </w:rPr>
        <w:t>Initiate</w:t>
      </w:r>
      <w:r>
        <w:rPr>
          <w:color w:val="6E6E73"/>
          <w:sz w:val="17"/>
        </w:rPr>
        <w:t xml:space="preserve">  two ways in — both converge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7"/>
              </w:rPr>
              <w:t>Fast start</w:t>
            </w:r>
            <w:r>
              <w:rPr>
                <w:color w:val="6E6E73"/>
                <w:sz w:val="14"/>
              </w:rPr>
              <w:br/>
              <w:t>drop documents + optional context · defaults resolve automatically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OR</w:t>
            </w:r>
          </w:p>
        </w:tc>
        <w:tc>
          <w:tcPr>
            <w:tcW w:type="dxa" w:w="4752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7"/>
              </w:rPr>
              <w:t>Review setup</w:t>
            </w:r>
            <w:r>
              <w:rPr>
                <w:color w:val="6E6E73"/>
                <w:sz w:val="14"/>
              </w:rPr>
              <w:br/>
              <w:t>template · section toggles · custom analysis topics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Resolve configuration</w:t>
            </w:r>
            <w:r>
              <w:rPr>
                <w:color w:val="6E6E73"/>
                <w:sz w:val="14"/>
              </w:rPr>
              <w:br/>
              <w:t>effective question set · versions pinned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8"/>
              </w:rPr>
              <w:t>→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Freeze evidence snapshot v1</w:t>
            </w:r>
            <w:r>
              <w:rPr>
                <w:color w:val="6E6E73"/>
                <w:sz w:val="14"/>
              </w:rPr>
              <w:br/>
              <w:t>review evidence universe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AF0E6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Evidence amendment channel — open from initiation onward</w:t>
            </w:r>
            <w:r>
              <w:br/>
              <w:t>An updated or missing document enters through ingestion; snapshot v2 supersedes v1 with reason + deltas recorded; only impacted workers re-run. Snapshot v1 is never mutated.</w:t>
            </w:r>
          </w:p>
        </w:tc>
      </w:tr>
    </w:tbl>
    <w:p>
      <w:pPr>
        <w:spacing w:after="0"/>
      </w:pPr>
    </w:p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7"/>
              </w:rPr>
              <w:t>Build evidence plan</w:t>
            </w:r>
            <w:r>
              <w:rPr>
                <w:color w:val="6E6E73"/>
                <w:sz w:val="14"/>
              </w:rPr>
              <w:br/>
              <w:t>LLM maps configured questions to evidence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8"/>
              </w:rPr>
              <w:t>→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Validate plan</w:t>
            </w:r>
            <w:r>
              <w:rPr>
                <w:color w:val="6E6E73"/>
                <w:sz w:val="14"/>
              </w:rPr>
              <w:br/>
              <w:t>mandatory questions · snapshot membership · permitted operations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      ↓      ↓</w:t>
      </w:r>
    </w:p>
    <w:p>
      <w:pPr>
        <w:spacing w:before="60" w:after="100"/>
      </w:pPr>
      <w:r>
        <w:rPr>
          <w:b/>
          <w:color w:val="1D1D1F"/>
          <w:sz w:val="20"/>
        </w:rPr>
        <w:t>Section workers</w:t>
      </w:r>
      <w:r>
        <w:rPr>
          <w:color w:val="6E6E73"/>
          <w:sz w:val="17"/>
        </w:rPr>
        <w:t xml:space="preserve">  fan-out — parallel, independent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7"/>
              </w:rPr>
              <w:t>Worker — section 1</w:t>
            </w:r>
            <w:r>
              <w:rPr>
                <w:color w:val="6E6E73"/>
                <w:sz w:val="14"/>
              </w:rPr>
              <w:br/>
              <w:t>independent context · independently resumable</w:t>
            </w:r>
          </w:p>
        </w:tc>
        <w:tc>
          <w:tcPr>
            <w:tcW w:type="dxa" w:w="4752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7"/>
              </w:rPr>
              <w:t>Worker — section 2</w:t>
            </w:r>
            <w:r>
              <w:rPr>
                <w:color w:val="6E6E73"/>
                <w:sz w:val="14"/>
              </w:rPr>
              <w:br/>
              <w:t>independent context · independently resumable</w:t>
            </w:r>
          </w:p>
        </w:tc>
        <w:tc>
          <w:tcPr>
            <w:tcW w:type="dxa" w:w="4752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7"/>
              </w:rPr>
              <w:t>Worker — section n</w:t>
            </w:r>
            <w:r>
              <w:rPr>
                <w:color w:val="6E6E73"/>
                <w:sz w:val="14"/>
              </w:rPr>
              <w:br/>
              <w:t>independent context · independently resumable</w:t>
            </w:r>
          </w:p>
        </w:tc>
      </w:tr>
    </w:tbl>
    <w:p>
      <w:pPr>
        <w:jc w:val="center"/>
      </w:pPr>
      <w:r>
        <w:rPr>
          <w:color w:val="6E6E73"/>
          <w:sz w:val="17"/>
        </w:rPr>
        <w:t>Each worker receives its own context package. Workers do not communicate; they compose through persisted artifacts. A failed section resumes alone without re-running the review.</w:t>
      </w:r>
    </w:p>
    <w:p>
      <w:pPr>
        <w:sectPr>
          <w:footerReference w:type="default" r:id="rId12"/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5. Inside each section worker</w:t>
      </w:r>
    </w:p>
    <w:p>
      <w:r>
        <w:rPr>
          <w:color w:val="6E6E73"/>
        </w:rPr>
        <w:t>The worker is a bounded prompt chain with explicit gates. Authorization, evidence identity, and legal workflow transitions remain deterministic.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Retrieve</w:t>
            </w:r>
            <w:r>
              <w:rPr>
                <w:color w:val="6E6E73"/>
                <w:sz w:val="14"/>
              </w:rPr>
              <w:br/>
              <w:t>broker + context firewall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1584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5"/>
              </w:rPr>
              <w:t>Assess</w:t>
            </w:r>
            <w:r>
              <w:rPr>
                <w:color w:val="6E6E73"/>
                <w:sz w:val="14"/>
              </w:rPr>
              <w:br/>
              <w:t>dual citations · gaps flagged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Evidence validator</w:t>
            </w:r>
            <w:r>
              <w:rPr>
                <w:color w:val="6E6E73"/>
                <w:sz w:val="14"/>
              </w:rPr>
              <w:br/>
              <w:t>deterministic · blocking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1584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5"/>
              </w:rPr>
              <w:t>Reasoning evaluator</w:t>
            </w:r>
            <w:r>
              <w:rPr>
                <w:color w:val="6E6E73"/>
                <w:sz w:val="14"/>
              </w:rPr>
              <w:br/>
              <w:t>scores/flags · no authority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1584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Typed artifact</w:t>
            </w:r>
            <w:r>
              <w:rPr>
                <w:color w:val="6E6E73"/>
                <w:sz w:val="14"/>
              </w:rPr>
              <w:br/>
              <w:t>persisted · immutable</w:t>
            </w:r>
          </w:p>
        </w:tc>
      </w:tr>
    </w:tbl>
    <w:p>
      <w:pPr>
        <w:pStyle w:val="Heading2"/>
      </w:pPr>
      <w:r>
        <w:t>Worker-stage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7128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Rule</w:t>
            </w:r>
          </w:p>
        </w:tc>
      </w:tr>
      <w:tr>
        <w:trPr>
          <w:cantSplit/>
        </w:trPr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Retrieve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PEP resolves live effective access per operation. The broker retrieves only from the authorized object universe; the context firewall trust-labels evidence.</w:t>
            </w:r>
          </w:p>
        </w:tc>
      </w:tr>
      <w:tr>
        <w:trPr>
          <w:cantSplit/>
        </w:trPr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Assess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The model produces a reasoned position against the configured question, standards, and evidence. Insufficient evidence is explicit.</w:t>
            </w:r>
          </w:p>
        </w:tc>
      </w:tr>
      <w:tr>
        <w:trPr>
          <w:cantSplit/>
        </w:trPr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Evidence validator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Every citation must resolve to document, version/hash, page/span or table cell, inside the snapshot and under valid authorization. Failure blocks.</w:t>
            </w:r>
          </w:p>
        </w:tc>
      </w:tr>
      <w:tr>
        <w:trPr>
          <w:cantSplit/>
        </w:trPr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Reasoning evaluator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Advisory semantic check: support, correct standard, omitted conflicts, overreach. Scores/flags/escalates only; output has its own evaluator lineage.</w:t>
            </w:r>
          </w:p>
        </w:tc>
      </w:tr>
      <w:tr>
        <w:trPr>
          <w:cantSplit/>
        </w:trPr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Typed artifact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Schema-validated, immutable, version-stamped output becomes the only handoff to downstream stages.</w:t>
            </w:r>
          </w:p>
        </w:tc>
      </w:tr>
    </w:tbl>
    <w:p>
      <w:pPr>
        <w:sectPr>
          <w:footerReference w:type="default" r:id="rId13"/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6. Review workflow — fan-in through human adjudication</w:t>
      </w:r>
    </w:p>
    <w:p>
      <w:pPr>
        <w:spacing w:before="60" w:after="100"/>
      </w:pPr>
      <w:r>
        <w:rPr>
          <w:b/>
          <w:color w:val="1D1D1F"/>
          <w:sz w:val="20"/>
        </w:rPr>
        <w:t>Recombine</w:t>
      </w:r>
      <w:r>
        <w:rPr>
          <w:color w:val="6E6E73"/>
          <w:sz w:val="17"/>
        </w:rPr>
        <w:t xml:space="preserve">  preserve independent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Fan in</w:t>
            </w:r>
            <w:r>
              <w:rPr>
                <w:color w:val="6E6E73"/>
                <w:sz w:val="14"/>
              </w:rPr>
              <w:br/>
              <w:t>failed workers resume alone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8"/>
              </w:rPr>
              <w:t>→</w:t>
            </w:r>
          </w:p>
        </w:tc>
        <w:tc>
          <w:tcPr>
            <w:tcW w:type="dxa" w:w="4752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7"/>
              </w:rPr>
              <w:t>Cross-section reconciliation</w:t>
            </w:r>
            <w:r>
              <w:rPr>
                <w:color w:val="6E6E73"/>
                <w:sz w:val="14"/>
              </w:rPr>
              <w:br/>
              <w:t>surface tensions · never rewrite to consensus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Challenge</w:t>
      </w:r>
      <w:r>
        <w:rPr>
          <w:color w:val="6E6E73"/>
          <w:sz w:val="17"/>
        </w:rPr>
        <w:t xml:space="preserve">  mandatory examination; methodology controls allowed outcomes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6"/>
              </w:rPr>
              <w:t>Independent challenge</w:t>
            </w:r>
            <w:r>
              <w:rPr>
                <w:color w:val="6E6E73"/>
                <w:sz w:val="14"/>
              </w:rPr>
              <w:br/>
              <w:t>structurally independent context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Challenge validation</w:t>
            </w:r>
            <w:r>
              <w:rPr>
                <w:color w:val="6E6E73"/>
                <w:sz w:val="14"/>
              </w:rPr>
              <w:br/>
              <w:t>ChallengePolicy enforced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Adjudication packet</w:t>
            </w:r>
            <w:r>
              <w:rPr>
                <w:color w:val="6E6E73"/>
                <w:sz w:val="14"/>
              </w:rPr>
              <w:br/>
              <w:t>positions · challenge · findings · evidence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Human terminus</w:t>
      </w:r>
      <w:r>
        <w:rPr>
          <w:color w:val="6E6E73"/>
          <w:sz w:val="17"/>
        </w:rPr>
        <w:t xml:space="preserve">  durable pause and ruling of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EAF6ED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8A3D"/>
                <w:sz w:val="16"/>
              </w:rPr>
              <w:t>Human adjudication</w:t>
            </w:r>
            <w:r>
              <w:rPr>
                <w:color w:val="6E6E73"/>
                <w:sz w:val="14"/>
              </w:rPr>
              <w:br/>
              <w:t>checkpoint persisted before interrupt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Persist ruling</w:t>
            </w:r>
            <w:r>
              <w:rPr>
                <w:color w:val="6E6E73"/>
                <w:sz w:val="14"/>
              </w:rPr>
              <w:br/>
              <w:t>reviewer outcome + rationale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Finalize decision record</w:t>
            </w:r>
            <w:r>
              <w:rPr>
                <w:color w:val="6E6E73"/>
                <w:sz w:val="14"/>
              </w:rPr>
              <w:br/>
              <w:t>complete · reconstructible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AF0E6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Request more evidence loop</w:t>
            </w:r>
            <w:r>
              <w:br/>
              <w:t>Suspend adjudication → acquire through ingestion → create superseding snapshot → selectively re-run impacted workers → reconciliation → challenge → return to adjudication. The prior snapshot remains immutable.</w:t>
            </w:r>
          </w:p>
        </w:tc>
      </w:tr>
    </w:tbl>
    <w:p>
      <w:pPr>
        <w:spacing w:after="0"/>
      </w:pPr>
    </w:p>
    <w:p>
      <w:pPr>
        <w:pStyle w:val="Heading2"/>
      </w:pPr>
      <w:r>
        <w:t>Defined execution outcomes</w:t>
      </w:r>
    </w:p>
    <w:p>
      <w:pPr>
        <w:jc w:val="center"/>
      </w:pPr>
      <w:r>
        <w:rPr>
          <w:b/>
          <w:sz w:val="18"/>
        </w:rPr>
        <w:t>SUCCESS  •  RETRYABLE_FAILURE  •  NON_RETRYABLE_FAILURE  •  INSUFFICIENT_EVIDENCE  •  POLICY_DENIED  •  HUMAN_REQUIRED  •  QUARANTINED</w:t>
      </w:r>
    </w:p>
    <w:p>
      <w:pPr>
        <w:sectPr>
          <w:footerReference w:type="default" r:id="rId14"/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7. Ingestion workflow</w:t>
      </w:r>
    </w:p>
    <w:p>
      <w:r>
        <w:rPr>
          <w:color w:val="6E6E73"/>
        </w:rPr>
        <w:t>The security envelope attaches at capture, before any parser or model touches the bytes. Exact byte identity and document relationship/version are separate mechanisms. Security quarantine and content-trust flags are separate.</w:t>
      </w:r>
    </w:p>
    <w:p>
      <w:pPr>
        <w:spacing w:before="60" w:after="100"/>
      </w:pPr>
      <w:r>
        <w:rPr>
          <w:b/>
          <w:color w:val="1D1D1F"/>
          <w:sz w:val="20"/>
        </w:rPr>
        <w:t>Capture</w:t>
      </w:r>
      <w:r>
        <w:rPr>
          <w:color w:val="6E6E73"/>
          <w:sz w:val="17"/>
        </w:rPr>
        <w:t xml:space="preserve">  strictly sequential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1 · Capture + security envelope</w:t>
            </w:r>
            <w:r>
              <w:rPr>
                <w:color w:val="6E6E73"/>
                <w:sz w:val="14"/>
              </w:rPr>
              <w:br/>
              <w:t>hash · source · tenant · ACL · provenance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4752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2 · Validate</w:t>
            </w:r>
            <w:r>
              <w:rPr>
                <w:color w:val="6E6E73"/>
                <w:sz w:val="14"/>
              </w:rPr>
              <w:br/>
              <w:t>pass → continue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AF0E6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On validation failure: security quarantine</w:t>
            </w:r>
            <w:r>
              <w:br/>
              <w:t>Malware, corruption, password protection/encryption, unknown tenant, ambiguous ACL, or missing provenance never enter the evidence universe.</w:t>
            </w:r>
          </w:p>
        </w:tc>
      </w:tr>
    </w:tbl>
    <w:p>
      <w:pPr>
        <w:spacing w:after="0"/>
      </w:pPr>
    </w:p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Identity &amp; derivation</w:t>
      </w:r>
      <w:r>
        <w:rPr>
          <w:color w:val="6E6E73"/>
          <w:sz w:val="17"/>
        </w:rPr>
        <w:t xml:space="preserve">  exact identity and relationship are different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3 · Exact dedup</w:t>
            </w:r>
            <w:r>
              <w:rPr>
                <w:color w:val="6E6E73"/>
                <w:sz w:val="14"/>
              </w:rPr>
              <w:br/>
              <w:t>content-hash identity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↙                              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Known bytes → inspect derivations</w:t>
            </w:r>
            <w:r>
              <w:rPr>
                <w:color w:val="6E6E73"/>
                <w:sz w:val="14"/>
              </w:rPr>
              <w:br/>
              <w:t>reuse only version-compatible parser/chunk/embed artifacts</w:t>
            </w:r>
          </w:p>
        </w:tc>
        <w:tc>
          <w:tcPr>
            <w:tcW w:type="dxa" w:w="7128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6"/>
              </w:rPr>
              <w:t>New bytes → DEEP parse</w:t>
            </w:r>
            <w:r>
              <w:rPr>
                <w:color w:val="6E6E73"/>
                <w:sz w:val="14"/>
              </w:rPr>
              <w:br/>
              <w:t>versioned parse artifact · coordinates preserved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↘                              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7"/>
              </w:rPr>
              <w:t>4 · Version / relationship detection</w:t>
            </w:r>
            <w:r>
              <w:rPr>
                <w:color w:val="6E6E73"/>
                <w:sz w:val="14"/>
              </w:rPr>
              <w:br/>
              <w:t>similarity may propose a logical-document link; it never asserts byte identity</w:t>
            </w:r>
          </w:p>
        </w:tc>
      </w:tr>
    </w:tbl>
    <w:p>
      <w:pPr>
        <w:spacing w:before="20" w:after="20"/>
        <w:jc w:val="center"/>
      </w:pPr>
      <w:r>
        <w:rPr>
          <w:color w:val="6E6E73"/>
          <w:sz w:val="28"/>
        </w:rPr>
        <w:t>↓</w:t>
      </w:r>
    </w:p>
    <w:p>
      <w:pPr>
        <w:spacing w:before="60" w:after="100"/>
      </w:pPr>
      <w:r>
        <w:rPr>
          <w:b/>
          <w:color w:val="1D1D1F"/>
          <w:sz w:val="20"/>
        </w:rPr>
        <w:t>Enrichment &amp; publication</w:t>
      </w:r>
      <w:r>
        <w:rPr>
          <w:color w:val="6E6E73"/>
          <w:sz w:val="17"/>
        </w:rPr>
        <w:t xml:space="preserve">  derived metadata only — never the security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EEEEFB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5856D6"/>
                <w:sz w:val="15"/>
              </w:rPr>
              <w:t>5 · Classify &amp; enrich</w:t>
            </w:r>
            <w:r>
              <w:rPr>
                <w:color w:val="6E6E73"/>
                <w:sz w:val="14"/>
              </w:rPr>
              <w:br/>
              <w:t>one LLM routing call · low confidence fails loud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6 · Chunk &amp; embed</w:t>
            </w:r>
            <w:r>
              <w:rPr>
                <w:color w:val="6E6E73"/>
                <w:sz w:val="14"/>
              </w:rPr>
              <w:br/>
              <w:t>versioned strategies in lineage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20"/>
              </w:rPr>
              <w:t>→</w:t>
            </w:r>
          </w:p>
        </w:tc>
        <w:tc>
          <w:tcPr>
            <w:tcW w:type="dxa" w:w="2851"/>
            <w:shd w:fill="F2F2F4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6E6E73"/>
                <w:sz w:val="15"/>
              </w:rPr>
              <w:t>7 · Publish to VEGA + Hive</w:t>
            </w:r>
            <w:r>
              <w:rPr>
                <w:color w:val="6E6E73"/>
                <w:sz w:val="14"/>
              </w:rPr>
              <w:br/>
              <w:t>tenant + access tags carried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2F2F4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Instruction-like content: trust flag, not quarantine</w:t>
            </w:r>
            <w:r>
              <w:br/>
              <w:t>Legitimate evidence stays retrievable with heightened context-firewall treatment. Suspicious text alone never suppresses the document.</w:t>
            </w:r>
          </w:p>
        </w:tc>
      </w:tr>
    </w:tbl>
    <w:p>
      <w:pPr>
        <w:spacing w:after="0"/>
      </w:pPr>
    </w:p>
    <w:p>
      <w:pPr>
        <w:sectPr>
          <w:footerReference w:type="default" r:id="rId15"/>
          <w:pgSz w:w="15840" w:h="12240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8. Data model — key objects</w:t>
      </w:r>
    </w:p>
    <w:p>
      <w:r>
        <w:rPr>
          <w:color w:val="6E6E73"/>
        </w:rPr>
        <w:t>The review layer references, never copies. Evidence remains immutable; workflow and judgment state remain reconstructible.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EvidenceRef</w:t>
            </w:r>
          </w:p>
          <w:p>
            <w:r>
              <w:rPr>
                <w:rFonts w:ascii="Aptos" w:hAnsi="Aptos"/>
                <w:color w:val="6E6E73"/>
                <w:sz w:val="16"/>
              </w:rPr>
              <w:t>document_id version_id content_hash page coordinates text_span? table_id? row/column header_path? unit reporting_period verbatim_value</w:t>
            </w:r>
          </w:p>
          <w:p>
            <w:r>
              <w:rPr>
                <w:sz w:val="17"/>
              </w:rPr>
              <w:t>Table-aware: a covenant ratio traces to the cell, not the page. Roadmap: polymorphic refs incl. derived evidence (source refs + versioned transformation).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ReviewEvidenceSnapshot</w:t>
            </w:r>
          </w:p>
          <w:p>
            <w:r>
              <w:rPr>
                <w:rFonts w:ascii="Aptos" w:hAnsi="Aptos"/>
                <w:color w:val="6E6E73"/>
                <w:sz w:val="16"/>
              </w:rPr>
              <w:t>snapshot_id snapshot_version supersedes_snapshot_id? change_reason? added/removed_documents[] documents[] + standards/question_set/taxonomy/retrieval_config versions</w:t>
            </w:r>
          </w:p>
          <w:p>
            <w:r>
              <w:rPr>
                <w:sz w:val="17"/>
              </w:rPr>
              <w:t>Superseded, never mutated. Immutable means reconstructible, not closed to new evidence.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WorkflowState</w:t>
            </w:r>
          </w:p>
          <w:p>
            <w:r>
              <w:rPr>
                <w:rFonts w:ascii="Aptos" w:hAnsi="Aptos"/>
                <w:color w:val="6E6E73"/>
                <w:sz w:val="16"/>
              </w:rPr>
              <w:t>review_execution_id authorization_context (subject · tenant · workflow · stage · agent) snapshot_id planner artifact worker task states interrupt state execution status</w:t>
            </w:r>
          </w:p>
          <w:p>
            <w:r>
              <w:rPr>
                <w:sz w:val="17"/>
              </w:rPr>
              <w:t>authorization_context holds the inputs to live entitlement resolution — never a cached decision. Distinct store from audit.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AuthorizationDecision</w:t>
            </w:r>
          </w:p>
          <w:p>
            <w:r>
              <w:rPr>
                <w:rFonts w:ascii="Aptos" w:hAnsi="Aptos"/>
                <w:color w:val="6E6E73"/>
                <w:sz w:val="16"/>
              </w:rPr>
              <w:t>decision_id timestamp subject agent purpose stage policy_version entitlement_version result</w:t>
            </w:r>
          </w:p>
          <w:p>
            <w:r>
              <w:rPr>
                <w:sz w:val="17"/>
              </w:rPr>
              <w:t>Audit-side, one per governed capability invocation. Historical decisions live here — never in workflow state.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AgentManifest</w:t>
            </w:r>
          </w:p>
          <w:p>
            <w:r>
              <w:rPr>
                <w:rFonts w:ascii="Aptos" w:hAnsi="Aptos"/>
                <w:color w:val="6E6E73"/>
                <w:sz w:val="16"/>
              </w:rPr>
              <w:t>model (provider · family · snapshot · deployment) prompt hash tool manifest context policy output schema guardrails evaluation profile</w:t>
              <w:br/>
              <w:t>all versioned</w:t>
            </w:r>
          </w:p>
          <w:p>
            <w:r>
              <w:rPr>
                <w:sz w:val="17"/>
              </w:rPr>
              <w:t>Any manifest change is a new agent. Skill and configuration versions are pinned; promotion never mutates a running agent.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ChallengeArtifact + ChallengePolicy</w:t>
            </w:r>
          </w:p>
          <w:p>
            <w:r>
              <w:rPr>
                <w:rFonts w:ascii="Aptos" w:hAnsi="Aptos"/>
                <w:color w:val="6E6E73"/>
                <w:sz w:val="16"/>
              </w:rPr>
              <w:t>original position strongest counter-position counter-evidence[] unresolved assumptions[] materiality outcome · policy: examination_required: true permitted_outcomes[]</w:t>
            </w:r>
          </w:p>
          <w:p>
            <w:r>
              <w:rPr>
                <w:sz w:val="17"/>
              </w:rPr>
              <w:t>Examination is architecture; the permitted outcome set is methodology configuration per tenant.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CrossSectionFinding</w:t>
            </w:r>
          </w:p>
          <w:p>
            <w:r>
              <w:rPr>
                <w:rFonts w:ascii="Aptos" w:hAnsi="Aptos"/>
                <w:color w:val="6E6E73"/>
                <w:sz w:val="16"/>
              </w:rPr>
              <w:t>sections[] issue type conflicting statements evidence refs severity resolution status</w:t>
            </w:r>
          </w:p>
          <w:p>
            <w:r>
              <w:rPr>
                <w:sz w:val="17"/>
              </w:rPr>
              <w:t>Surfaces contradictions to the human; never rewrites sections into consensus.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EvaluatorArtifact</w:t>
            </w:r>
          </w:p>
          <w:p>
            <w:r>
              <w:rPr>
                <w:rFonts w:ascii="Aptos" w:hAnsi="Aptos"/>
                <w:color w:val="6E6E73"/>
                <w:sz w:val="16"/>
              </w:rPr>
              <w:t>evaluator manifest input_artifact_hash evaluation profile timestamp scores flags rationale</w:t>
            </w:r>
          </w:p>
          <w:p>
            <w:r>
              <w:rPr>
                <w:sz w:val="17"/>
              </w:rPr>
              <w:t>Evaluator outputs get the same lineage as what they evaluate — an unattributed flag is unusable evidence about the system's own behavior.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Learnings store → promotion pipeline</w:t>
            </w:r>
          </w:p>
          <w:p>
            <w:r>
              <w:rPr>
                <w:rFonts w:ascii="Aptos" w:hAnsi="Aptos"/>
                <w:color w:val="6E6E73"/>
                <w:sz w:val="16"/>
              </w:rPr>
              <w:t>reviewer artifacts (respond · adjust · clear · rulings) → candidates → reviewed, versioned promotion → config lane → reversion available</w:t>
            </w:r>
          </w:p>
          <w:p>
            <w:r>
              <w:rPr>
                <w:sz w:val="17"/>
              </w:rPr>
              <w:t>Probabilistic candidates, deterministic deployment. Promotion is the only path from memory to behavior.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FFF"/>
            <w:tcBorders>
              <w:top w:val="single" w:sz="6" w:color="D2D2D7"/>
              <w:left w:val="single" w:sz="6" w:color="D2D2D7"/>
              <w:bottom w:val="single" w:sz="6" w:color="D2D2D7"/>
              <w:right w:val="single" w:sz="6" w:color="D2D2D7"/>
              <w:insideH w:val="single" w:sz="6" w:color="D2D2D7"/>
              <w:insideV w:val="single" w:sz="6" w:color="D2D2D7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D1D1F"/>
                <w:sz w:val="21"/>
              </w:rPr>
              <w:t>Derivation lineage</w:t>
            </w:r>
          </w:p>
          <w:p>
            <w:r>
              <w:rPr>
                <w:rFonts w:ascii="Aptos" w:hAnsi="Aptos"/>
                <w:color w:val="6E6E73"/>
                <w:sz w:val="16"/>
              </w:rPr>
              <w:t>raw hash → parser vN → parse artifact → correction-set vN → chunking vN → embedding vN → index vN → retrieval config vN</w:t>
            </w:r>
          </w:p>
          <w:p>
            <w:r>
              <w:rPr>
                <w:sz w:val="17"/>
              </w:rPr>
              <w:t>Retrieval changes alter results as materially as model changes and are versioned identically.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Execution and change governance</w:t>
      </w:r>
    </w:p>
    <w:p>
      <w:pPr>
        <w:pStyle w:val="Heading2"/>
      </w:pPr>
      <w:r>
        <w:t>Execution-engine requirements</w:t>
      </w:r>
    </w:p>
    <w:p>
      <w:r>
        <w:t>The architecture is vendor-neutral. LangGraph is a reference fit, not an architectural dependency. The selected engine must provide:</w:t>
      </w:r>
    </w:p>
    <w:p>
      <w:pPr>
        <w:pStyle w:val="ListBullet"/>
      </w:pPr>
      <w:r>
        <w:t>Durable workflow state and checkpointing.</w:t>
      </w:r>
    </w:p>
    <w:p>
      <w:pPr>
        <w:pStyle w:val="ListBullet"/>
      </w:pPr>
      <w:r>
        <w:t>Deterministic legal state transitions owned by the engine.</w:t>
      </w:r>
    </w:p>
    <w:p>
      <w:pPr>
        <w:pStyle w:val="ListBullet"/>
      </w:pPr>
      <w:r>
        <w:t>Fan-out/fan-in with per-branch failure isolation.</w:t>
      </w:r>
    </w:p>
    <w:p>
      <w:pPr>
        <w:pStyle w:val="ListBullet"/>
      </w:pPr>
      <w:r>
        <w:t>Durable human-in-the-loop interrupts with structured resume outcomes.</w:t>
      </w:r>
    </w:p>
    <w:p>
      <w:pPr>
        <w:pStyle w:val="ListBullet"/>
      </w:pPr>
      <w:r>
        <w:t>Defined retry/failure semantics.</w:t>
      </w:r>
    </w:p>
    <w:p>
      <w:pPr>
        <w:pStyle w:val="ListBullet"/>
      </w:pPr>
      <w:r>
        <w:t>Idempotent replay and side-effect handling.</w:t>
      </w:r>
    </w:p>
    <w:p>
      <w:pPr>
        <w:pStyle w:val="ListBullet"/>
      </w:pPr>
      <w:r>
        <w:t>Resume without repeating completed work.</w:t>
      </w:r>
    </w:p>
    <w:p>
      <w:pPr>
        <w:pStyle w:val="Heading2"/>
      </w:pPr>
      <w:r>
        <w:t>Behavioral change gate</w:t>
      </w:r>
    </w:p>
    <w:p>
      <w:r>
        <w:t>Models, prompts, parsers, chunking, embeddings, retrieval configuration, taxonomies, context policies, schemas, and guardrails change only through the reference-corpus regression gate. Any manifest change creates a new agent version.</w:t>
      </w:r>
    </w:p>
    <w:p>
      <w:pPr>
        <w:pStyle w:val="Heading2"/>
      </w:pPr>
      <w:r>
        <w:t>Derivation lineage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5F7"/>
            <w:tcBorders>
              <w:top w:val="single" w:sz="6" w:color="0071E3"/>
              <w:left w:val="single" w:sz="6" w:color="0071E3"/>
              <w:bottom w:val="single" w:sz="6" w:color="0071E3"/>
              <w:right w:val="single" w:sz="6" w:color="0071E3"/>
              <w:insideH w:val="single" w:sz="6" w:color="0071E3"/>
              <w:insideV w:val="single" w:sz="6" w:color="0071E3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071E3"/>
              </w:rPr>
              <w:t>Processing lineage</w:t>
            </w:r>
            <w:r>
              <w:br/>
              <w:t>raw hash → parser vN → parse artifact → correction-set vN → chunking vN → embedding vN → index vN → retrieval config vN</w:t>
            </w:r>
          </w:p>
        </w:tc>
      </w:tr>
    </w:tbl>
    <w:p>
      <w:pPr>
        <w:spacing w:after="0"/>
      </w:pPr>
    </w:p>
    <w:p>
      <w:pPr>
        <w:pStyle w:val="Heading1"/>
      </w:pPr>
      <w:r>
        <w:t>10.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3389"/>
            <w:shd w:fill="F5F5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Question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Execution engine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Platform / IT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Which approved engine satisfies the durable execution contract and who operates it?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Challenge outcome set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CRR methodology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May a challenge conclude no material challenge identified if examination and rationale are documented?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Revocation propagation SLO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/ Platform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How quickly must upstream entitlement changes reach retrieval enforcement?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Two-pass blind challenge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Evaluation / CRR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Does blind-then-compare reduce anchoring enough to justify latency/cost?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Cross-section severity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CRR methodology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Which tensions require mandatory human attention?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Withheld-metadata visibility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/ Governance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Who may see security-audit truth versus ordinary user provenance?</w:t>
            </w:r>
          </w:p>
        </w:tc>
      </w:tr>
      <w:tr>
        <w:trPr>
          <w:cantSplit/>
        </w:trPr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Taxonomy governance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Business / Data governance</w:t>
            </w:r>
          </w:p>
        </w:tc>
        <w:tc>
          <w:tcPr>
            <w:tcW w:type="dxa" w:w="338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Who owns versioned vocabularies and document-type taxonomy deployment?</w:t>
            </w:r>
          </w:p>
        </w:tc>
      </w:tr>
    </w:tbl>
    <w:sectPr w:rsidR="00FC693F" w:rsidRPr="0006063C" w:rsidSect="00034616">
      <w:footerReference w:type="default" r:id="rId1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73"/>
        <w:sz w:val="15"/>
      </w:rPr>
      <w:t>Sentinel Architecture V2.1 — Working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1D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71E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D1D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D1D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ptos" w:hAnsi="Aptos"/>
      <w:b/>
      <w:color w:val="6E6E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Architecture V2.1 — Working Design Document</dc:title>
  <dc:subject>Governed AI execution platform for credit review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