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B4A" w:rsidRPr="00002B4A" w:rsidRDefault="00002B4A" w:rsidP="00803DA0">
      <w:pPr>
        <w:spacing w:after="150" w:line="240" w:lineRule="auto"/>
        <w:jc w:val="both"/>
        <w:rPr>
          <w:rFonts w:ascii="Times New Roman" w:eastAsia="Times New Roman" w:hAnsi="Times New Roman" w:cs="Times New Roman"/>
          <w:b/>
          <w:bCs/>
          <w:color w:val="000000"/>
          <w:sz w:val="32"/>
          <w:szCs w:val="32"/>
          <w:u w:val="single"/>
        </w:rPr>
      </w:pPr>
      <w:r w:rsidRPr="00002B4A">
        <w:rPr>
          <w:rFonts w:ascii="Times New Roman" w:eastAsia="Times New Roman" w:hAnsi="Times New Roman" w:cs="Times New Roman"/>
          <w:b/>
          <w:bCs/>
          <w:color w:val="000000"/>
          <w:sz w:val="32"/>
          <w:szCs w:val="32"/>
          <w:u w:val="single"/>
        </w:rPr>
        <w:t>Hiral P. Harsora And Ors vs Kusum Narottamdas Harsora And Ors</w:t>
      </w:r>
    </w:p>
    <w:p w:rsidR="00757201" w:rsidRDefault="00757201" w:rsidP="00803DA0">
      <w:pPr>
        <w:spacing w:line="240" w:lineRule="auto"/>
        <w:jc w:val="both"/>
      </w:pPr>
    </w:p>
    <w:p w:rsidR="00002B4A" w:rsidRPr="00D5054B" w:rsidRDefault="00002B4A" w:rsidP="00803DA0">
      <w:pPr>
        <w:spacing w:line="240" w:lineRule="auto"/>
        <w:jc w:val="both"/>
        <w:rPr>
          <w:rFonts w:ascii="Times New Roman" w:hAnsi="Times New Roman" w:cs="Times New Roman"/>
          <w:sz w:val="28"/>
          <w:szCs w:val="28"/>
          <w:u w:val="single"/>
        </w:rPr>
      </w:pPr>
      <w:r w:rsidRPr="00D5054B">
        <w:rPr>
          <w:rFonts w:ascii="Times New Roman" w:hAnsi="Times New Roman" w:cs="Times New Roman"/>
          <w:sz w:val="28"/>
          <w:szCs w:val="28"/>
          <w:u w:val="single"/>
        </w:rPr>
        <w:t>Brief Facts of the Case</w:t>
      </w:r>
    </w:p>
    <w:p w:rsidR="00002B4A" w:rsidRPr="00BC6682" w:rsidRDefault="00D5054B" w:rsidP="00803DA0">
      <w:pPr>
        <w:pStyle w:val="ListParagraph"/>
        <w:numPr>
          <w:ilvl w:val="0"/>
          <w:numId w:val="1"/>
        </w:numPr>
        <w:spacing w:line="240" w:lineRule="auto"/>
        <w:jc w:val="both"/>
        <w:rPr>
          <w:rFonts w:ascii="Times New Roman" w:hAnsi="Times New Roman" w:cs="Times New Roman"/>
          <w:sz w:val="26"/>
          <w:szCs w:val="26"/>
          <w:u w:val="single"/>
        </w:rPr>
      </w:pPr>
      <w:r w:rsidRPr="00BC6682">
        <w:rPr>
          <w:rFonts w:ascii="Times New Roman" w:hAnsi="Times New Roman" w:cs="Times New Roman"/>
          <w:color w:val="000000"/>
          <w:sz w:val="26"/>
          <w:szCs w:val="26"/>
          <w:shd w:val="clear" w:color="auto" w:fill="FFFFFF"/>
        </w:rPr>
        <w:t>The present appeal arises out of a judgment dated 25.9.2014 of a Division Bench of the Bombay High Court.</w:t>
      </w:r>
    </w:p>
    <w:p w:rsidR="00D5054B" w:rsidRPr="00BC6682" w:rsidRDefault="00D5054B" w:rsidP="00803DA0">
      <w:pPr>
        <w:pStyle w:val="ListParagraph"/>
        <w:numPr>
          <w:ilvl w:val="0"/>
          <w:numId w:val="1"/>
        </w:numPr>
        <w:spacing w:line="240" w:lineRule="auto"/>
        <w:jc w:val="both"/>
        <w:rPr>
          <w:rFonts w:ascii="Times New Roman" w:hAnsi="Times New Roman" w:cs="Times New Roman"/>
          <w:sz w:val="26"/>
          <w:szCs w:val="26"/>
          <w:u w:val="single"/>
        </w:rPr>
      </w:pPr>
      <w:r w:rsidRPr="00BC6682">
        <w:rPr>
          <w:rFonts w:ascii="Times New Roman" w:hAnsi="Times New Roman" w:cs="Times New Roman"/>
          <w:color w:val="000000"/>
          <w:sz w:val="26"/>
          <w:szCs w:val="26"/>
          <w:shd w:val="clear" w:color="auto" w:fill="FFFFFF"/>
        </w:rPr>
        <w:t>Here on 3.4.2007, Kusum Narottam Harsora and her mother Pushpa Narottam Harsora filed a complaint under the 2005 Act against their brother/son</w:t>
      </w:r>
      <w:r w:rsidR="00D81F09" w:rsidRPr="00BC6682">
        <w:rPr>
          <w:rFonts w:ascii="Times New Roman" w:hAnsi="Times New Roman" w:cs="Times New Roman"/>
          <w:color w:val="000000"/>
          <w:sz w:val="26"/>
          <w:szCs w:val="26"/>
          <w:shd w:val="clear" w:color="auto" w:fill="FFFFFF"/>
        </w:rPr>
        <w:t>, his wife</w:t>
      </w:r>
      <w:r w:rsidRPr="00BC6682">
        <w:rPr>
          <w:rFonts w:ascii="Times New Roman" w:hAnsi="Times New Roman" w:cs="Times New Roman"/>
          <w:color w:val="000000"/>
          <w:sz w:val="26"/>
          <w:szCs w:val="26"/>
          <w:shd w:val="clear" w:color="auto" w:fill="FFFFFF"/>
        </w:rPr>
        <w:t xml:space="preserve"> and two sisters/daughters, alleging various acts of violence against them. No action was taken on the fresh complaint</w:t>
      </w:r>
      <w:r w:rsidR="00AC5804">
        <w:rPr>
          <w:rFonts w:ascii="Times New Roman" w:hAnsi="Times New Roman" w:cs="Times New Roman"/>
          <w:color w:val="000000"/>
          <w:sz w:val="26"/>
          <w:szCs w:val="26"/>
          <w:shd w:val="clear" w:color="auto" w:fill="FFFFFF"/>
        </w:rPr>
        <w:t>s that were filed subsequently. N</w:t>
      </w:r>
      <w:r w:rsidRPr="00BC6682">
        <w:rPr>
          <w:rFonts w:ascii="Times New Roman" w:hAnsi="Times New Roman" w:cs="Times New Roman"/>
          <w:color w:val="000000"/>
          <w:sz w:val="26"/>
          <w:szCs w:val="26"/>
          <w:shd w:val="clear" w:color="auto" w:fill="FFFFFF"/>
        </w:rPr>
        <w:t>othing happened for a period of three years till both of the complainants filed separate complaints in October, 2010.</w:t>
      </w:r>
    </w:p>
    <w:p w:rsidR="00D5054B" w:rsidRPr="00BC6682" w:rsidRDefault="00D5054B" w:rsidP="00803DA0">
      <w:pPr>
        <w:pStyle w:val="ListParagraph"/>
        <w:numPr>
          <w:ilvl w:val="0"/>
          <w:numId w:val="1"/>
        </w:numPr>
        <w:spacing w:line="240" w:lineRule="auto"/>
        <w:jc w:val="both"/>
        <w:rPr>
          <w:rFonts w:ascii="Times New Roman" w:hAnsi="Times New Roman" w:cs="Times New Roman"/>
          <w:sz w:val="26"/>
          <w:szCs w:val="26"/>
        </w:rPr>
      </w:pPr>
      <w:r w:rsidRPr="00BC6682">
        <w:rPr>
          <w:rFonts w:ascii="Times New Roman" w:hAnsi="Times New Roman" w:cs="Times New Roman"/>
          <w:sz w:val="26"/>
          <w:szCs w:val="26"/>
          <w:shd w:val="clear" w:color="auto" w:fill="FFFFFF"/>
        </w:rPr>
        <w:t xml:space="preserve">The main </w:t>
      </w:r>
      <w:r w:rsidR="00AC5804">
        <w:rPr>
          <w:rFonts w:ascii="Times New Roman" w:hAnsi="Times New Roman" w:cs="Times New Roman"/>
          <w:sz w:val="26"/>
          <w:szCs w:val="26"/>
          <w:shd w:val="clear" w:color="auto" w:fill="FFFFFF"/>
        </w:rPr>
        <w:t xml:space="preserve">issue </w:t>
      </w:r>
      <w:r w:rsidRPr="00BC6682">
        <w:rPr>
          <w:rFonts w:ascii="Times New Roman" w:hAnsi="Times New Roman" w:cs="Times New Roman"/>
          <w:sz w:val="26"/>
          <w:szCs w:val="26"/>
          <w:shd w:val="clear" w:color="auto" w:fill="FFFFFF"/>
        </w:rPr>
        <w:t>here was the interpretation of</w:t>
      </w:r>
      <w:r w:rsidR="00D81F09" w:rsidRPr="00BC6682">
        <w:rPr>
          <w:rFonts w:ascii="Times New Roman" w:hAnsi="Times New Roman" w:cs="Times New Roman"/>
          <w:sz w:val="26"/>
          <w:szCs w:val="26"/>
          <w:shd w:val="clear" w:color="auto" w:fill="FFFFFF"/>
        </w:rPr>
        <w:t xml:space="preserve"> a</w:t>
      </w:r>
      <w:r w:rsidR="00AC5804">
        <w:rPr>
          <w:rFonts w:ascii="Times New Roman" w:hAnsi="Times New Roman" w:cs="Times New Roman"/>
          <w:sz w:val="26"/>
          <w:szCs w:val="26"/>
          <w:shd w:val="clear" w:color="auto" w:fill="FFFFFF"/>
        </w:rPr>
        <w:t xml:space="preserve"> section 2(q) </w:t>
      </w:r>
      <w:r w:rsidRPr="00BC6682">
        <w:rPr>
          <w:rFonts w:ascii="Times New Roman" w:hAnsi="Times New Roman" w:cs="Times New Roman"/>
          <w:sz w:val="26"/>
          <w:szCs w:val="26"/>
          <w:shd w:val="clear" w:color="auto" w:fill="FFFFFF"/>
        </w:rPr>
        <w:t xml:space="preserve">of the </w:t>
      </w:r>
      <w:r w:rsidRPr="00BC6682">
        <w:rPr>
          <w:rFonts w:ascii="Times New Roman" w:hAnsi="Times New Roman" w:cs="Times New Roman"/>
          <w:sz w:val="26"/>
          <w:szCs w:val="26"/>
        </w:rPr>
        <w:t>Protection of Women from </w:t>
      </w:r>
      <w:hyperlink r:id="rId8" w:history="1">
        <w:r w:rsidRPr="00BC6682">
          <w:rPr>
            <w:rStyle w:val="Hyperlink"/>
            <w:rFonts w:ascii="Times New Roman" w:hAnsi="Times New Roman" w:cs="Times New Roman"/>
            <w:color w:val="auto"/>
            <w:sz w:val="26"/>
            <w:szCs w:val="26"/>
            <w:u w:val="none"/>
          </w:rPr>
          <w:t>Domestic Violence Act</w:t>
        </w:r>
      </w:hyperlink>
      <w:r w:rsidRPr="00BC6682">
        <w:rPr>
          <w:rFonts w:ascii="Times New Roman" w:hAnsi="Times New Roman" w:cs="Times New Roman"/>
          <w:sz w:val="26"/>
          <w:szCs w:val="26"/>
        </w:rPr>
        <w:t>, 2005, (hereinafter referred to as “the DV Act”).</w:t>
      </w:r>
      <w:r w:rsidR="00D81F09" w:rsidRPr="00BC6682">
        <w:rPr>
          <w:rFonts w:ascii="Times New Roman" w:hAnsi="Times New Roman" w:cs="Times New Roman"/>
          <w:sz w:val="26"/>
          <w:szCs w:val="26"/>
        </w:rPr>
        <w:t xml:space="preserve"> The particular section defined </w:t>
      </w:r>
      <w:r w:rsidR="00D81F09" w:rsidRPr="00BC6682">
        <w:rPr>
          <w:rFonts w:ascii="Times New Roman" w:hAnsi="Times New Roman" w:cs="Times New Roman"/>
          <w:sz w:val="26"/>
          <w:szCs w:val="26"/>
          <w:shd w:val="clear" w:color="auto" w:fill="FFFFFF"/>
        </w:rPr>
        <w:t>the term “respondents” for the purpose of this act.</w:t>
      </w:r>
    </w:p>
    <w:p w:rsidR="00D5054B" w:rsidRPr="00BC6682" w:rsidRDefault="00D5054B" w:rsidP="00803DA0">
      <w:pPr>
        <w:pStyle w:val="ListParagraph"/>
        <w:numPr>
          <w:ilvl w:val="0"/>
          <w:numId w:val="1"/>
        </w:numPr>
        <w:spacing w:line="240" w:lineRule="auto"/>
        <w:jc w:val="both"/>
        <w:rPr>
          <w:rFonts w:ascii="Times New Roman" w:hAnsi="Times New Roman" w:cs="Times New Roman"/>
          <w:sz w:val="26"/>
          <w:szCs w:val="26"/>
          <w:u w:val="single"/>
        </w:rPr>
      </w:pPr>
      <w:r w:rsidRPr="00BC6682">
        <w:rPr>
          <w:rFonts w:ascii="Times New Roman" w:hAnsi="Times New Roman" w:cs="Times New Roman"/>
          <w:sz w:val="26"/>
          <w:szCs w:val="26"/>
        </w:rPr>
        <w:t xml:space="preserve">The Bombay High Court construed the provision in its literal sense and discharged </w:t>
      </w:r>
      <w:r w:rsidR="00D81F09" w:rsidRPr="00BC6682">
        <w:rPr>
          <w:rFonts w:ascii="Times New Roman" w:hAnsi="Times New Roman" w:cs="Times New Roman"/>
          <w:sz w:val="26"/>
          <w:szCs w:val="26"/>
        </w:rPr>
        <w:t xml:space="preserve">the three female respondents from the complaint, as they concluded that the complaint could be filed </w:t>
      </w:r>
      <w:r w:rsidR="00D81F09" w:rsidRPr="00BC6682">
        <w:rPr>
          <w:rFonts w:ascii="Times New Roman" w:hAnsi="Times New Roman" w:cs="Times New Roman"/>
          <w:color w:val="000000"/>
          <w:sz w:val="26"/>
          <w:szCs w:val="26"/>
          <w:shd w:val="clear" w:color="auto" w:fill="FFFFFF"/>
        </w:rPr>
        <w:t>only against an “adult male person”.</w:t>
      </w:r>
    </w:p>
    <w:p w:rsidR="00D81F09" w:rsidRPr="00BC6682" w:rsidRDefault="00D81F09" w:rsidP="00803DA0">
      <w:pPr>
        <w:pStyle w:val="ListParagraph"/>
        <w:numPr>
          <w:ilvl w:val="0"/>
          <w:numId w:val="1"/>
        </w:numPr>
        <w:spacing w:line="240" w:lineRule="auto"/>
        <w:jc w:val="both"/>
        <w:rPr>
          <w:rFonts w:ascii="Times New Roman" w:hAnsi="Times New Roman" w:cs="Times New Roman"/>
          <w:sz w:val="26"/>
          <w:szCs w:val="26"/>
          <w:u w:val="single"/>
        </w:rPr>
      </w:pPr>
      <w:r w:rsidRPr="00BC6682">
        <w:rPr>
          <w:rFonts w:ascii="Times New Roman" w:hAnsi="Times New Roman" w:cs="Times New Roman"/>
          <w:color w:val="000000"/>
          <w:sz w:val="26"/>
          <w:szCs w:val="26"/>
          <w:shd w:val="clear" w:color="auto" w:fill="FFFFFF"/>
        </w:rPr>
        <w:t>The present case deals with the writ petition filed by the mother and daughter duo in which the constitutional validity of </w:t>
      </w:r>
      <w:hyperlink r:id="rId9" w:history="1">
        <w:r w:rsidRPr="00BC6682">
          <w:rPr>
            <w:rStyle w:val="Hyperlink"/>
            <w:rFonts w:ascii="Times New Roman" w:hAnsi="Times New Roman" w:cs="Times New Roman"/>
            <w:color w:val="1100CC"/>
            <w:sz w:val="26"/>
            <w:szCs w:val="26"/>
            <w:shd w:val="clear" w:color="auto" w:fill="FFFFFF"/>
          </w:rPr>
          <w:t>Section 2(q)</w:t>
        </w:r>
      </w:hyperlink>
      <w:r w:rsidRPr="00BC6682">
        <w:rPr>
          <w:rFonts w:ascii="Times New Roman" w:hAnsi="Times New Roman" w:cs="Times New Roman"/>
          <w:color w:val="000000"/>
          <w:sz w:val="26"/>
          <w:szCs w:val="26"/>
          <w:shd w:val="clear" w:color="auto" w:fill="FFFFFF"/>
        </w:rPr>
        <w:t> has been challenged, with no prayer seeking any interference with the order given in their previous case.</w:t>
      </w:r>
    </w:p>
    <w:p w:rsidR="00D81F09" w:rsidRPr="00BC6682" w:rsidRDefault="00D81F09" w:rsidP="00803DA0">
      <w:pPr>
        <w:pStyle w:val="ListParagraph"/>
        <w:spacing w:line="240" w:lineRule="auto"/>
        <w:jc w:val="both"/>
        <w:rPr>
          <w:rFonts w:ascii="Times New Roman" w:hAnsi="Times New Roman" w:cs="Times New Roman"/>
          <w:sz w:val="26"/>
          <w:szCs w:val="26"/>
          <w:u w:val="single"/>
        </w:rPr>
      </w:pPr>
    </w:p>
    <w:p w:rsidR="00D81F09" w:rsidRDefault="00D81F09" w:rsidP="00803DA0">
      <w:pPr>
        <w:spacing w:line="240" w:lineRule="auto"/>
        <w:jc w:val="both"/>
        <w:rPr>
          <w:rFonts w:ascii="Times New Roman" w:hAnsi="Times New Roman" w:cs="Times New Roman"/>
          <w:sz w:val="28"/>
          <w:szCs w:val="28"/>
          <w:u w:val="single"/>
        </w:rPr>
      </w:pPr>
      <w:r w:rsidRPr="00D81F09">
        <w:rPr>
          <w:rFonts w:ascii="Times New Roman" w:hAnsi="Times New Roman" w:cs="Times New Roman"/>
          <w:sz w:val="28"/>
          <w:szCs w:val="28"/>
          <w:u w:val="single"/>
        </w:rPr>
        <w:t>Issues before the court</w:t>
      </w:r>
    </w:p>
    <w:p w:rsidR="00D81F09" w:rsidRPr="00D81F09" w:rsidRDefault="002E5A43" w:rsidP="00803DA0">
      <w:pPr>
        <w:pStyle w:val="ListParagraph"/>
        <w:numPr>
          <w:ilvl w:val="0"/>
          <w:numId w:val="2"/>
        </w:numPr>
        <w:spacing w:line="240" w:lineRule="auto"/>
        <w:jc w:val="both"/>
        <w:rPr>
          <w:rFonts w:ascii="Times New Roman" w:hAnsi="Times New Roman" w:cs="Times New Roman"/>
          <w:sz w:val="26"/>
          <w:szCs w:val="26"/>
          <w:u w:val="single"/>
        </w:rPr>
      </w:pPr>
      <w:r>
        <w:rPr>
          <w:rFonts w:ascii="Times New Roman" w:hAnsi="Times New Roman" w:cs="Times New Roman"/>
          <w:sz w:val="26"/>
          <w:szCs w:val="26"/>
        </w:rPr>
        <w:t>Whether S</w:t>
      </w:r>
      <w:r w:rsidR="00D81F09" w:rsidRPr="00D81F09">
        <w:rPr>
          <w:rFonts w:ascii="Times New Roman" w:hAnsi="Times New Roman" w:cs="Times New Roman"/>
          <w:sz w:val="26"/>
          <w:szCs w:val="26"/>
        </w:rPr>
        <w:t>ection 2(q) of the DV Act</w:t>
      </w:r>
      <w:r>
        <w:rPr>
          <w:rFonts w:ascii="Times New Roman" w:hAnsi="Times New Roman" w:cs="Times New Roman"/>
          <w:sz w:val="26"/>
          <w:szCs w:val="26"/>
        </w:rPr>
        <w:t xml:space="preserve"> violates Article 14 of the Constitution</w:t>
      </w:r>
      <w:r w:rsidR="00D81F09" w:rsidRPr="00D81F09">
        <w:rPr>
          <w:rFonts w:ascii="Times New Roman" w:hAnsi="Times New Roman" w:cs="Times New Roman"/>
          <w:sz w:val="26"/>
          <w:szCs w:val="26"/>
        </w:rPr>
        <w:t>?</w:t>
      </w:r>
    </w:p>
    <w:p w:rsidR="00D81F09" w:rsidRPr="00D81F09" w:rsidRDefault="00D81F09" w:rsidP="00803DA0">
      <w:pPr>
        <w:pStyle w:val="ListParagraph"/>
        <w:numPr>
          <w:ilvl w:val="0"/>
          <w:numId w:val="2"/>
        </w:numPr>
        <w:spacing w:line="240" w:lineRule="auto"/>
        <w:jc w:val="both"/>
        <w:rPr>
          <w:rFonts w:ascii="Times New Roman" w:hAnsi="Times New Roman" w:cs="Times New Roman"/>
          <w:sz w:val="26"/>
          <w:szCs w:val="26"/>
          <w:u w:val="single"/>
        </w:rPr>
      </w:pPr>
      <w:r w:rsidRPr="00D81F09">
        <w:rPr>
          <w:rFonts w:ascii="Times New Roman" w:hAnsi="Times New Roman" w:cs="Times New Roman"/>
          <w:sz w:val="26"/>
          <w:szCs w:val="26"/>
        </w:rPr>
        <w:t>Whether the rest of the DV Act can remain in force if amendments are made in respect of</w:t>
      </w:r>
      <w:r w:rsidR="002E5A43">
        <w:rPr>
          <w:rFonts w:ascii="Times New Roman" w:hAnsi="Times New Roman" w:cs="Times New Roman"/>
          <w:sz w:val="26"/>
          <w:szCs w:val="26"/>
        </w:rPr>
        <w:t xml:space="preserve"> S</w:t>
      </w:r>
      <w:r w:rsidRPr="00D81F09">
        <w:rPr>
          <w:rFonts w:ascii="Times New Roman" w:hAnsi="Times New Roman" w:cs="Times New Roman"/>
          <w:sz w:val="26"/>
          <w:szCs w:val="26"/>
        </w:rPr>
        <w:t>ection 2(q)?</w:t>
      </w:r>
      <w:r w:rsidR="002E5A43">
        <w:rPr>
          <w:rFonts w:ascii="Times New Roman" w:hAnsi="Times New Roman" w:cs="Times New Roman"/>
          <w:sz w:val="26"/>
          <w:szCs w:val="26"/>
        </w:rPr>
        <w:t xml:space="preserve"> </w:t>
      </w:r>
    </w:p>
    <w:p w:rsidR="00D81F09" w:rsidRPr="00D81F09" w:rsidRDefault="00D81F09" w:rsidP="00803DA0">
      <w:pPr>
        <w:pStyle w:val="ListParagraph"/>
        <w:spacing w:line="240" w:lineRule="auto"/>
        <w:jc w:val="both"/>
        <w:rPr>
          <w:rFonts w:ascii="Times New Roman" w:hAnsi="Times New Roman" w:cs="Times New Roman"/>
          <w:sz w:val="28"/>
          <w:szCs w:val="28"/>
          <w:u w:val="single"/>
        </w:rPr>
      </w:pPr>
    </w:p>
    <w:p w:rsidR="00D81F09" w:rsidRDefault="00D81F09" w:rsidP="00803DA0">
      <w:pPr>
        <w:spacing w:line="240" w:lineRule="auto"/>
        <w:jc w:val="both"/>
        <w:rPr>
          <w:rFonts w:ascii="Times New Roman" w:hAnsi="Times New Roman" w:cs="Times New Roman"/>
          <w:sz w:val="28"/>
          <w:szCs w:val="28"/>
          <w:u w:val="single"/>
        </w:rPr>
      </w:pPr>
      <w:r w:rsidRPr="00D81F09">
        <w:rPr>
          <w:rFonts w:ascii="Times New Roman" w:hAnsi="Times New Roman" w:cs="Times New Roman"/>
          <w:sz w:val="28"/>
          <w:szCs w:val="28"/>
          <w:u w:val="single"/>
        </w:rPr>
        <w:t>Ratio of the case</w:t>
      </w:r>
    </w:p>
    <w:p w:rsidR="00613F6F" w:rsidRPr="00BC6682" w:rsidRDefault="00D81F09" w:rsidP="00803DA0">
      <w:pPr>
        <w:pStyle w:val="ListParagraph"/>
        <w:numPr>
          <w:ilvl w:val="0"/>
          <w:numId w:val="3"/>
        </w:numPr>
        <w:spacing w:line="240" w:lineRule="auto"/>
        <w:jc w:val="both"/>
        <w:rPr>
          <w:rFonts w:ascii="Times New Roman" w:hAnsi="Times New Roman" w:cs="Times New Roman"/>
          <w:sz w:val="26"/>
          <w:szCs w:val="26"/>
        </w:rPr>
      </w:pPr>
      <w:r w:rsidRPr="00BC6682">
        <w:rPr>
          <w:rFonts w:ascii="Times New Roman" w:hAnsi="Times New Roman" w:cs="Times New Roman"/>
          <w:sz w:val="26"/>
          <w:szCs w:val="26"/>
        </w:rPr>
        <w:t>The cour</w:t>
      </w:r>
      <w:r w:rsidR="002E5A43" w:rsidRPr="00BC6682">
        <w:rPr>
          <w:rFonts w:ascii="Times New Roman" w:hAnsi="Times New Roman" w:cs="Times New Roman"/>
          <w:sz w:val="26"/>
          <w:szCs w:val="26"/>
        </w:rPr>
        <w:t>t</w:t>
      </w:r>
      <w:r w:rsidRPr="00BC6682">
        <w:rPr>
          <w:rFonts w:ascii="Times New Roman" w:hAnsi="Times New Roman" w:cs="Times New Roman"/>
          <w:sz w:val="26"/>
          <w:szCs w:val="26"/>
        </w:rPr>
        <w:t xml:space="preserve"> referred to the judgment of </w:t>
      </w:r>
      <w:hyperlink r:id="rId10" w:history="1">
        <w:r w:rsidRPr="00BC6682">
          <w:rPr>
            <w:rStyle w:val="Hyperlink"/>
            <w:rFonts w:ascii="Times New Roman" w:hAnsi="Times New Roman" w:cs="Times New Roman"/>
            <w:i/>
            <w:color w:val="auto"/>
            <w:sz w:val="26"/>
            <w:szCs w:val="26"/>
            <w:u w:val="none"/>
            <w:shd w:val="clear" w:color="auto" w:fill="FFFFFF"/>
          </w:rPr>
          <w:t>Shashikant Laxman Kale v. Union of India</w:t>
        </w:r>
      </w:hyperlink>
      <w:r w:rsidRPr="00BC6682">
        <w:rPr>
          <w:rStyle w:val="FootnoteReference"/>
          <w:rFonts w:ascii="Times New Roman" w:hAnsi="Times New Roman" w:cs="Times New Roman"/>
          <w:sz w:val="26"/>
          <w:szCs w:val="26"/>
        </w:rPr>
        <w:footnoteReference w:id="2"/>
      </w:r>
      <w:r w:rsidRPr="00BC6682">
        <w:rPr>
          <w:rFonts w:ascii="Times New Roman" w:hAnsi="Times New Roman" w:cs="Times New Roman"/>
          <w:sz w:val="26"/>
          <w:szCs w:val="26"/>
          <w:shd w:val="clear" w:color="auto" w:fill="FFFFFF"/>
        </w:rPr>
        <w:t xml:space="preserve"> and observed that</w:t>
      </w:r>
      <w:r w:rsidR="00613F6F" w:rsidRPr="00BC6682">
        <w:rPr>
          <w:rFonts w:ascii="Times New Roman" w:hAnsi="Times New Roman" w:cs="Times New Roman"/>
          <w:sz w:val="26"/>
          <w:szCs w:val="26"/>
          <w:shd w:val="clear" w:color="auto" w:fill="FFFFFF"/>
        </w:rPr>
        <w:t xml:space="preserve"> it</w:t>
      </w:r>
      <w:r w:rsidRPr="00BC6682">
        <w:rPr>
          <w:rFonts w:ascii="Times New Roman" w:hAnsi="Times New Roman" w:cs="Times New Roman"/>
          <w:color w:val="000000"/>
          <w:sz w:val="26"/>
          <w:szCs w:val="26"/>
          <w:shd w:val="clear" w:color="auto" w:fill="FFFFFF"/>
        </w:rPr>
        <w:t xml:space="preserve"> is first necessary to discern the true purpose or object of the impugned enactment because it is only with reference to the true object of the enactment that the existence of a rational nexus of the differentia on which the classification is based, with the object sought to be achieved by the enactment, can be examined to test the validity of the classification</w:t>
      </w:r>
      <w:r w:rsidR="00613F6F" w:rsidRPr="00BC6682">
        <w:rPr>
          <w:rFonts w:ascii="Times New Roman" w:hAnsi="Times New Roman" w:cs="Times New Roman"/>
          <w:color w:val="000000"/>
          <w:sz w:val="26"/>
          <w:szCs w:val="26"/>
          <w:shd w:val="clear" w:color="auto" w:fill="FFFFFF"/>
        </w:rPr>
        <w:t>.</w:t>
      </w:r>
    </w:p>
    <w:p w:rsidR="00613F6F" w:rsidRPr="00BC6682" w:rsidRDefault="00613F6F" w:rsidP="00803DA0">
      <w:pPr>
        <w:pStyle w:val="ListParagraph"/>
        <w:numPr>
          <w:ilvl w:val="0"/>
          <w:numId w:val="3"/>
        </w:numPr>
        <w:spacing w:line="240" w:lineRule="auto"/>
        <w:jc w:val="both"/>
        <w:rPr>
          <w:rFonts w:ascii="Times New Roman" w:hAnsi="Times New Roman" w:cs="Times New Roman"/>
          <w:sz w:val="26"/>
          <w:szCs w:val="26"/>
        </w:rPr>
      </w:pPr>
      <w:r w:rsidRPr="00BC6682">
        <w:rPr>
          <w:rFonts w:ascii="Times New Roman" w:hAnsi="Times New Roman" w:cs="Times New Roman"/>
          <w:color w:val="000000"/>
          <w:sz w:val="26"/>
          <w:szCs w:val="26"/>
          <w:shd w:val="clear" w:color="auto" w:fill="FFFFFF"/>
        </w:rPr>
        <w:t xml:space="preserve">The court observed that the main object of the DV Act as reflected by its preamble is </w:t>
      </w:r>
      <w:r w:rsidRPr="00BC6682">
        <w:rPr>
          <w:rFonts w:ascii="Times New Roman" w:hAnsi="Times New Roman" w:cs="Times New Roman"/>
          <w:color w:val="000000"/>
          <w:sz w:val="26"/>
          <w:szCs w:val="26"/>
        </w:rPr>
        <w:t>“</w:t>
      </w:r>
      <w:hyperlink r:id="rId11" w:history="1">
        <w:r w:rsidRPr="00BC6682">
          <w:rPr>
            <w:rStyle w:val="Hyperlink"/>
            <w:rFonts w:ascii="Times New Roman" w:hAnsi="Times New Roman" w:cs="Times New Roman"/>
            <w:color w:val="auto"/>
            <w:sz w:val="26"/>
            <w:szCs w:val="26"/>
            <w:u w:val="none"/>
          </w:rPr>
          <w:t>An Act</w:t>
        </w:r>
      </w:hyperlink>
      <w:r w:rsidRPr="00BC6682">
        <w:rPr>
          <w:rFonts w:ascii="Times New Roman" w:hAnsi="Times New Roman" w:cs="Times New Roman"/>
          <w:color w:val="000000"/>
          <w:sz w:val="26"/>
          <w:szCs w:val="26"/>
        </w:rPr>
        <w:t xml:space="preserve"> to provide for more effective protection of the rights of women </w:t>
      </w:r>
      <w:r w:rsidRPr="00BC6682">
        <w:rPr>
          <w:rFonts w:ascii="Times New Roman" w:hAnsi="Times New Roman" w:cs="Times New Roman"/>
          <w:color w:val="000000"/>
          <w:sz w:val="26"/>
          <w:szCs w:val="26"/>
        </w:rPr>
        <w:lastRenderedPageBreak/>
        <w:t>guaranteed under the constitution who are victims of violence of any kind occurring within the family and for matters connected therewith or incidental thereto.”</w:t>
      </w:r>
    </w:p>
    <w:p w:rsidR="00613F6F" w:rsidRPr="00BC6682" w:rsidRDefault="00613F6F" w:rsidP="00803DA0">
      <w:pPr>
        <w:pStyle w:val="ListParagraph"/>
        <w:numPr>
          <w:ilvl w:val="0"/>
          <w:numId w:val="3"/>
        </w:numPr>
        <w:spacing w:line="240" w:lineRule="auto"/>
        <w:jc w:val="both"/>
        <w:rPr>
          <w:rFonts w:ascii="Times New Roman" w:hAnsi="Times New Roman" w:cs="Times New Roman"/>
          <w:sz w:val="26"/>
          <w:szCs w:val="26"/>
        </w:rPr>
      </w:pPr>
      <w:r w:rsidRPr="00BC6682">
        <w:rPr>
          <w:rFonts w:ascii="Times New Roman" w:hAnsi="Times New Roman" w:cs="Times New Roman"/>
          <w:sz w:val="26"/>
          <w:szCs w:val="26"/>
        </w:rPr>
        <w:t>This court explained</w:t>
      </w:r>
      <w:r w:rsidR="00AC5804">
        <w:rPr>
          <w:rFonts w:ascii="Times New Roman" w:hAnsi="Times New Roman" w:cs="Times New Roman"/>
          <w:sz w:val="26"/>
          <w:szCs w:val="26"/>
        </w:rPr>
        <w:t>,</w:t>
      </w:r>
      <w:r w:rsidRPr="00BC6682">
        <w:rPr>
          <w:rFonts w:ascii="Times New Roman" w:hAnsi="Times New Roman" w:cs="Times New Roman"/>
          <w:sz w:val="26"/>
          <w:szCs w:val="26"/>
        </w:rPr>
        <w:t xml:space="preserve"> gives a clarity as to the legislative intent of covering all sorts of violence against women in a domestic space and</w:t>
      </w:r>
      <w:r w:rsidR="00AC5804">
        <w:rPr>
          <w:rFonts w:ascii="Times New Roman" w:hAnsi="Times New Roman" w:cs="Times New Roman"/>
          <w:sz w:val="26"/>
          <w:szCs w:val="26"/>
        </w:rPr>
        <w:t xml:space="preserve"> its necessary application on</w:t>
      </w:r>
      <w:r w:rsidRPr="00BC6682">
        <w:rPr>
          <w:rFonts w:ascii="Times New Roman" w:hAnsi="Times New Roman" w:cs="Times New Roman"/>
          <w:sz w:val="26"/>
          <w:szCs w:val="26"/>
        </w:rPr>
        <w:t xml:space="preserve"> all the perpetrators and abettors, be it women themselves.</w:t>
      </w:r>
    </w:p>
    <w:p w:rsidR="002E5A43" w:rsidRPr="00BC6682" w:rsidRDefault="00613F6F" w:rsidP="00803DA0">
      <w:pPr>
        <w:pStyle w:val="ListParagraph"/>
        <w:numPr>
          <w:ilvl w:val="0"/>
          <w:numId w:val="3"/>
        </w:numPr>
        <w:spacing w:line="240" w:lineRule="auto"/>
        <w:jc w:val="both"/>
        <w:rPr>
          <w:rFonts w:ascii="Times New Roman" w:hAnsi="Times New Roman" w:cs="Times New Roman"/>
          <w:sz w:val="26"/>
          <w:szCs w:val="26"/>
        </w:rPr>
      </w:pPr>
      <w:r w:rsidRPr="00BC6682">
        <w:rPr>
          <w:rFonts w:ascii="Times New Roman" w:hAnsi="Times New Roman" w:cs="Times New Roman"/>
          <w:sz w:val="26"/>
          <w:szCs w:val="26"/>
        </w:rPr>
        <w:t>The court further analyzed the different provisions and remedies under the act and concluded that how each of them fails to cover their objective if they are to be considered only in respect of an adult male person. This was ma</w:t>
      </w:r>
      <w:r w:rsidR="00AC5804">
        <w:rPr>
          <w:rFonts w:ascii="Times New Roman" w:hAnsi="Times New Roman" w:cs="Times New Roman"/>
          <w:sz w:val="26"/>
          <w:szCs w:val="26"/>
        </w:rPr>
        <w:t xml:space="preserve">inly concluded as, </w:t>
      </w:r>
      <w:r w:rsidRPr="00BC6682">
        <w:rPr>
          <w:rFonts w:ascii="Times New Roman" w:hAnsi="Times New Roman" w:cs="Times New Roman"/>
          <w:sz w:val="26"/>
          <w:szCs w:val="26"/>
        </w:rPr>
        <w:t>exclusion of the female members of the household gives the opportunity to subje</w:t>
      </w:r>
      <w:r w:rsidR="002E5A43" w:rsidRPr="00BC6682">
        <w:rPr>
          <w:rFonts w:ascii="Times New Roman" w:hAnsi="Times New Roman" w:cs="Times New Roman"/>
          <w:sz w:val="26"/>
          <w:szCs w:val="26"/>
        </w:rPr>
        <w:t>c</w:t>
      </w:r>
      <w:r w:rsidRPr="00BC6682">
        <w:rPr>
          <w:rFonts w:ascii="Times New Roman" w:hAnsi="Times New Roman" w:cs="Times New Roman"/>
          <w:sz w:val="26"/>
          <w:szCs w:val="26"/>
        </w:rPr>
        <w:t xml:space="preserve">t women to violence where an </w:t>
      </w:r>
      <w:r w:rsidRPr="00BC6682">
        <w:rPr>
          <w:rFonts w:ascii="Times New Roman" w:hAnsi="Times New Roman" w:cs="Times New Roman"/>
          <w:color w:val="000000"/>
          <w:sz w:val="26"/>
          <w:szCs w:val="26"/>
          <w:shd w:val="clear" w:color="auto" w:fill="FFFFFF"/>
        </w:rPr>
        <w:t>adult male person might not stand in the forefront</w:t>
      </w:r>
      <w:r w:rsidR="00AC5804">
        <w:rPr>
          <w:rFonts w:ascii="Times New Roman" w:hAnsi="Times New Roman" w:cs="Times New Roman"/>
          <w:color w:val="000000"/>
          <w:sz w:val="26"/>
          <w:szCs w:val="26"/>
          <w:shd w:val="clear" w:color="auto" w:fill="FFFFFF"/>
        </w:rPr>
        <w:t>, but put forward female members</w:t>
      </w:r>
      <w:r w:rsidRPr="00BC6682">
        <w:rPr>
          <w:rFonts w:ascii="Times New Roman" w:hAnsi="Times New Roman" w:cs="Times New Roman"/>
          <w:color w:val="000000"/>
          <w:sz w:val="26"/>
          <w:szCs w:val="26"/>
          <w:shd w:val="clear" w:color="auto" w:fill="FFFFFF"/>
        </w:rPr>
        <w:t xml:space="preserve"> who can therefore harm or exclude the aggrieved person from the shared household</w:t>
      </w:r>
      <w:r w:rsidR="00AC5804">
        <w:rPr>
          <w:rFonts w:ascii="Times New Roman" w:hAnsi="Times New Roman" w:cs="Times New Roman"/>
          <w:color w:val="000000"/>
          <w:sz w:val="26"/>
          <w:szCs w:val="26"/>
          <w:shd w:val="clear" w:color="auto" w:fill="FFFFFF"/>
        </w:rPr>
        <w:t xml:space="preserve"> with no complaints against them under this act.</w:t>
      </w:r>
    </w:p>
    <w:p w:rsidR="002E5A43" w:rsidRPr="00BC6682" w:rsidRDefault="002E5A43" w:rsidP="00803DA0">
      <w:pPr>
        <w:pStyle w:val="ListParagraph"/>
        <w:numPr>
          <w:ilvl w:val="0"/>
          <w:numId w:val="3"/>
        </w:numPr>
        <w:spacing w:line="240" w:lineRule="auto"/>
        <w:jc w:val="both"/>
        <w:rPr>
          <w:rFonts w:ascii="Times New Roman" w:hAnsi="Times New Roman" w:cs="Times New Roman"/>
          <w:sz w:val="26"/>
          <w:szCs w:val="26"/>
        </w:rPr>
      </w:pPr>
      <w:r w:rsidRPr="00BC6682">
        <w:rPr>
          <w:rFonts w:ascii="Times New Roman" w:hAnsi="Times New Roman" w:cs="Times New Roman"/>
          <w:color w:val="000000"/>
          <w:sz w:val="26"/>
          <w:szCs w:val="26"/>
          <w:shd w:val="clear" w:color="auto" w:fill="FFFFFF"/>
        </w:rPr>
        <w:t>Also in cases of Monetary Relief Order and Protection Order, under section 20 and section 19</w:t>
      </w:r>
      <w:r w:rsidR="00AC5804">
        <w:rPr>
          <w:rFonts w:ascii="Times New Roman" w:hAnsi="Times New Roman" w:cs="Times New Roman"/>
          <w:color w:val="000000"/>
          <w:sz w:val="26"/>
          <w:szCs w:val="26"/>
          <w:shd w:val="clear" w:color="auto" w:fill="FFFFFF"/>
        </w:rPr>
        <w:t xml:space="preserve"> respectively, the remedies</w:t>
      </w:r>
      <w:r w:rsidRPr="00BC6682">
        <w:rPr>
          <w:rFonts w:ascii="Times New Roman" w:hAnsi="Times New Roman" w:cs="Times New Roman"/>
          <w:color w:val="000000"/>
          <w:sz w:val="26"/>
          <w:szCs w:val="26"/>
          <w:shd w:val="clear" w:color="auto" w:fill="FFFFFF"/>
        </w:rPr>
        <w:t xml:space="preserve"> will not be fruitful as the same cannot be enforced against the female members</w:t>
      </w:r>
      <w:r w:rsidR="00AC5804">
        <w:rPr>
          <w:rFonts w:ascii="Times New Roman" w:hAnsi="Times New Roman" w:cs="Times New Roman"/>
          <w:color w:val="000000"/>
          <w:sz w:val="26"/>
          <w:szCs w:val="26"/>
          <w:shd w:val="clear" w:color="auto" w:fill="FFFFFF"/>
        </w:rPr>
        <w:t xml:space="preserve"> of the shared household.</w:t>
      </w:r>
    </w:p>
    <w:p w:rsidR="002E5A43" w:rsidRPr="00BC6682" w:rsidRDefault="002E5A43" w:rsidP="00803DA0">
      <w:pPr>
        <w:pStyle w:val="ListParagraph"/>
        <w:numPr>
          <w:ilvl w:val="0"/>
          <w:numId w:val="3"/>
        </w:numPr>
        <w:spacing w:after="0" w:line="240" w:lineRule="auto"/>
        <w:jc w:val="both"/>
        <w:rPr>
          <w:rFonts w:ascii="Times New Roman" w:hAnsi="Times New Roman" w:cs="Times New Roman"/>
          <w:sz w:val="26"/>
          <w:szCs w:val="26"/>
        </w:rPr>
      </w:pPr>
      <w:r w:rsidRPr="00BC6682">
        <w:rPr>
          <w:rFonts w:ascii="Times New Roman" w:hAnsi="Times New Roman" w:cs="Times New Roman"/>
          <w:sz w:val="26"/>
          <w:szCs w:val="26"/>
        </w:rPr>
        <w:t>T</w:t>
      </w:r>
      <w:r w:rsidR="00AC5804">
        <w:rPr>
          <w:rFonts w:ascii="Times New Roman" w:hAnsi="Times New Roman" w:cs="Times New Roman"/>
          <w:sz w:val="26"/>
          <w:szCs w:val="26"/>
        </w:rPr>
        <w:t>h</w:t>
      </w:r>
      <w:r w:rsidRPr="00BC6682">
        <w:rPr>
          <w:rFonts w:ascii="Times New Roman" w:hAnsi="Times New Roman" w:cs="Times New Roman"/>
          <w:sz w:val="26"/>
          <w:szCs w:val="26"/>
        </w:rPr>
        <w:t xml:space="preserve">e court further explained as to how the phrase “adult male members” also reduced its scope and unreasonably excluded the ‘non-adult males’, </w:t>
      </w:r>
      <w:r w:rsidRPr="00BC6682">
        <w:rPr>
          <w:rFonts w:ascii="Times New Roman" w:hAnsi="Times New Roman" w:cs="Times New Roman"/>
          <w:color w:val="000000"/>
          <w:sz w:val="26"/>
          <w:szCs w:val="26"/>
          <w:shd w:val="clear" w:color="auto" w:fill="FFFFFF"/>
        </w:rPr>
        <w:t>who can aid or abet the commission of acts of domestic violence, or who can evict or help in evicting or excluding from a shared household an aggrieved person.</w:t>
      </w:r>
    </w:p>
    <w:p w:rsidR="00F90F89" w:rsidRPr="00BC6682" w:rsidRDefault="002E5A43" w:rsidP="00803DA0">
      <w:pPr>
        <w:pStyle w:val="NormalWeb"/>
        <w:numPr>
          <w:ilvl w:val="0"/>
          <w:numId w:val="3"/>
        </w:numPr>
        <w:spacing w:after="0" w:afterAutospacing="0"/>
        <w:jc w:val="both"/>
        <w:rPr>
          <w:sz w:val="26"/>
          <w:szCs w:val="26"/>
        </w:rPr>
      </w:pPr>
      <w:r w:rsidRPr="00BC6682">
        <w:rPr>
          <w:color w:val="000000"/>
          <w:sz w:val="26"/>
          <w:szCs w:val="26"/>
        </w:rPr>
        <w:t xml:space="preserve">The court further dealt with some cases of </w:t>
      </w:r>
      <w:hyperlink r:id="rId12" w:history="1">
        <w:r w:rsidRPr="00BC6682">
          <w:rPr>
            <w:rStyle w:val="Hyperlink"/>
            <w:color w:val="auto"/>
            <w:sz w:val="26"/>
            <w:szCs w:val="26"/>
            <w:u w:val="none"/>
          </w:rPr>
          <w:t>Article 14</w:t>
        </w:r>
      </w:hyperlink>
      <w:r w:rsidR="00F90F89" w:rsidRPr="00BC6682">
        <w:rPr>
          <w:sz w:val="26"/>
          <w:szCs w:val="26"/>
        </w:rPr>
        <w:t xml:space="preserve"> including</w:t>
      </w:r>
      <w:r w:rsidR="00F90F89" w:rsidRPr="00BC6682">
        <w:rPr>
          <w:color w:val="000000"/>
          <w:sz w:val="26"/>
          <w:szCs w:val="26"/>
          <w:shd w:val="clear" w:color="auto" w:fill="FFFFFF"/>
        </w:rPr>
        <w:t xml:space="preserve"> </w:t>
      </w:r>
      <w:hyperlink r:id="rId13" w:history="1">
        <w:r w:rsidR="00F90F89" w:rsidRPr="00BC6682">
          <w:rPr>
            <w:rStyle w:val="Hyperlink"/>
            <w:i/>
            <w:color w:val="auto"/>
            <w:sz w:val="26"/>
            <w:szCs w:val="26"/>
            <w:u w:val="none"/>
            <w:shd w:val="clear" w:color="auto" w:fill="FFFFFF"/>
          </w:rPr>
          <w:t>Lachhman Dass v. State of Punjab</w:t>
        </w:r>
      </w:hyperlink>
      <w:r w:rsidR="00F90F89" w:rsidRPr="00BC6682">
        <w:rPr>
          <w:rStyle w:val="FootnoteReference"/>
          <w:i/>
          <w:sz w:val="26"/>
          <w:szCs w:val="26"/>
        </w:rPr>
        <w:footnoteReference w:id="3"/>
      </w:r>
      <w:r w:rsidR="00F90F89" w:rsidRPr="00BC6682">
        <w:rPr>
          <w:sz w:val="26"/>
          <w:szCs w:val="26"/>
        </w:rPr>
        <w:t xml:space="preserve">, with which they explained that </w:t>
      </w:r>
      <w:r w:rsidR="00F90F89" w:rsidRPr="00BC6682">
        <w:rPr>
          <w:color w:val="000000"/>
          <w:sz w:val="26"/>
          <w:szCs w:val="26"/>
          <w:shd w:val="clear" w:color="auto" w:fill="FFFFFF"/>
        </w:rPr>
        <w:t>in the present case, the classification of “adult male person” clearly subverts the doctrine of equality.</w:t>
      </w:r>
    </w:p>
    <w:p w:rsidR="002E5A43" w:rsidRPr="00BC6682" w:rsidRDefault="00F90F89" w:rsidP="00803DA0">
      <w:pPr>
        <w:pStyle w:val="ListParagraph"/>
        <w:numPr>
          <w:ilvl w:val="0"/>
          <w:numId w:val="3"/>
        </w:numPr>
        <w:spacing w:line="240" w:lineRule="auto"/>
        <w:jc w:val="both"/>
        <w:rPr>
          <w:rFonts w:ascii="Times New Roman" w:hAnsi="Times New Roman" w:cs="Times New Roman"/>
          <w:sz w:val="26"/>
          <w:szCs w:val="26"/>
        </w:rPr>
      </w:pPr>
      <w:r w:rsidRPr="00BC6682">
        <w:rPr>
          <w:rFonts w:ascii="Times New Roman" w:hAnsi="Times New Roman" w:cs="Times New Roman"/>
          <w:sz w:val="26"/>
          <w:szCs w:val="26"/>
        </w:rPr>
        <w:t>The court observed</w:t>
      </w:r>
      <w:r w:rsidRPr="00BC6682">
        <w:rPr>
          <w:rFonts w:ascii="Times New Roman" w:hAnsi="Times New Roman" w:cs="Times New Roman"/>
          <w:color w:val="000000"/>
          <w:sz w:val="26"/>
          <w:szCs w:val="26"/>
          <w:shd w:val="clear" w:color="auto" w:fill="FFFFFF"/>
        </w:rPr>
        <w:t xml:space="preserve"> that the microscopic difference between male and female, adult and non adult, regard being had to the object sought to be achieved by the 2005 Act, is neither real or substantial nor does it have any rational relation to the object of the legislation. In fact, as per the principle settled in the Subramanian Swamy judgment</w:t>
      </w:r>
      <w:r w:rsidRPr="00BC6682">
        <w:rPr>
          <w:rStyle w:val="FootnoteReference"/>
          <w:rFonts w:ascii="Times New Roman" w:hAnsi="Times New Roman" w:cs="Times New Roman"/>
          <w:color w:val="000000"/>
          <w:sz w:val="26"/>
          <w:szCs w:val="26"/>
          <w:shd w:val="clear" w:color="auto" w:fill="FFFFFF"/>
        </w:rPr>
        <w:footnoteReference w:id="4"/>
      </w:r>
      <w:r w:rsidRPr="00BC6682">
        <w:rPr>
          <w:rFonts w:ascii="Times New Roman" w:hAnsi="Times New Roman" w:cs="Times New Roman"/>
          <w:color w:val="000000"/>
          <w:sz w:val="26"/>
          <w:szCs w:val="26"/>
          <w:shd w:val="clear" w:color="auto" w:fill="FFFFFF"/>
        </w:rPr>
        <w:t>, the words “adult male person” are contrary to the object of affording protection to women who have suffered from domestic violence “of any kind”.</w:t>
      </w:r>
    </w:p>
    <w:p w:rsidR="00F90F89" w:rsidRPr="00BC6682" w:rsidRDefault="00F90F89" w:rsidP="00803DA0">
      <w:pPr>
        <w:pStyle w:val="ListParagraph"/>
        <w:numPr>
          <w:ilvl w:val="0"/>
          <w:numId w:val="3"/>
        </w:numPr>
        <w:spacing w:line="240" w:lineRule="auto"/>
        <w:jc w:val="both"/>
        <w:rPr>
          <w:rFonts w:ascii="Times New Roman" w:hAnsi="Times New Roman" w:cs="Times New Roman"/>
          <w:sz w:val="26"/>
          <w:szCs w:val="26"/>
        </w:rPr>
      </w:pPr>
      <w:r w:rsidRPr="00BC6682">
        <w:rPr>
          <w:rFonts w:ascii="Times New Roman" w:hAnsi="Times New Roman" w:cs="Times New Roman"/>
          <w:color w:val="000000"/>
          <w:sz w:val="26"/>
          <w:szCs w:val="26"/>
          <w:shd w:val="clear" w:color="auto" w:fill="FFFFFF"/>
        </w:rPr>
        <w:t>Further after striking down the words “adult male” before the word “person” in </w:t>
      </w:r>
      <w:hyperlink r:id="rId14" w:history="1">
        <w:r w:rsidRPr="00BC6682">
          <w:rPr>
            <w:rStyle w:val="Hyperlink"/>
            <w:rFonts w:ascii="Times New Roman" w:hAnsi="Times New Roman" w:cs="Times New Roman"/>
            <w:color w:val="auto"/>
            <w:sz w:val="26"/>
            <w:szCs w:val="26"/>
            <w:u w:val="none"/>
            <w:shd w:val="clear" w:color="auto" w:fill="FFFFFF"/>
          </w:rPr>
          <w:t>Section 2(q)</w:t>
        </w:r>
      </w:hyperlink>
      <w:r w:rsidRPr="00BC6682">
        <w:rPr>
          <w:rFonts w:ascii="Times New Roman" w:hAnsi="Times New Roman" w:cs="Times New Roman"/>
          <w:sz w:val="26"/>
          <w:szCs w:val="26"/>
          <w:shd w:val="clear" w:color="auto" w:fill="FFFFFF"/>
        </w:rPr>
        <w:t>, dealing with the second issue the court analyzed the Doctrine of Severabilit</w:t>
      </w:r>
      <w:r w:rsidRPr="00BC6682">
        <w:rPr>
          <w:rFonts w:ascii="Times New Roman" w:hAnsi="Times New Roman" w:cs="Times New Roman"/>
          <w:color w:val="000000"/>
          <w:sz w:val="26"/>
          <w:szCs w:val="26"/>
          <w:shd w:val="clear" w:color="auto" w:fill="FFFFFF"/>
        </w:rPr>
        <w:t>y which was propounded in the R.M.D. Chamarbaugwalla v. Union of India</w:t>
      </w:r>
      <w:r w:rsidRPr="00BC6682">
        <w:rPr>
          <w:rStyle w:val="FootnoteReference"/>
          <w:rFonts w:ascii="Times New Roman" w:hAnsi="Times New Roman" w:cs="Times New Roman"/>
          <w:color w:val="000000"/>
          <w:sz w:val="26"/>
          <w:szCs w:val="26"/>
          <w:shd w:val="clear" w:color="auto" w:fill="FFFFFF"/>
        </w:rPr>
        <w:footnoteReference w:id="5"/>
      </w:r>
      <w:r w:rsidRPr="00BC6682">
        <w:rPr>
          <w:rFonts w:ascii="Times New Roman" w:hAnsi="Times New Roman" w:cs="Times New Roman"/>
          <w:color w:val="000000"/>
          <w:sz w:val="26"/>
          <w:szCs w:val="26"/>
          <w:shd w:val="clear" w:color="auto" w:fill="FFFFFF"/>
        </w:rPr>
        <w:t xml:space="preserve"> in reference to various other judgments. </w:t>
      </w:r>
    </w:p>
    <w:p w:rsidR="00BC6682" w:rsidRPr="00BC6682" w:rsidRDefault="00F90F89" w:rsidP="00803DA0">
      <w:pPr>
        <w:pStyle w:val="ListParagraph"/>
        <w:numPr>
          <w:ilvl w:val="0"/>
          <w:numId w:val="3"/>
        </w:numPr>
        <w:spacing w:line="240" w:lineRule="auto"/>
        <w:jc w:val="both"/>
        <w:rPr>
          <w:rFonts w:ascii="Times New Roman" w:hAnsi="Times New Roman" w:cs="Times New Roman"/>
          <w:sz w:val="26"/>
          <w:szCs w:val="26"/>
        </w:rPr>
      </w:pPr>
      <w:r w:rsidRPr="00BC6682">
        <w:rPr>
          <w:rFonts w:ascii="Times New Roman" w:hAnsi="Times New Roman" w:cs="Times New Roman"/>
          <w:color w:val="000000"/>
          <w:sz w:val="26"/>
          <w:szCs w:val="26"/>
          <w:shd w:val="clear" w:color="auto" w:fill="FFFFFF"/>
        </w:rPr>
        <w:t>Further</w:t>
      </w:r>
      <w:r w:rsidR="00AC5804">
        <w:rPr>
          <w:rFonts w:ascii="Times New Roman" w:hAnsi="Times New Roman" w:cs="Times New Roman"/>
          <w:color w:val="000000"/>
          <w:sz w:val="26"/>
          <w:szCs w:val="26"/>
          <w:shd w:val="clear" w:color="auto" w:fill="FFFFFF"/>
        </w:rPr>
        <w:t>,</w:t>
      </w:r>
      <w:r w:rsidRPr="00BC6682">
        <w:rPr>
          <w:rFonts w:ascii="Times New Roman" w:hAnsi="Times New Roman" w:cs="Times New Roman"/>
          <w:color w:val="000000"/>
          <w:sz w:val="26"/>
          <w:szCs w:val="26"/>
          <w:shd w:val="clear" w:color="auto" w:fill="FFFFFF"/>
        </w:rPr>
        <w:t xml:space="preserve"> the court explained and gained more clarity as to the legislative intent in respect of the interpretation the word respondent by referring to the Protection from Domestic Violence Bill, 2002 </w:t>
      </w:r>
      <w:r w:rsidR="00BC6682" w:rsidRPr="00BC6682">
        <w:rPr>
          <w:rFonts w:ascii="Times New Roman" w:hAnsi="Times New Roman" w:cs="Times New Roman"/>
          <w:color w:val="000000"/>
          <w:sz w:val="26"/>
          <w:szCs w:val="26"/>
          <w:shd w:val="clear" w:color="auto" w:fill="FFFFFF"/>
        </w:rPr>
        <w:t xml:space="preserve">which had lapsed in the Parliament. The 2002 Bill defined “respondent” as meaning “any person who is…..” without the addition of the words “adult male”, being in consonance with the object sought to </w:t>
      </w:r>
      <w:r w:rsidR="00BC6682" w:rsidRPr="00BC6682">
        <w:rPr>
          <w:rFonts w:ascii="Times New Roman" w:hAnsi="Times New Roman" w:cs="Times New Roman"/>
          <w:color w:val="000000"/>
          <w:sz w:val="26"/>
          <w:szCs w:val="26"/>
          <w:shd w:val="clear" w:color="auto" w:fill="FFFFFF"/>
        </w:rPr>
        <w:lastRenderedPageBreak/>
        <w:t>be achieved by the Bill, which was pari materia with the object sought to be achieved by the DV Act.</w:t>
      </w:r>
    </w:p>
    <w:p w:rsidR="00BC6682" w:rsidRDefault="00BC6682" w:rsidP="00803DA0">
      <w:pPr>
        <w:spacing w:line="240" w:lineRule="auto"/>
        <w:jc w:val="both"/>
        <w:rPr>
          <w:rFonts w:ascii="Times New Roman" w:hAnsi="Times New Roman" w:cs="Times New Roman"/>
          <w:sz w:val="26"/>
          <w:szCs w:val="26"/>
        </w:rPr>
      </w:pPr>
    </w:p>
    <w:p w:rsidR="00BC6682" w:rsidRDefault="00BC6682" w:rsidP="00803DA0">
      <w:pPr>
        <w:spacing w:line="240" w:lineRule="auto"/>
        <w:jc w:val="both"/>
        <w:rPr>
          <w:rFonts w:ascii="Times New Roman" w:hAnsi="Times New Roman" w:cs="Times New Roman"/>
          <w:sz w:val="28"/>
          <w:szCs w:val="28"/>
          <w:u w:val="single"/>
        </w:rPr>
      </w:pPr>
      <w:r w:rsidRPr="00BC6682">
        <w:rPr>
          <w:rFonts w:ascii="Times New Roman" w:hAnsi="Times New Roman" w:cs="Times New Roman"/>
          <w:sz w:val="28"/>
          <w:szCs w:val="28"/>
          <w:u w:val="single"/>
        </w:rPr>
        <w:t>Decision of the Court</w:t>
      </w:r>
    </w:p>
    <w:p w:rsidR="00BC6682" w:rsidRPr="00BC6682" w:rsidRDefault="00BC6682" w:rsidP="00803DA0">
      <w:pPr>
        <w:pStyle w:val="ListParagraph"/>
        <w:numPr>
          <w:ilvl w:val="0"/>
          <w:numId w:val="4"/>
        </w:numPr>
        <w:spacing w:line="240" w:lineRule="auto"/>
        <w:jc w:val="both"/>
        <w:rPr>
          <w:rFonts w:ascii="Times New Roman" w:hAnsi="Times New Roman" w:cs="Times New Roman"/>
          <w:sz w:val="26"/>
          <w:szCs w:val="26"/>
        </w:rPr>
      </w:pPr>
      <w:r w:rsidRPr="00BC6682">
        <w:rPr>
          <w:rFonts w:ascii="Times New Roman" w:hAnsi="Times New Roman" w:cs="Times New Roman"/>
          <w:sz w:val="26"/>
          <w:szCs w:val="26"/>
        </w:rPr>
        <w:t xml:space="preserve">The court </w:t>
      </w:r>
      <w:r w:rsidR="00AC5804">
        <w:rPr>
          <w:rFonts w:ascii="Times New Roman" w:hAnsi="Times New Roman" w:cs="Times New Roman"/>
          <w:sz w:val="26"/>
          <w:szCs w:val="26"/>
        </w:rPr>
        <w:t xml:space="preserve">concluded that Section 2(q) of the DV Act violates Article 14 of the constitution and </w:t>
      </w:r>
      <w:r w:rsidRPr="00BC6682">
        <w:rPr>
          <w:rFonts w:ascii="Times New Roman" w:hAnsi="Times New Roman" w:cs="Times New Roman"/>
          <w:sz w:val="26"/>
          <w:szCs w:val="26"/>
        </w:rPr>
        <w:t xml:space="preserve">struck down the </w:t>
      </w:r>
      <w:r w:rsidRPr="00BC6682">
        <w:rPr>
          <w:rFonts w:ascii="Times New Roman" w:hAnsi="Times New Roman" w:cs="Times New Roman"/>
          <w:color w:val="000000"/>
          <w:sz w:val="26"/>
          <w:szCs w:val="26"/>
          <w:shd w:val="clear" w:color="auto" w:fill="FFFFFF"/>
        </w:rPr>
        <w:t xml:space="preserve">words “adult male” before the word “person” </w:t>
      </w:r>
      <w:r w:rsidR="00374EA5">
        <w:rPr>
          <w:rFonts w:ascii="Times New Roman" w:hAnsi="Times New Roman" w:cs="Times New Roman"/>
          <w:color w:val="000000"/>
          <w:sz w:val="26"/>
          <w:szCs w:val="26"/>
          <w:shd w:val="clear" w:color="auto" w:fill="FFFFFF"/>
        </w:rPr>
        <w:t>in the particular section</w:t>
      </w:r>
      <w:r w:rsidR="00374EA5">
        <w:rPr>
          <w:rFonts w:ascii="Times New Roman" w:hAnsi="Times New Roman" w:cs="Times New Roman"/>
          <w:sz w:val="26"/>
          <w:szCs w:val="26"/>
        </w:rPr>
        <w:t>. C</w:t>
      </w:r>
      <w:r w:rsidRPr="00BC6682">
        <w:rPr>
          <w:rFonts w:ascii="Times New Roman" w:hAnsi="Times New Roman" w:cs="Times New Roman"/>
          <w:color w:val="000000"/>
          <w:sz w:val="26"/>
          <w:szCs w:val="26"/>
          <w:shd w:val="clear" w:color="auto" w:fill="FFFFFF"/>
        </w:rPr>
        <w:t>onsequently, the proviso to </w:t>
      </w:r>
      <w:hyperlink r:id="rId15" w:history="1">
        <w:r w:rsidRPr="00BC6682">
          <w:rPr>
            <w:rStyle w:val="Hyperlink"/>
            <w:rFonts w:ascii="Times New Roman" w:hAnsi="Times New Roman" w:cs="Times New Roman"/>
            <w:color w:val="auto"/>
            <w:sz w:val="26"/>
            <w:szCs w:val="26"/>
            <w:u w:val="none"/>
            <w:shd w:val="clear" w:color="auto" w:fill="FFFFFF"/>
          </w:rPr>
          <w:t>Section 2(q)</w:t>
        </w:r>
      </w:hyperlink>
      <w:r w:rsidRPr="00BC6682">
        <w:rPr>
          <w:rFonts w:ascii="Times New Roman" w:hAnsi="Times New Roman" w:cs="Times New Roman"/>
          <w:sz w:val="26"/>
          <w:szCs w:val="26"/>
          <w:shd w:val="clear" w:color="auto" w:fill="FFFFFF"/>
        </w:rPr>
        <w:t>, being rendered otiose, was automatically deleted.</w:t>
      </w:r>
    </w:p>
    <w:p w:rsidR="00BC6682" w:rsidRPr="00BC6682" w:rsidRDefault="00BC6682" w:rsidP="00803DA0">
      <w:pPr>
        <w:pStyle w:val="ListParagraph"/>
        <w:numPr>
          <w:ilvl w:val="0"/>
          <w:numId w:val="4"/>
        </w:numPr>
        <w:spacing w:line="240" w:lineRule="auto"/>
        <w:jc w:val="both"/>
        <w:rPr>
          <w:rFonts w:ascii="Times New Roman" w:hAnsi="Times New Roman" w:cs="Times New Roman"/>
          <w:sz w:val="26"/>
          <w:szCs w:val="26"/>
        </w:rPr>
      </w:pPr>
      <w:r w:rsidRPr="00BC6682">
        <w:rPr>
          <w:rFonts w:ascii="Times New Roman" w:hAnsi="Times New Roman" w:cs="Times New Roman"/>
          <w:sz w:val="26"/>
          <w:szCs w:val="26"/>
        </w:rPr>
        <w:t xml:space="preserve">The court held the rest of the act to be operative </w:t>
      </w:r>
      <w:r w:rsidRPr="00BC6682">
        <w:rPr>
          <w:rFonts w:ascii="Times New Roman" w:hAnsi="Times New Roman" w:cs="Times New Roman"/>
          <w:color w:val="000000"/>
          <w:sz w:val="26"/>
          <w:szCs w:val="26"/>
          <w:shd w:val="clear" w:color="auto" w:fill="FFFFFF"/>
        </w:rPr>
        <w:t>and that the same can be enforced to achieve the object of the legislation without the offending words.</w:t>
      </w:r>
      <w:r w:rsidRPr="00BC6682">
        <w:rPr>
          <w:rFonts w:ascii="Times New Roman" w:hAnsi="Times New Roman" w:cs="Times New Roman"/>
          <w:sz w:val="26"/>
          <w:szCs w:val="26"/>
        </w:rPr>
        <w:t xml:space="preserve"> </w:t>
      </w:r>
    </w:p>
    <w:p w:rsidR="00BC6682" w:rsidRPr="00BC6682" w:rsidRDefault="00BC6682" w:rsidP="00803DA0">
      <w:pPr>
        <w:pStyle w:val="ListParagraph"/>
        <w:spacing w:line="240" w:lineRule="auto"/>
        <w:jc w:val="both"/>
        <w:rPr>
          <w:rFonts w:ascii="Times New Roman" w:hAnsi="Times New Roman" w:cs="Times New Roman"/>
          <w:sz w:val="26"/>
          <w:szCs w:val="26"/>
        </w:rPr>
      </w:pPr>
    </w:p>
    <w:sectPr w:rsidR="00BC6682" w:rsidRPr="00BC6682" w:rsidSect="00002B4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DFB" w:rsidRDefault="00EA4DFB" w:rsidP="00D81F09">
      <w:pPr>
        <w:spacing w:after="0" w:line="240" w:lineRule="auto"/>
      </w:pPr>
      <w:r>
        <w:separator/>
      </w:r>
    </w:p>
  </w:endnote>
  <w:endnote w:type="continuationSeparator" w:id="1">
    <w:p w:rsidR="00EA4DFB" w:rsidRDefault="00EA4DFB" w:rsidP="00D81F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DFB" w:rsidRDefault="00EA4DFB" w:rsidP="00D81F09">
      <w:pPr>
        <w:spacing w:after="0" w:line="240" w:lineRule="auto"/>
      </w:pPr>
      <w:r>
        <w:separator/>
      </w:r>
    </w:p>
  </w:footnote>
  <w:footnote w:type="continuationSeparator" w:id="1">
    <w:p w:rsidR="00EA4DFB" w:rsidRDefault="00EA4DFB" w:rsidP="00D81F09">
      <w:pPr>
        <w:spacing w:after="0" w:line="240" w:lineRule="auto"/>
      </w:pPr>
      <w:r>
        <w:continuationSeparator/>
      </w:r>
    </w:p>
  </w:footnote>
  <w:footnote w:id="2">
    <w:p w:rsidR="00D81F09" w:rsidRPr="00D81F09" w:rsidRDefault="00D81F09">
      <w:pPr>
        <w:pStyle w:val="FootnoteText"/>
        <w:rPr>
          <w:rFonts w:ascii="Times New Roman" w:hAnsi="Times New Roman" w:cs="Times New Roman"/>
        </w:rPr>
      </w:pPr>
      <w:r w:rsidRPr="00D81F09">
        <w:rPr>
          <w:rStyle w:val="FootnoteReference"/>
          <w:rFonts w:ascii="Times New Roman" w:hAnsi="Times New Roman" w:cs="Times New Roman"/>
        </w:rPr>
        <w:footnoteRef/>
      </w:r>
      <w:r w:rsidRPr="00D81F09">
        <w:rPr>
          <w:rFonts w:ascii="Times New Roman" w:hAnsi="Times New Roman" w:cs="Times New Roman"/>
        </w:rPr>
        <w:t xml:space="preserve"> (</w:t>
      </w:r>
      <w:r w:rsidRPr="00D81F09">
        <w:rPr>
          <w:rFonts w:ascii="Times New Roman" w:hAnsi="Times New Roman" w:cs="Times New Roman"/>
          <w:shd w:val="clear" w:color="auto" w:fill="FFFFFF"/>
        </w:rPr>
        <w:t>1990) 2 SCR 441</w:t>
      </w:r>
    </w:p>
  </w:footnote>
  <w:footnote w:id="3">
    <w:p w:rsidR="00F90F89" w:rsidRPr="00F90F89" w:rsidRDefault="00F90F89">
      <w:pPr>
        <w:pStyle w:val="FootnoteText"/>
        <w:rPr>
          <w:rFonts w:ascii="Times New Roman" w:hAnsi="Times New Roman" w:cs="Times New Roman"/>
        </w:rPr>
      </w:pPr>
      <w:r w:rsidRPr="00F90F89">
        <w:rPr>
          <w:rStyle w:val="FootnoteReference"/>
          <w:rFonts w:ascii="Times New Roman" w:hAnsi="Times New Roman" w:cs="Times New Roman"/>
        </w:rPr>
        <w:footnoteRef/>
      </w:r>
      <w:r w:rsidRPr="00F90F89">
        <w:rPr>
          <w:rFonts w:ascii="Times New Roman" w:hAnsi="Times New Roman" w:cs="Times New Roman"/>
        </w:rPr>
        <w:t xml:space="preserve"> (1963) SCR 353</w:t>
      </w:r>
    </w:p>
  </w:footnote>
  <w:footnote w:id="4">
    <w:p w:rsidR="00F90F89" w:rsidRPr="00F90F89" w:rsidRDefault="00F90F89">
      <w:pPr>
        <w:pStyle w:val="FootnoteText"/>
        <w:rPr>
          <w:rFonts w:ascii="Times New Roman" w:hAnsi="Times New Roman" w:cs="Times New Roman"/>
        </w:rPr>
      </w:pPr>
      <w:r w:rsidRPr="00F90F89">
        <w:rPr>
          <w:rStyle w:val="FootnoteReference"/>
          <w:rFonts w:ascii="Times New Roman" w:hAnsi="Times New Roman" w:cs="Times New Roman"/>
        </w:rPr>
        <w:footnoteRef/>
      </w:r>
      <w:r w:rsidRPr="00F90F89">
        <w:rPr>
          <w:rFonts w:ascii="Times New Roman" w:hAnsi="Times New Roman" w:cs="Times New Roman"/>
        </w:rPr>
        <w:t xml:space="preserve"> </w:t>
      </w:r>
      <w:r w:rsidRPr="00F90F89">
        <w:rPr>
          <w:rFonts w:ascii="Times New Roman" w:hAnsi="Times New Roman" w:cs="Times New Roman"/>
          <w:color w:val="000000"/>
          <w:shd w:val="clear" w:color="auto" w:fill="FFFFFF"/>
        </w:rPr>
        <w:t>(2014) 8 SCC 682</w:t>
      </w:r>
    </w:p>
  </w:footnote>
  <w:footnote w:id="5">
    <w:p w:rsidR="00F90F89" w:rsidRDefault="00F90F89">
      <w:pPr>
        <w:pStyle w:val="FootnoteText"/>
      </w:pPr>
      <w:r>
        <w:rPr>
          <w:rStyle w:val="FootnoteReference"/>
        </w:rPr>
        <w:footnoteRef/>
      </w:r>
      <w:r>
        <w:t xml:space="preserve"> 1957 SCR 930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570A"/>
    <w:multiLevelType w:val="hybridMultilevel"/>
    <w:tmpl w:val="E66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360D0"/>
    <w:multiLevelType w:val="hybridMultilevel"/>
    <w:tmpl w:val="9F70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15F0E"/>
    <w:multiLevelType w:val="hybridMultilevel"/>
    <w:tmpl w:val="D3D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A76B1"/>
    <w:multiLevelType w:val="hybridMultilevel"/>
    <w:tmpl w:val="53D8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02B4A"/>
    <w:rsid w:val="00002B4A"/>
    <w:rsid w:val="002E5A43"/>
    <w:rsid w:val="00374EA5"/>
    <w:rsid w:val="00613F6F"/>
    <w:rsid w:val="00757201"/>
    <w:rsid w:val="00803DA0"/>
    <w:rsid w:val="00AC5804"/>
    <w:rsid w:val="00BC6682"/>
    <w:rsid w:val="00CA1E2C"/>
    <w:rsid w:val="00D5054B"/>
    <w:rsid w:val="00D81F09"/>
    <w:rsid w:val="00EA4DFB"/>
    <w:rsid w:val="00F90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4A"/>
    <w:pPr>
      <w:ind w:left="720"/>
      <w:contextualSpacing/>
    </w:pPr>
  </w:style>
  <w:style w:type="paragraph" w:styleId="NormalWeb">
    <w:name w:val="Normal (Web)"/>
    <w:basedOn w:val="Normal"/>
    <w:uiPriority w:val="99"/>
    <w:semiHidden/>
    <w:unhideWhenUsed/>
    <w:rsid w:val="00D505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54B"/>
    <w:rPr>
      <w:color w:val="0000FF"/>
      <w:u w:val="single"/>
    </w:rPr>
  </w:style>
  <w:style w:type="paragraph" w:styleId="FootnoteText">
    <w:name w:val="footnote text"/>
    <w:basedOn w:val="Normal"/>
    <w:link w:val="FootnoteTextChar"/>
    <w:uiPriority w:val="99"/>
    <w:semiHidden/>
    <w:unhideWhenUsed/>
    <w:rsid w:val="00D81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F09"/>
    <w:rPr>
      <w:sz w:val="20"/>
      <w:szCs w:val="20"/>
    </w:rPr>
  </w:style>
  <w:style w:type="character" w:styleId="FootnoteReference">
    <w:name w:val="footnote reference"/>
    <w:basedOn w:val="DefaultParagraphFont"/>
    <w:uiPriority w:val="99"/>
    <w:semiHidden/>
    <w:unhideWhenUsed/>
    <w:rsid w:val="00D81F09"/>
    <w:rPr>
      <w:vertAlign w:val="superscript"/>
    </w:rPr>
  </w:style>
</w:styles>
</file>

<file path=word/webSettings.xml><?xml version="1.0" encoding="utf-8"?>
<w:webSettings xmlns:r="http://schemas.openxmlformats.org/officeDocument/2006/relationships" xmlns:w="http://schemas.openxmlformats.org/wordprocessingml/2006/main">
  <w:divs>
    <w:div w:id="112985151">
      <w:bodyDiv w:val="1"/>
      <w:marLeft w:val="0"/>
      <w:marRight w:val="0"/>
      <w:marTop w:val="0"/>
      <w:marBottom w:val="0"/>
      <w:divBdr>
        <w:top w:val="none" w:sz="0" w:space="0" w:color="auto"/>
        <w:left w:val="none" w:sz="0" w:space="0" w:color="auto"/>
        <w:bottom w:val="none" w:sz="0" w:space="0" w:color="auto"/>
        <w:right w:val="none" w:sz="0" w:space="0" w:color="auto"/>
      </w:divBdr>
    </w:div>
    <w:div w:id="154151319">
      <w:bodyDiv w:val="1"/>
      <w:marLeft w:val="0"/>
      <w:marRight w:val="0"/>
      <w:marTop w:val="0"/>
      <w:marBottom w:val="0"/>
      <w:divBdr>
        <w:top w:val="none" w:sz="0" w:space="0" w:color="auto"/>
        <w:left w:val="none" w:sz="0" w:space="0" w:color="auto"/>
        <w:bottom w:val="none" w:sz="0" w:space="0" w:color="auto"/>
        <w:right w:val="none" w:sz="0" w:space="0" w:color="auto"/>
      </w:divBdr>
      <w:divsChild>
        <w:div w:id="1116946330">
          <w:marLeft w:val="0"/>
          <w:marRight w:val="0"/>
          <w:marTop w:val="0"/>
          <w:marBottom w:val="150"/>
          <w:divBdr>
            <w:top w:val="none" w:sz="0" w:space="0" w:color="auto"/>
            <w:left w:val="none" w:sz="0" w:space="0" w:color="auto"/>
            <w:bottom w:val="none" w:sz="0" w:space="0" w:color="auto"/>
            <w:right w:val="none" w:sz="0" w:space="0" w:color="auto"/>
          </w:divBdr>
        </w:div>
      </w:divsChild>
    </w:div>
    <w:div w:id="951473340">
      <w:bodyDiv w:val="1"/>
      <w:marLeft w:val="0"/>
      <w:marRight w:val="0"/>
      <w:marTop w:val="0"/>
      <w:marBottom w:val="0"/>
      <w:divBdr>
        <w:top w:val="none" w:sz="0" w:space="0" w:color="auto"/>
        <w:left w:val="none" w:sz="0" w:space="0" w:color="auto"/>
        <w:bottom w:val="none" w:sz="0" w:space="0" w:color="auto"/>
        <w:right w:val="none" w:sz="0" w:space="0" w:color="auto"/>
      </w:divBdr>
    </w:div>
    <w:div w:id="18097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542601/" TargetMode="External"/><Relationship Id="rId13" Type="http://schemas.openxmlformats.org/officeDocument/2006/relationships/hyperlink" Target="https://indiankanoon.org/doc/45905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diankanoon.org/doc/3675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iankanoon.org/doc/542601/" TargetMode="External"/><Relationship Id="rId5" Type="http://schemas.openxmlformats.org/officeDocument/2006/relationships/webSettings" Target="webSettings.xml"/><Relationship Id="rId15" Type="http://schemas.openxmlformats.org/officeDocument/2006/relationships/hyperlink" Target="https://indiankanoon.org/doc/582753/" TargetMode="External"/><Relationship Id="rId10" Type="http://schemas.openxmlformats.org/officeDocument/2006/relationships/hyperlink" Target="https://indiankanoon.org/doc/1061804/" TargetMode="External"/><Relationship Id="rId4" Type="http://schemas.openxmlformats.org/officeDocument/2006/relationships/settings" Target="settings.xml"/><Relationship Id="rId9" Type="http://schemas.openxmlformats.org/officeDocument/2006/relationships/hyperlink" Target="https://indiankanoon.org/doc/582753/" TargetMode="External"/><Relationship Id="rId14" Type="http://schemas.openxmlformats.org/officeDocument/2006/relationships/hyperlink" Target="https://indiankanoon.org/doc/582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9DE74-867B-4375-A601-76800847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2020-07-14T10:27:00Z</dcterms:created>
  <dcterms:modified xsi:type="dcterms:W3CDTF">2020-07-15T05:56:00Z</dcterms:modified>
</cp:coreProperties>
</file>