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hyperlink r:id="rId2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№ </w:t>
      </w:r>
      <w:r>
        <w:rPr>
          <w:rFonts w:eastAsia="Times New Roman" w:cs="Times New Roman" w:ascii="Times New Roman" w:hAnsi="Times New Roman"/>
          <w:sz w:val="24"/>
          <w:szCs w:val="24"/>
        </w:rPr>
        <w:t>${number}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sz w:val="24"/>
          <w:szCs w:val="24"/>
        </w:rPr>
        <w:t>${contract_number}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-AM- от </w:t>
      </w:r>
      <w:r>
        <w:rPr>
          <w:rFonts w:eastAsia="Times New Roman" w:cs="Times New Roman" w:ascii="Times New Roman" w:hAnsi="Times New Roman"/>
          <w:sz w:val="24"/>
          <w:szCs w:val="24"/>
        </w:rPr>
        <w:t>${contract_date}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t>г. Ташкент                                                                                                      </w:t>
      </w:r>
      <w:r>
        <w:rPr>
          <w:rFonts w:eastAsia="Times New Roman" w:cs="Times New Roman" w:ascii="Times New Roman" w:hAnsi="Times New Roman"/>
          <w:sz w:val="24"/>
          <w:szCs w:val="24"/>
        </w:rPr>
        <w:t>${current_date}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${legal_name}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»,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«Продавец», в лице директора </w:t>
      </w:r>
      <w:r>
        <w:rPr>
          <w:rFonts w:eastAsia="Times New Roman" w:cs="Times New Roman" w:ascii="Times New Roman" w:hAnsi="Times New Roman"/>
          <w:b/>
        </w:rPr>
        <w:t>${</w:t>
      </w:r>
      <w:r>
        <w:rPr>
          <w:rFonts w:eastAsia="Times New Roman" w:cs="Times New Roman" w:ascii="Times New Roman" w:hAnsi="Times New Roman"/>
          <w:b/>
        </w:rPr>
        <w:t>director_name</w:t>
      </w:r>
      <w:r>
        <w:rPr>
          <w:rFonts w:eastAsia="Times New Roman" w:cs="Times New Roman" w:ascii="Times New Roman" w:hAnsi="Times New Roman"/>
          <w:b/>
        </w:rPr>
        <w:t>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действующего на основании Устава, с одной Стороны, и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ООО «ALIF MOLIYA»,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«Покупатель», в лице директора Лафизов Н.Дж,,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П. 3.1. договора изменить и изложить в следующей редакции: Ориентировочная общая стоимость Договора составляет </w:t>
      </w:r>
      <w:r>
        <w:rPr>
          <w:rFonts w:eastAsia="Times New Roman" w:cs="Times New Roman" w:ascii="Times New Roman" w:hAnsi="Times New Roman"/>
          <w:sz w:val="24"/>
          <w:szCs w:val="24"/>
        </w:rPr>
        <w:t>${limit}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</w:rPr>
        <w:t>$limit_text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 сум с учетом НДС 15%.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Настоящее Соглашение является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неотъемлемой частью договора № </w:t>
      </w:r>
      <w:r>
        <w:rPr>
          <w:rFonts w:eastAsia="Times New Roman" w:cs="Times New Roman" w:ascii="Times New Roman" w:hAnsi="Times New Roman"/>
          <w:sz w:val="24"/>
          <w:szCs w:val="24"/>
        </w:rPr>
        <w:t>${contract_number}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-AM от «</w:t>
      </w:r>
      <w:r>
        <w:rPr>
          <w:rFonts w:eastAsia="Times New Roman" w:cs="Times New Roman" w:ascii="Times New Roman" w:hAnsi="Times New Roman"/>
          <w:sz w:val="24"/>
          <w:szCs w:val="24"/>
        </w:rPr>
        <w:t>${contract_date}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 ПРОДАВЦА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«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${legal_name}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»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Адрес: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${address}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${phone}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Банковские реквизиты: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${bank_account}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МФО: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${mfo}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${tin}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ОКЭД: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${oked}</w:t>
            </w:r>
          </w:p>
        </w:tc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 ПОКУПАТЕЛЯ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ООО «ALIF MOLIYA»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Адрес: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г. Ташкент 100070, Яккасарайский район, ул. Ш.Руставели, 12.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+998995 341-41-43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Банковские реквизиты: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Р/с: 2020 8000 3051 2167 8001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 Ойбекском ф-ле “КДБ Банк”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МФО: 01065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306 706 064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ОКЭД: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47.19.0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Директор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,/______________/ 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м.п.</w:t>
            </w:r>
          </w:p>
        </w:tc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Директор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ab/>
              <w:t xml:space="preserve"> </w:t>
              <w:tab/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Лафизов Н.Дж.,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/  _________________  /                             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м.п.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4">
    <w:name w:val="Heading 4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LibreOffice/7.1.2.2$Linux_X86_64 LibreOffice_project/10$Build-2</Application>
  <AppVersion>15.0000</AppVersion>
  <Pages>1</Pages>
  <Words>201</Words>
  <Characters>1418</Characters>
  <CharactersWithSpaces>1732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2021-12-23T12:57:25Z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