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hyperlink r:id="rId2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${number}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-AM от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${contract_date}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г. Ташкент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                                                                                                  « </w:t>
      </w:r>
      <w:r>
        <w:rPr>
          <w:rFonts w:eastAsia="Times New Roman" w:cs="Times New Roman" w:ascii="Times New Roman" w:hAnsi="Times New Roman"/>
          <w:sz w:val="24"/>
          <w:szCs w:val="24"/>
        </w:rPr>
        <w:t>04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» </w:t>
      </w:r>
      <w:r>
        <w:rPr>
          <w:rFonts w:eastAsia="Times New Roman" w:cs="Times New Roman" w:ascii="Times New Roman" w:hAnsi="Times New Roman"/>
          <w:sz w:val="24"/>
          <w:szCs w:val="24"/>
        </w:rPr>
        <w:t>январь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 г.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${legal_name}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именуемое в дальнейшем «Продавец», в лице директора, </w:t>
      </w:r>
      <w:r>
        <w:rPr>
          <w:rFonts w:eastAsia="Times New Roman" w:cs="Times New Roman" w:ascii="Times New Roman" w:hAnsi="Times New Roman"/>
          <w:sz w:val="24"/>
          <w:szCs w:val="24"/>
        </w:rPr>
        <w:t>${director_name}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, действующего на основании Устава, с одной Стороны, и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«Покупатель», в лице директора, Лафизов Н.Дж.,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FFFFFF"/>
        <w:tabs>
          <w:tab w:val="clear" w:pos="720"/>
          <w:tab w:val="left" w:pos="284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Согласно 15 статьи Налогового Кодекса Республики Узбекистан (далее - НК РУ), в налоговых отношениях Стороны обязаны проявлять должную осмотрительность при выборе контрагентов, проверяя наличие их постановки на учет в налоговых органах в качестве налогоплательщиков, деловую репутацию, наличие производственной базы и персонала, финансовое состояние, способность исполнить обязательства по сделке.</w:t>
        <w:br/>
        <w:br/>
        <w:t>Стороны наилучшими своими стараниями должны предпринять все меры и попытки чтобы сохранить надлежащий статуса, обеспечить соответствие их сделок/транзакций действительному экономическому содержанию и в целях налогообложения строго воздерживаться от мнимых (притворных) сделок в силу ст. 14 НК РУ.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Несмотря на проявление должной осмотрительности, если одна из Сторон становится недобросовестным налогоплательщиком с ненадлежащим статусом, с высоким коэффициентом разрыва, все расходы (убытки), понесенные другой Стороной в результате этого, подлежат возмещению в течение 7 дней после выставления требования.  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2. Настоящее соглашение вступает в силу с «</w:t>
      </w:r>
      <w:r>
        <w:rPr>
          <w:rFonts w:eastAsia="Times New Roman" w:cs="Times New Roman" w:ascii="Times New Roman" w:hAnsi="Times New Roman"/>
          <w:sz w:val="24"/>
          <w:szCs w:val="24"/>
        </w:rPr>
        <w:t>04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 </w:t>
      </w:r>
      <w:r>
        <w:rPr>
          <w:rFonts w:eastAsia="Times New Roman" w:cs="Times New Roman" w:ascii="Times New Roman" w:hAnsi="Times New Roman"/>
          <w:sz w:val="24"/>
          <w:szCs w:val="24"/>
        </w:rPr>
        <w:t>январь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02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3. Во всем остальном, что не оговорено настоящим Соглашением, стороны руководствуются положениями договора.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tbl>
      <w:tblPr>
        <w:tblStyle w:val="Table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68"/>
        <w:gridCol w:w="4676"/>
      </w:tblGrid>
      <w:tr>
        <w:trPr/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 ПРОДАВЦА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${legal_name_prefix} «${legal_name}»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${address}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${phone}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${bank_account}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${bank_name}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 ${mfo}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ИНН: ${tin}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Код НДС: ${vat_number}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 ПОКУПАТЕЛЯ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ООО «ALIF MOLIYA»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г. Ташкент 100070, Яккасарайский район, ул. Ш.Руставели, 12.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Айбекском ф-ле “КДБ Банк”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</w:t>
              <w:tab/>
              <w:t>01065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ИНН: 306 706 064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47.19.0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Код НДС: 326040086491</w:t>
            </w:r>
          </w:p>
        </w:tc>
      </w:tr>
      <w:tr>
        <w:trPr/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${director_name}. /________________/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Лафизов Н.Дж. /_________________/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pStyle w:val="LOnormal"/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993" w:footer="0" w:bottom="99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1</Pages>
  <Words>314</Words>
  <Characters>2171</Characters>
  <CharactersWithSpaces>2616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2021-12-30T13:12:29Z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