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70C5" w14:textId="77777777" w:rsidR="00ED2AB6" w:rsidRPr="00ED2AB6" w:rsidRDefault="00ED2AB6" w:rsidP="00ED2AB6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 Report</w:t>
      </w:r>
    </w:p>
    <w:p w14:paraId="6E313132" w14:textId="77777777" w:rsidR="00ED2AB6" w:rsidRPr="00ED2AB6" w:rsidRDefault="00ED2AB6" w:rsidP="00ED2AB6">
      <w:pPr>
        <w:spacing w:before="100" w:beforeAutospacing="1" w:after="100" w:afterAutospacing="1" w:line="240" w:lineRule="auto"/>
        <w:jc w:val="both"/>
        <w:outlineLvl w:val="3"/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1. Methodology</w:t>
      </w:r>
    </w:p>
    <w:p w14:paraId="70394020" w14:textId="77777777" w:rsidR="00ED2AB6" w:rsidRPr="00ED2AB6" w:rsidRDefault="00ED2AB6" w:rsidP="00ED2AB6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>This analysis was conducted using the Johns Hopkins University CSSE COVID-19 Data. The following steps were taken:</w:t>
      </w:r>
    </w:p>
    <w:p w14:paraId="5F5DFA4B" w14:textId="77777777" w:rsidR="00ED2AB6" w:rsidRPr="00ED2AB6" w:rsidRDefault="00ED2AB6" w:rsidP="00ED2A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Data Integration:</w:t>
      </w: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Merged confirmed case and death datasets using the </w:t>
      </w:r>
      <w:r w:rsidRPr="00ED2AB6">
        <w:rPr>
          <w:rFonts w:ascii="Century Gothic" w:eastAsia="Times New Roman" w:hAnsi="Century Gothic" w:cs="Courier New"/>
          <w:kern w:val="0"/>
          <w:sz w:val="20"/>
          <w:szCs w:val="20"/>
          <w:lang w:eastAsia="en-GB"/>
          <w14:ligatures w14:val="none"/>
        </w:rPr>
        <w:t>Combined_Key</w:t>
      </w: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identifier.</w:t>
      </w:r>
    </w:p>
    <w:p w14:paraId="3357F407" w14:textId="77777777" w:rsidR="00ED2AB6" w:rsidRPr="00ED2AB6" w:rsidRDefault="00ED2AB6" w:rsidP="00ED2A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Data Cleaning:</w:t>
      </w: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Addressed missing values in administrative metadata and handled negative data corrections to ensure cumulative integrity.</w:t>
      </w:r>
    </w:p>
    <w:p w14:paraId="50396FC8" w14:textId="77777777" w:rsidR="00ED2AB6" w:rsidRPr="00ED2AB6" w:rsidRDefault="00ED2AB6" w:rsidP="00ED2A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Aggregation:</w:t>
      </w: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Data was aggregated at both national and state levels to identify broad trends and localized hotspots.</w:t>
      </w:r>
    </w:p>
    <w:p w14:paraId="4682312F" w14:textId="77777777" w:rsidR="00ED2AB6" w:rsidRPr="00ED2AB6" w:rsidRDefault="00ED2AB6" w:rsidP="00ED2A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Modeling:</w:t>
      </w: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* </w:t>
      </w:r>
      <w:r w:rsidRPr="00ED2AB6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ARIMA (7,1,1):</w:t>
      </w: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Used to capture weekly seasonality and forecast short-term case movements.</w:t>
      </w:r>
    </w:p>
    <w:p w14:paraId="0BA5B6A3" w14:textId="77777777" w:rsidR="00ED2AB6" w:rsidRPr="00ED2AB6" w:rsidRDefault="00ED2AB6" w:rsidP="00ED2A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Times New Roman"/>
          <w:b/>
          <w:bCs/>
          <w:kern w:val="0"/>
          <w:lang w:eastAsia="en-GB"/>
          <w14:ligatures w14:val="none"/>
        </w:rPr>
        <w:t>LSTM Neural Networks:</w:t>
      </w:r>
      <w:r w:rsidRPr="00ED2AB6">
        <w:rPr>
          <w:rFonts w:ascii="Century Gothic" w:eastAsia="Times New Roman" w:hAnsi="Century Gothic" w:cs="Times New Roman"/>
          <w:kern w:val="0"/>
          <w:lang w:eastAsia="en-GB"/>
          <w14:ligatures w14:val="none"/>
        </w:rPr>
        <w:t xml:space="preserve"> Employed for longer-term pattern recognition across the multiple waves of the pandemic.</w:t>
      </w:r>
    </w:p>
    <w:p w14:paraId="01BCF649" w14:textId="77777777" w:rsidR="00ED2AB6" w:rsidRPr="00ED2AB6" w:rsidRDefault="00ED2AB6" w:rsidP="00ED2AB6">
      <w:pPr>
        <w:spacing w:after="100" w:afterAutospacing="1" w:line="240" w:lineRule="auto"/>
        <w:jc w:val="both"/>
        <w:outlineLvl w:val="3"/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2. Key Results and Findings</w:t>
      </w:r>
    </w:p>
    <w:p w14:paraId="4940FB2D" w14:textId="77777777" w:rsidR="00ED2AB6" w:rsidRPr="00ED2AB6" w:rsidRDefault="00ED2AB6" w:rsidP="00ED2AB6">
      <w:pPr>
        <w:numPr>
          <w:ilvl w:val="0"/>
          <w:numId w:val="2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National Impact: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As of March 9, 2023, the U.S. recorded a total of 103,802,702 confirmed cases and 1,123,836 deaths.</w:t>
      </w:r>
    </w:p>
    <w:p w14:paraId="5CF0D114" w14:textId="77777777" w:rsidR="00ED2AB6" w:rsidRPr="00ED2AB6" w:rsidRDefault="00ED2AB6" w:rsidP="00ED2AB6">
      <w:pPr>
        <w:numPr>
          <w:ilvl w:val="0"/>
          <w:numId w:val="2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Fatality Benchmark: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The overall Case Fatality Rate (CFR) is approximately $1.08\%$.</w:t>
      </w:r>
    </w:p>
    <w:p w14:paraId="1D91D40B" w14:textId="77777777" w:rsidR="00ED2AB6" w:rsidRPr="00ED2AB6" w:rsidRDefault="00ED2AB6" w:rsidP="00ED2AB6">
      <w:pPr>
        <w:numPr>
          <w:ilvl w:val="0"/>
          <w:numId w:val="2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Hardest-Hit States:</w:t>
      </w:r>
    </w:p>
    <w:p w14:paraId="7E80736C" w14:textId="77777777" w:rsidR="00ED2AB6" w:rsidRPr="00ED2AB6" w:rsidRDefault="00ED2AB6" w:rsidP="00ED2AB6">
      <w:pPr>
        <w:numPr>
          <w:ilvl w:val="1"/>
          <w:numId w:val="2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California: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101,159 deaths</w:t>
      </w:r>
    </w:p>
    <w:p w14:paraId="20D8F6BD" w14:textId="77777777" w:rsidR="00ED2AB6" w:rsidRPr="00ED2AB6" w:rsidRDefault="00ED2AB6" w:rsidP="00ED2AB6">
      <w:pPr>
        <w:numPr>
          <w:ilvl w:val="1"/>
          <w:numId w:val="2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Texas: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93,390 deaths</w:t>
      </w:r>
    </w:p>
    <w:p w14:paraId="3E7E77EB" w14:textId="77777777" w:rsidR="00ED2AB6" w:rsidRPr="00ED2AB6" w:rsidRDefault="00ED2AB6" w:rsidP="00ED2AB6">
      <w:pPr>
        <w:numPr>
          <w:ilvl w:val="1"/>
          <w:numId w:val="2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Florida: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86,850 deaths</w:t>
      </w:r>
    </w:p>
    <w:p w14:paraId="14CB423F" w14:textId="2E73E692" w:rsidR="00ED2AB6" w:rsidRPr="00ED2AB6" w:rsidRDefault="00ED2AB6" w:rsidP="00ED2AB6">
      <w:pPr>
        <w:numPr>
          <w:ilvl w:val="0"/>
          <w:numId w:val="2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Regional Growth: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While the pandemic has stabilized nationally, recent data shows reporting anomalies in states like Florida and Vermont, suggesting late-stage administrative data consolidation.</w:t>
      </w:r>
    </w:p>
    <w:p w14:paraId="54B9367D" w14:textId="77777777" w:rsidR="00ED2AB6" w:rsidRPr="00ED2AB6" w:rsidRDefault="00ED2AB6" w:rsidP="00ED2AB6">
      <w:pPr>
        <w:spacing w:after="100" w:afterAutospacing="1" w:line="240" w:lineRule="auto"/>
        <w:jc w:val="both"/>
        <w:outlineLvl w:val="3"/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3. Strategic Insights</w:t>
      </w:r>
    </w:p>
    <w:p w14:paraId="606C3DD0" w14:textId="77777777" w:rsidR="00ED2AB6" w:rsidRPr="00ED2AB6" w:rsidRDefault="00ED2AB6" w:rsidP="00ED2AB6">
      <w:pPr>
        <w:numPr>
          <w:ilvl w:val="0"/>
          <w:numId w:val="3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Seasonal Volatility: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The analysis confirms a strong winter seasonality, with the most significant peaks occurring in January of each year (2021 and 2022).</w:t>
      </w:r>
    </w:p>
    <w:p w14:paraId="338C3DB0" w14:textId="77777777" w:rsidR="00ED2AB6" w:rsidRPr="00ED2AB6" w:rsidRDefault="00ED2AB6" w:rsidP="00ED2AB6">
      <w:pPr>
        <w:numPr>
          <w:ilvl w:val="0"/>
          <w:numId w:val="3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The Omicron Surge: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The early 2022 wave was the most intense in terms of case volume, though medical advancements and vaccination significantly lowered the relative mortality compared to the 2020-21 winter wave.</w:t>
      </w:r>
    </w:p>
    <w:p w14:paraId="26275CB6" w14:textId="42554FFD" w:rsidR="00ED2AB6" w:rsidRPr="00ED2AB6" w:rsidRDefault="00ED2AB6" w:rsidP="00ED2AB6">
      <w:pPr>
        <w:numPr>
          <w:ilvl w:val="0"/>
          <w:numId w:val="3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Reporting Lag: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Significant weekend reporting dips followed by mid-week spikes are present throughout the dataset, necessitating the use of 7</w:t>
      </w:r>
      <w:r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day rolling averages for accurate policy assessment.</w:t>
      </w:r>
    </w:p>
    <w:p w14:paraId="4F1C6871" w14:textId="7AE8E9B0" w:rsidR="00ED2AB6" w:rsidRPr="00ED2AB6" w:rsidRDefault="00ED2AB6" w:rsidP="00ED2AB6">
      <w:pPr>
        <w:spacing w:after="0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</w:p>
    <w:p w14:paraId="0FDF84FB" w14:textId="77777777" w:rsidR="00ED2AB6" w:rsidRPr="00ED2AB6" w:rsidRDefault="00ED2AB6" w:rsidP="00ED2AB6">
      <w:pPr>
        <w:spacing w:after="100" w:afterAutospacing="1" w:line="240" w:lineRule="auto"/>
        <w:jc w:val="both"/>
        <w:outlineLvl w:val="1"/>
        <w:rPr>
          <w:rFonts w:ascii="Century Gothic" w:eastAsia="Times New Roman" w:hAnsi="Century Gothic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sz w:val="36"/>
          <w:szCs w:val="36"/>
          <w:lang w:eastAsia="en-GB"/>
          <w14:ligatures w14:val="none"/>
        </w:rPr>
        <w:lastRenderedPageBreak/>
        <w:t>Policy Implications and Recommendations</w:t>
      </w:r>
    </w:p>
    <w:p w14:paraId="0CFD4111" w14:textId="77777777" w:rsidR="00ED2AB6" w:rsidRPr="00ED2AB6" w:rsidRDefault="00ED2AB6" w:rsidP="00ED2AB6">
      <w:p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Based on the findings of this time-series analysis, the following policy recommendations are proposed:</w:t>
      </w:r>
    </w:p>
    <w:p w14:paraId="6AB5DF46" w14:textId="77777777" w:rsidR="00ED2AB6" w:rsidRPr="00ED2AB6" w:rsidRDefault="00ED2AB6" w:rsidP="00ED2AB6">
      <w:pPr>
        <w:numPr>
          <w:ilvl w:val="0"/>
          <w:numId w:val="4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Adaptive Resource Allocation:</w:t>
      </w:r>
    </w:p>
    <w:p w14:paraId="1490B45B" w14:textId="77777777" w:rsidR="00ED2AB6" w:rsidRDefault="00ED2AB6" w:rsidP="00ED2AB6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Maintain surge capacity in healthcare systems during the November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–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 xml:space="preserve"> </w:t>
      </w: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February window, as data consistently shows a seasonal spike in respiratory infections.</w:t>
      </w:r>
    </w:p>
    <w:p w14:paraId="59BF912B" w14:textId="1ABE60B5" w:rsidR="00ED2AB6" w:rsidRPr="00ED2AB6" w:rsidRDefault="00ED2AB6" w:rsidP="00ED2AB6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Direct mobile vaccination and testing resources to regions showing a positive "Growth Rate" (accelerating cases) rather than just high total volumes.</w:t>
      </w:r>
    </w:p>
    <w:p w14:paraId="2530F9F6" w14:textId="77777777" w:rsidR="00ED2AB6" w:rsidRPr="00ED2AB6" w:rsidRDefault="00ED2AB6" w:rsidP="00ED2AB6">
      <w:pPr>
        <w:numPr>
          <w:ilvl w:val="0"/>
          <w:numId w:val="4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Standardized Reporting Protocols:</w:t>
      </w:r>
    </w:p>
    <w:p w14:paraId="05D76DDB" w14:textId="5923BDC5" w:rsidR="00ED2AB6" w:rsidRPr="00ED2AB6" w:rsidRDefault="00ED2AB6" w:rsidP="00ED2AB6">
      <w:pPr>
        <w:numPr>
          <w:ilvl w:val="1"/>
          <w:numId w:val="4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The "catch-up" spikes observed (e.g., in Florida and Vermont) create artificial panic and complicate modeling. Federal and state health agencies should adopt standardized, daily reporting to ensure data transparency and real-time accuracy.</w:t>
      </w:r>
    </w:p>
    <w:p w14:paraId="7C410555" w14:textId="77777777" w:rsidR="00ED2AB6" w:rsidRPr="00ED2AB6" w:rsidRDefault="00ED2AB6" w:rsidP="00ED2AB6">
      <w:pPr>
        <w:numPr>
          <w:ilvl w:val="0"/>
          <w:numId w:val="4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Focus on Regional Vulnerability:</w:t>
      </w:r>
    </w:p>
    <w:p w14:paraId="657689F5" w14:textId="77777777" w:rsidR="00ED2AB6" w:rsidRPr="00ED2AB6" w:rsidRDefault="00ED2AB6" w:rsidP="00ED2AB6">
      <w:pPr>
        <w:numPr>
          <w:ilvl w:val="1"/>
          <w:numId w:val="4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Policy should shift from national mandates to regional interventions. States like Pennsylvania and New York have shown high cumulative deaths despite lower recent case growth, indicating a need for continued long-term care support and monitoring of "Long COVID" impacts in these early-hit regions.</w:t>
      </w:r>
    </w:p>
    <w:p w14:paraId="0F97746B" w14:textId="77777777" w:rsidR="00ED2AB6" w:rsidRPr="00ED2AB6" w:rsidRDefault="00ED2AB6" w:rsidP="00ED2AB6">
      <w:pPr>
        <w:numPr>
          <w:ilvl w:val="0"/>
          <w:numId w:val="4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b/>
          <w:bCs/>
          <w:kern w:val="0"/>
          <w:lang w:eastAsia="en-GB"/>
          <w14:ligatures w14:val="none"/>
        </w:rPr>
        <w:t>Investment in Predictive Modeling:</w:t>
      </w:r>
    </w:p>
    <w:p w14:paraId="4059DC60" w14:textId="77777777" w:rsidR="00ED2AB6" w:rsidRPr="00ED2AB6" w:rsidRDefault="00ED2AB6" w:rsidP="00ED2AB6">
      <w:pPr>
        <w:numPr>
          <w:ilvl w:val="1"/>
          <w:numId w:val="4"/>
        </w:numPr>
        <w:spacing w:after="100" w:afterAutospacing="1" w:line="240" w:lineRule="auto"/>
        <w:jc w:val="both"/>
        <w:rPr>
          <w:rFonts w:ascii="Century Gothic" w:eastAsia="Times New Roman" w:hAnsi="Century Gothic" w:cs="Arial"/>
          <w:kern w:val="0"/>
          <w:lang w:eastAsia="en-GB"/>
          <w14:ligatures w14:val="none"/>
        </w:rPr>
      </w:pPr>
      <w:r w:rsidRPr="00ED2AB6">
        <w:rPr>
          <w:rFonts w:ascii="Century Gothic" w:eastAsia="Times New Roman" w:hAnsi="Century Gothic" w:cs="Arial"/>
          <w:kern w:val="0"/>
          <w:lang w:eastAsia="en-GB"/>
          <w14:ligatures w14:val="none"/>
        </w:rPr>
        <w:t>The success of the LSTM and ARIMA models in tracking waves suggests that local governments should integrate these machine learning tools into their "Early Warning Systems" to trigger pre-emptive public health messaging before a wave reaches its peak.</w:t>
      </w:r>
    </w:p>
    <w:p w14:paraId="12F01E73" w14:textId="77777777" w:rsidR="00ED2AB6" w:rsidRPr="00ED2AB6" w:rsidRDefault="00ED2AB6" w:rsidP="00ED2AB6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n-GB"/>
          <w14:ligatures w14:val="none"/>
        </w:rPr>
      </w:pPr>
    </w:p>
    <w:p w14:paraId="1F17BEDC" w14:textId="77777777" w:rsidR="00C26380" w:rsidRPr="00ED2AB6" w:rsidRDefault="00C26380" w:rsidP="00ED2AB6">
      <w:pPr>
        <w:jc w:val="both"/>
        <w:rPr>
          <w:rFonts w:ascii="Century Gothic" w:hAnsi="Century Gothic"/>
        </w:rPr>
      </w:pPr>
    </w:p>
    <w:sectPr w:rsidR="00C26380" w:rsidRPr="00ED2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0501"/>
    <w:multiLevelType w:val="multilevel"/>
    <w:tmpl w:val="5C4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B4D1B"/>
    <w:multiLevelType w:val="multilevel"/>
    <w:tmpl w:val="79B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B42B2"/>
    <w:multiLevelType w:val="multilevel"/>
    <w:tmpl w:val="CBD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66110"/>
    <w:multiLevelType w:val="multilevel"/>
    <w:tmpl w:val="9084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E765E"/>
    <w:multiLevelType w:val="hybridMultilevel"/>
    <w:tmpl w:val="8AA0AC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2172531">
    <w:abstractNumId w:val="2"/>
  </w:num>
  <w:num w:numId="2" w16cid:durableId="840197030">
    <w:abstractNumId w:val="1"/>
  </w:num>
  <w:num w:numId="3" w16cid:durableId="932057804">
    <w:abstractNumId w:val="0"/>
  </w:num>
  <w:num w:numId="4" w16cid:durableId="1926498127">
    <w:abstractNumId w:val="3"/>
  </w:num>
  <w:num w:numId="5" w16cid:durableId="1612396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B6"/>
    <w:rsid w:val="008D0455"/>
    <w:rsid w:val="00C26380"/>
    <w:rsid w:val="00CF7B35"/>
    <w:rsid w:val="00ED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9EBA"/>
  <w15:chartTrackingRefBased/>
  <w15:docId w15:val="{DD46EB12-C81A-E747-9344-6A78D35A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2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2AB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D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Orelebile H. Otukile</dc:creator>
  <cp:keywords/>
  <dc:description/>
  <cp:lastModifiedBy>Orelebile H. Otukile</cp:lastModifiedBy>
  <cp:revision>1</cp:revision>
  <dcterms:created xsi:type="dcterms:W3CDTF">2026-03-23T12:50:00Z</dcterms:created>
  <dcterms:modified xsi:type="dcterms:W3CDTF">2026-03-23T12:57:00Z</dcterms:modified>
</cp:coreProperties>
</file>