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9692" w14:textId="34D8805D" w:rsidR="00C23E6C" w:rsidRDefault="009A5D24" w:rsidP="00C23E6C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u w:val="single"/>
          <w:lang w:eastAsia="en-GB"/>
          <w14:ligatures w14:val="none"/>
        </w:rPr>
      </w:pPr>
      <w:r w:rsidRPr="009A5D24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u w:val="single"/>
          <w:lang w:eastAsia="en-GB"/>
          <w14:ligatures w14:val="none"/>
        </w:rPr>
        <w:t>RISK ASSESSMENT FOR ALPHA DREAMERS BANK CONSORTIUM LOAN PORTFOLIO ANALYSIS</w:t>
      </w:r>
    </w:p>
    <w:p w14:paraId="63AE87D4" w14:textId="77777777" w:rsidR="009A5D24" w:rsidRPr="00C23E6C" w:rsidRDefault="009A5D24" w:rsidP="00C23E6C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u w:val="single"/>
          <w:lang w:eastAsia="en-GB"/>
          <w14:ligatures w14:val="none"/>
        </w:rPr>
      </w:pPr>
    </w:p>
    <w:p w14:paraId="370D39B4" w14:textId="77777777" w:rsidR="00C23E6C" w:rsidRPr="00C23E6C" w:rsidRDefault="00C23E6C" w:rsidP="00C23E6C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1. The Business Problem: Balancing Growth and Risk</w:t>
      </w:r>
    </w:p>
    <w:p w14:paraId="7E7D13B7" w14:textId="70E6949A" w:rsidR="00C23E6C" w:rsidRDefault="00C23E6C" w:rsidP="009A5D2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Alpha Dreamers Bank faces a challenge common to the financial sector: optimizing a large-scale loan portfolio (252,000 active loans) while maintaining a stable default rate. Currently, the bank operates with an overall default rate of 12.3%</w:t>
      </w:r>
      <w:r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as per the pie chart below:</w:t>
      </w:r>
    </w:p>
    <w:p w14:paraId="568EA45C" w14:textId="0F296CD5" w:rsidR="00C23E6C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4340EFC2" wp14:editId="2D3AD126">
            <wp:extent cx="4965671" cy="2963119"/>
            <wp:effectExtent l="0" t="0" r="635" b="0"/>
            <wp:docPr id="180715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617" cy="30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BB03" w14:textId="0D356D50" w:rsidR="00C23E6C" w:rsidRPr="00C23E6C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i/>
          <w:iCs/>
          <w:kern w:val="0"/>
          <w:sz w:val="21"/>
          <w:szCs w:val="21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i/>
          <w:iCs/>
          <w:kern w:val="0"/>
          <w:sz w:val="21"/>
          <w:szCs w:val="21"/>
          <w:lang w:eastAsia="en-GB"/>
          <w14:ligatures w14:val="none"/>
        </w:rPr>
        <w:t>Chart 1</w:t>
      </w:r>
    </w:p>
    <w:p w14:paraId="018A3F20" w14:textId="77777777" w:rsidR="009A5D24" w:rsidRDefault="00C23E6C" w:rsidP="009A5D2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The core business problem lies in identifying the high-risk segments</w:t>
      </w:r>
      <w:r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defined by applicant demographics, socioeconomic status, and geographic location</w:t>
      </w:r>
      <w:r w:rsidR="009A5D24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to refine credit</w:t>
      </w:r>
      <w:r w:rsidR="009A5D24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underwriting models. By understanding the </w:t>
      </w:r>
      <w:r w:rsidR="009A5D24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‘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Risk Density</w:t>
      </w:r>
      <w:r w:rsidR="009A5D24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’ 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across various variables, the bank aims to reduce losses from "Charged Off" loans while continuing to serve profitable market segments.</w:t>
      </w:r>
    </w:p>
    <w:p w14:paraId="518B8673" w14:textId="44FB8E2D" w:rsidR="00C23E6C" w:rsidRPr="00C23E6C" w:rsidRDefault="00C23E6C" w:rsidP="009A5D2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2. Key Insights and Research Questions Answered</w:t>
      </w:r>
    </w:p>
    <w:p w14:paraId="70B1B946" w14:textId="7051E528" w:rsidR="00C23E6C" w:rsidRPr="00C23E6C" w:rsidRDefault="00C23E6C" w:rsidP="0002670B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The EDA process utilized a series of high</w:t>
      </w:r>
      <w:r w:rsidR="009A5D24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fidelity visualizations to answer specific research questions regarding the drivers of loan defaults.</w:t>
      </w:r>
    </w:p>
    <w:p w14:paraId="6D1DA7EA" w14:textId="77777777" w:rsidR="00C23E6C" w:rsidRPr="00C23E6C" w:rsidRDefault="00C23E6C" w:rsidP="00C23E6C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n-GB"/>
          <w14:ligatures w14:val="none"/>
        </w:rPr>
        <w:t>A. Socioeconomic and Professional Risk Factors</w:t>
      </w:r>
    </w:p>
    <w:p w14:paraId="7E9D28CF" w14:textId="77777777" w:rsidR="0002670B" w:rsidRDefault="0002670B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49C4A599" w14:textId="77777777" w:rsidR="0002670B" w:rsidRDefault="0002670B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</w:p>
    <w:p w14:paraId="669D6CEB" w14:textId="6E3386BB" w:rsidR="0002670B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lastRenderedPageBreak/>
        <w:t>Research Question</w:t>
      </w:r>
      <w:r w:rsidR="0002670B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 xml:space="preserve"> 1</w:t>
      </w:r>
    </w:p>
    <w:p w14:paraId="25BFB505" w14:textId="690B03CB" w:rsidR="00C23E6C" w:rsidRDefault="00C23E6C" w:rsidP="0002670B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i/>
          <w:iCs/>
          <w:kern w:val="0"/>
          <w:lang w:eastAsia="en-GB"/>
          <w14:ligatures w14:val="none"/>
        </w:rPr>
        <w:t>Do specific professions or job stability levels correlate more strongly with loan defaults?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The analysis revealed significant variance across different career paths.</w:t>
      </w:r>
    </w:p>
    <w:p w14:paraId="7E07746F" w14:textId="067F4628" w:rsidR="0002670B" w:rsidRDefault="0002670B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5BB31D9C" wp14:editId="0183C28A">
            <wp:extent cx="5592614" cy="2706463"/>
            <wp:effectExtent l="0" t="0" r="0" b="0"/>
            <wp:docPr id="1714652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66" cy="270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EB36" w14:textId="55641E3A" w:rsidR="0002670B" w:rsidRPr="00C23E6C" w:rsidRDefault="0002670B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i/>
          <w:iCs/>
          <w:kern w:val="0"/>
          <w:sz w:val="22"/>
          <w:szCs w:val="22"/>
          <w:lang w:eastAsia="en-GB"/>
          <w14:ligatures w14:val="none"/>
        </w:rPr>
      </w:pPr>
      <w:r w:rsidRPr="0002670B">
        <w:rPr>
          <w:rFonts w:ascii="Century Gothic" w:eastAsia="Times New Roman" w:hAnsi="Century Gothic" w:cs="Times New Roman"/>
          <w:b/>
          <w:bCs/>
          <w:i/>
          <w:iCs/>
          <w:kern w:val="0"/>
          <w:sz w:val="22"/>
          <w:szCs w:val="22"/>
          <w:lang w:eastAsia="en-GB"/>
          <w14:ligatures w14:val="none"/>
        </w:rPr>
        <w:t>Chart 2</w:t>
      </w:r>
    </w:p>
    <w:p w14:paraId="469041C7" w14:textId="77777777" w:rsidR="00C23E6C" w:rsidRDefault="00C23E6C" w:rsidP="0002670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High-Risk Professions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Police officers (approx. 16.5%), Chartered Accountants, and Army Officers exhibit default rates significantly higher than the bank’s 12.3% average.</w:t>
      </w:r>
    </w:p>
    <w:p w14:paraId="1A3E594A" w14:textId="4449B6E3" w:rsidR="0002670B" w:rsidRDefault="0002670B" w:rsidP="0002670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5AF9E872" wp14:editId="128EF840">
            <wp:extent cx="5731510" cy="3331210"/>
            <wp:effectExtent l="0" t="0" r="0" b="0"/>
            <wp:docPr id="1397097936" name="Picture 4" descr="A graph of a job stabi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7936" name="Picture 4" descr="A graph of a job stabil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01AB" w14:textId="213E6A06" w:rsidR="0002670B" w:rsidRPr="00C23E6C" w:rsidRDefault="0002670B" w:rsidP="0002670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i/>
          <w:iCs/>
          <w:kern w:val="0"/>
          <w:sz w:val="22"/>
          <w:szCs w:val="22"/>
          <w:lang w:eastAsia="en-GB"/>
          <w14:ligatures w14:val="none"/>
        </w:rPr>
      </w:pPr>
      <w:r w:rsidRPr="0002670B">
        <w:rPr>
          <w:rFonts w:ascii="Century Gothic" w:eastAsia="Times New Roman" w:hAnsi="Century Gothic" w:cs="Times New Roman"/>
          <w:b/>
          <w:bCs/>
          <w:i/>
          <w:iCs/>
          <w:kern w:val="0"/>
          <w:sz w:val="22"/>
          <w:szCs w:val="22"/>
          <w:lang w:eastAsia="en-GB"/>
          <w14:ligatures w14:val="none"/>
        </w:rPr>
        <w:t>Chart 3</w:t>
      </w:r>
    </w:p>
    <w:p w14:paraId="27385BA4" w14:textId="7E68097F" w:rsidR="00C23E6C" w:rsidRPr="00C23E6C" w:rsidRDefault="00C23E6C" w:rsidP="0002670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lastRenderedPageBreak/>
        <w:t>Job Stability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A critical non-linear trend was observed in job stability. Applicants with 1–3 years of experience ha</w:t>
      </w:r>
      <w:r w:rsidR="0002670B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ve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the highest default probability (16.3%), whereas risk tended to stabilize or decrease slightly as tenure exceeded five years.</w:t>
      </w:r>
    </w:p>
    <w:p w14:paraId="38206F15" w14:textId="77777777" w:rsidR="00C23E6C" w:rsidRPr="00C23E6C" w:rsidRDefault="00C23E6C" w:rsidP="00C23E6C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n-GB"/>
          <w14:ligatures w14:val="none"/>
        </w:rPr>
        <w:t>B. Demographic and Marital Status Impact</w:t>
      </w:r>
    </w:p>
    <w:p w14:paraId="44C42B3E" w14:textId="77777777" w:rsidR="0002670B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Research Question</w:t>
      </w:r>
      <w:r w:rsidR="0002670B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 xml:space="preserve"> 2</w:t>
      </w:r>
    </w:p>
    <w:p w14:paraId="4F523D90" w14:textId="34BBB25B" w:rsidR="00C23E6C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i/>
          <w:i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i/>
          <w:iCs/>
          <w:kern w:val="0"/>
          <w:lang w:eastAsia="en-GB"/>
          <w14:ligatures w14:val="none"/>
        </w:rPr>
        <w:t>How do age and marital status influence repayment behavior?</w:t>
      </w:r>
    </w:p>
    <w:p w14:paraId="276FB4B7" w14:textId="70D5AEAF" w:rsidR="0002670B" w:rsidRPr="00C23E6C" w:rsidRDefault="0002670B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509B61FD" wp14:editId="4EDFA221">
            <wp:extent cx="5731510" cy="3420110"/>
            <wp:effectExtent l="0" t="0" r="0" b="0"/>
            <wp:docPr id="1224360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9B5A" w14:textId="77777777" w:rsidR="00C23E6C" w:rsidRDefault="00C23E6C" w:rsidP="0002670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Age Density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The Risk Density Analysis shows a "risk spike" in younger applicants, particularly those in their mid-20s. While the distribution of non-defaulters is relatively even across ages 30–80, the density of risk is most concentrated in the early career stage.</w:t>
      </w:r>
    </w:p>
    <w:p w14:paraId="0CF6D324" w14:textId="762ADE20" w:rsidR="0002670B" w:rsidRPr="00C23E6C" w:rsidRDefault="0002670B" w:rsidP="0002670B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65987AF7" wp14:editId="25B253FD">
            <wp:extent cx="5370830" cy="3507105"/>
            <wp:effectExtent l="0" t="0" r="1270" b="0"/>
            <wp:docPr id="163223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7D9A" w14:textId="77777777" w:rsidR="00C23E6C" w:rsidRPr="00C23E6C" w:rsidRDefault="00C23E6C" w:rsidP="0002670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Marital Status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Marital status proved to be a notable predictor. Single individuals defaulted at a rate higher than the bank average, whereas married applicants demonstrated significantly lower default probabilities (approx. 10.2%).</w:t>
      </w:r>
    </w:p>
    <w:p w14:paraId="33F32F60" w14:textId="77777777" w:rsidR="00C23E6C" w:rsidRPr="00C23E6C" w:rsidRDefault="00C23E6C" w:rsidP="00C23E6C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n-GB"/>
          <w14:ligatures w14:val="none"/>
        </w:rPr>
        <w:t>C. Financial and Income Brackets</w:t>
      </w:r>
    </w:p>
    <w:p w14:paraId="6DB8FC23" w14:textId="77777777" w:rsidR="003D5D9A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Research Question</w:t>
      </w:r>
      <w:r w:rsidR="003D5D9A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m 3</w:t>
      </w:r>
    </w:p>
    <w:p w14:paraId="136D32B8" w14:textId="4B5A9954" w:rsidR="00C23E6C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i/>
          <w:i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i/>
          <w:iCs/>
          <w:kern w:val="0"/>
          <w:lang w:eastAsia="en-GB"/>
          <w14:ligatures w14:val="none"/>
        </w:rPr>
        <w:t>Does a higher income level guarantee lower default risk?</w:t>
      </w:r>
    </w:p>
    <w:p w14:paraId="76CCDE7A" w14:textId="261E49A1" w:rsidR="0002670B" w:rsidRPr="00C23E6C" w:rsidRDefault="0002670B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72FB5CEF" wp14:editId="3029268D">
            <wp:extent cx="5347335" cy="3484245"/>
            <wp:effectExtent l="0" t="0" r="0" b="0"/>
            <wp:docPr id="1558972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2ADF" w14:textId="3D92EEBD" w:rsidR="00C23E6C" w:rsidRPr="00C23E6C" w:rsidRDefault="00C23E6C" w:rsidP="007377B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The Income Paradox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Interestingly, default risk does not follow a perfectly linear downward path as income increases. While the 0–2M income bracket shows high risk, a secondary spike occurs in the 8–10M bracket (approx. 12.8%). This suggests that "over-leveraging" is a risk even among high earners.</w:t>
      </w:r>
    </w:p>
    <w:p w14:paraId="690E83B4" w14:textId="77777777" w:rsidR="00C23E6C" w:rsidRPr="00C23E6C" w:rsidRDefault="00C23E6C" w:rsidP="00C23E6C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n-GB"/>
          <w14:ligatures w14:val="none"/>
        </w:rPr>
        <w:t>3. Geographic and Asset-Based Findings</w:t>
      </w:r>
    </w:p>
    <w:p w14:paraId="38DF52DA" w14:textId="77777777" w:rsidR="003D5D9A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Research Question</w:t>
      </w:r>
      <w:r w:rsidR="003D5D9A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 xml:space="preserve"> 4</w:t>
      </w:r>
    </w:p>
    <w:p w14:paraId="6CDF704C" w14:textId="456B1A5E" w:rsidR="00C23E6C" w:rsidRDefault="00C23E6C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i/>
          <w:iCs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i/>
          <w:iCs/>
          <w:kern w:val="0"/>
          <w:lang w:eastAsia="en-GB"/>
          <w14:ligatures w14:val="none"/>
        </w:rPr>
        <w:t>Where is the risk geographically concentrated, and how does asset ownership mitigate it?</w:t>
      </w:r>
    </w:p>
    <w:p w14:paraId="33D51035" w14:textId="6BF1A065" w:rsidR="007377BD" w:rsidRPr="00C23E6C" w:rsidRDefault="007377BD" w:rsidP="00C23E6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2FA32214" wp14:editId="49AB8075">
            <wp:extent cx="5731510" cy="3256915"/>
            <wp:effectExtent l="0" t="0" r="0" b="0"/>
            <wp:docPr id="887285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00A1" w14:textId="77777777" w:rsidR="00C23E6C" w:rsidRDefault="00C23E6C" w:rsidP="007377B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Geographic Hotspots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: Uttar Pradesh (3,343 defaults) and West Bengal (3,009 defaults) are the high-volume risk leaders. At the city level, </w:t>
      </w: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Kochi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and </w:t>
      </w: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Satna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recorded the highest absolute numbers of defaulters.</w:t>
      </w:r>
    </w:p>
    <w:p w14:paraId="6FCB19A0" w14:textId="6DD8AA98" w:rsidR="007377BD" w:rsidRPr="00C23E6C" w:rsidRDefault="007377BD" w:rsidP="007377BD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2C157318" wp14:editId="4DED2C85">
            <wp:extent cx="3206115" cy="2604135"/>
            <wp:effectExtent l="0" t="0" r="0" b="0"/>
            <wp:docPr id="880506142" name="Picture 9" descr="A blue circle with orang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06142" name="Picture 9" descr="A blue circle with orange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056C" w14:textId="77777777" w:rsidR="00C23E6C" w:rsidRPr="00C23E6C" w:rsidRDefault="00C23E6C" w:rsidP="007377B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Housing Stability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A staggering 94% of all risky customers are in rented accommodations. Only 3.7% of defaulters owned their homes, highlighting that home ownership is perhaps the strongest single indicator of loan safety in the bank's current portfolio.</w:t>
      </w:r>
    </w:p>
    <w:p w14:paraId="5F51A70C" w14:textId="77777777" w:rsidR="00C23E6C" w:rsidRPr="00C23E6C" w:rsidRDefault="00C23E6C" w:rsidP="00C23E6C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n-GB"/>
          <w14:ligatures w14:val="none"/>
        </w:rPr>
        <w:t>4. Conclusion and Strategic Recommendations</w:t>
      </w:r>
    </w:p>
    <w:p w14:paraId="5A8254A5" w14:textId="77777777" w:rsidR="00C23E6C" w:rsidRPr="00C23E6C" w:rsidRDefault="00C23E6C" w:rsidP="003D5D9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The EDA process has successfully shifted the bank's understanding from a general "12.3% risk" to a granular "Segment-Specific Risk."</w:t>
      </w:r>
    </w:p>
    <w:p w14:paraId="54F61D40" w14:textId="77777777" w:rsidR="00C23E6C" w:rsidRPr="00C23E6C" w:rsidRDefault="00C23E6C" w:rsidP="003D5D9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lastRenderedPageBreak/>
        <w:t>Moving forward, Alpha Dreamers Bank should:</w:t>
      </w:r>
    </w:p>
    <w:p w14:paraId="00CCFBE4" w14:textId="77777777" w:rsidR="00C23E6C" w:rsidRPr="00C23E6C" w:rsidRDefault="00C23E6C" w:rsidP="003D5D9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Refine Underwriting for the 1–3 Year Job Bracket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Implement stricter verification or lower loan limits for this specific career phase.</w:t>
      </w:r>
    </w:p>
    <w:p w14:paraId="52E812EC" w14:textId="77777777" w:rsidR="00C23E6C" w:rsidRPr="00C23E6C" w:rsidRDefault="00C23E6C" w:rsidP="003D5D9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Target Homeowners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Create incentive-based loan products for homeowners, as they represent the lowest-risk segment.</w:t>
      </w:r>
    </w:p>
    <w:p w14:paraId="2C2AD150" w14:textId="4A0A05A1" w:rsidR="00C23E6C" w:rsidRPr="00C23E6C" w:rsidRDefault="00C23E6C" w:rsidP="003D5D9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Geographic Adjustments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: Re-evaluate credit scoring in high</w:t>
      </w:r>
      <w:r w:rsidR="003D5D9A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</w:t>
      </w: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volume default states like Uttar Pradesh and West Bengal.</w:t>
      </w:r>
    </w:p>
    <w:p w14:paraId="2444D6E3" w14:textId="4FA4B545" w:rsidR="002F2E0C" w:rsidRPr="00395BF5" w:rsidRDefault="00C23E6C" w:rsidP="00395BF5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C23E6C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By addressing these specific "risk clusters," the bank can strategically lower its default rate while maintaining its volume of 252,000 loans.</w:t>
      </w:r>
    </w:p>
    <w:p w14:paraId="40153B8C" w14:textId="5063F797" w:rsidR="002F2E0C" w:rsidRDefault="002F2E0C"/>
    <w:p w14:paraId="3C808EFE" w14:textId="52F1AF90" w:rsidR="002F2E0C" w:rsidRDefault="002F2E0C"/>
    <w:p w14:paraId="5CD39B6E" w14:textId="1AD1633C" w:rsidR="002F2E0C" w:rsidRDefault="002F2E0C" w:rsidP="002F2E0C">
      <w:pPr>
        <w:jc w:val="center"/>
      </w:pPr>
    </w:p>
    <w:p w14:paraId="6487B5A6" w14:textId="040CB311" w:rsidR="002F2E0C" w:rsidRDefault="002F2E0C" w:rsidP="002F2E0C">
      <w:pPr>
        <w:jc w:val="center"/>
      </w:pPr>
    </w:p>
    <w:p w14:paraId="2418E755" w14:textId="77777777" w:rsidR="002F2E0C" w:rsidRDefault="002F2E0C" w:rsidP="00C23E6C"/>
    <w:sectPr w:rsidR="002F2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74EE"/>
    <w:multiLevelType w:val="multilevel"/>
    <w:tmpl w:val="485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EED"/>
    <w:multiLevelType w:val="multilevel"/>
    <w:tmpl w:val="303A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36C58"/>
    <w:multiLevelType w:val="multilevel"/>
    <w:tmpl w:val="6E4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14C8B"/>
    <w:multiLevelType w:val="multilevel"/>
    <w:tmpl w:val="7BC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850D0"/>
    <w:multiLevelType w:val="multilevel"/>
    <w:tmpl w:val="E76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19576">
    <w:abstractNumId w:val="2"/>
  </w:num>
  <w:num w:numId="2" w16cid:durableId="286742436">
    <w:abstractNumId w:val="3"/>
  </w:num>
  <w:num w:numId="3" w16cid:durableId="386882773">
    <w:abstractNumId w:val="4"/>
  </w:num>
  <w:num w:numId="4" w16cid:durableId="1569459784">
    <w:abstractNumId w:val="0"/>
  </w:num>
  <w:num w:numId="5" w16cid:durableId="41185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0C"/>
    <w:rsid w:val="0002670B"/>
    <w:rsid w:val="00246C25"/>
    <w:rsid w:val="002F2E0C"/>
    <w:rsid w:val="00395BF5"/>
    <w:rsid w:val="003D5D9A"/>
    <w:rsid w:val="007377BD"/>
    <w:rsid w:val="00851C8C"/>
    <w:rsid w:val="009A5D24"/>
    <w:rsid w:val="00C23E6C"/>
    <w:rsid w:val="00C26380"/>
    <w:rsid w:val="00CF7B35"/>
    <w:rsid w:val="00D0221B"/>
    <w:rsid w:val="00F3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A460"/>
  <w15:chartTrackingRefBased/>
  <w15:docId w15:val="{530CEC8E-E610-C74A-93AA-379B29D9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Orelebile H. Otukile</dc:creator>
  <cp:keywords/>
  <dc:description/>
  <cp:lastModifiedBy>Orelebile H. Otukile</cp:lastModifiedBy>
  <cp:revision>6</cp:revision>
  <dcterms:created xsi:type="dcterms:W3CDTF">2026-03-03T08:47:00Z</dcterms:created>
  <dcterms:modified xsi:type="dcterms:W3CDTF">2026-03-03T11:41:00Z</dcterms:modified>
</cp:coreProperties>
</file>