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Product Vision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Completa los campos a continuación. Usa frases cortas y medibles.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Para (segmento/usuario objetivo):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Estudiantes universitarios y de educación superior que necesitan organizar y comprender mejor sus materiales de estudio.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Que (necesidad/problema):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Enfrentan sobrecarga de información en documentos largos y dificultad para medir su progreso académico.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Nuestro producto es (categoría):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plataforma web con asistente de estudio basado en IA.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Que a diferencia de (alternativas):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Resúmenes manuales, apuntes dispersos o apps genéricas de notas.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Entregará (beneficio clave/propuesta de valor):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Resúmenes automáticos claros, quizzes adaptativos y un panel de progreso que optimiza el aprendizaje de forma personalizada.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KPIs de éxito (medibles):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≥ 80% de los usuarios completan al menos un quiz semanal.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estudio efectivo se reduce en 30%.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menos 70% reporta mayor comprensión del material.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Retención de usuarios mes a mes ≥ 60%.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Elevator Pitch (1-2 frases):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StudyForge es un asistente de estudio con IA que transforma documentos en resúmenes claros, quizzes adaptativos y métricas de progreso, ayudando a los estudiantes a aprender mejor y más rápido.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No-Objetivos (fuera de alcance)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Sustituir al profesor o tutor.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contenido académico nuevo (solo trabaja con el material del usuario).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inmediata con sistemas LMS externos en esta fase inicial.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0iD5yHlwfTwdxC9SBkjESjHKQ==">CgMxLjA4AHIhMVI5RXpMY0VkQ3JHRzBCNXBCN2J1ZFZ0bzFCc0Z1eXRo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