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ind w:left="0" w:right="0" w:hanging="0"/>
        <w:jc w:val="center"/>
        <w:rPr>
          <w:rFonts w:ascii="Times New Roman" w:hAnsi="Times New Roman"/>
          <w:b/>
          <w:b/>
          <w:strike w:val="false"/>
          <w:dstrike w:val="false"/>
          <w:color w:val="000000"/>
          <w:spacing w:val="-8"/>
          <w:w w:val="95"/>
          <w:position w:val="0"/>
          <w:sz w:val="22"/>
          <w:sz w:val="25"/>
          <w:vertAlign w:val="baseline"/>
          <w:lang w:val="en-US"/>
        </w:rPr>
      </w:pPr>
      <w:r>
        <w:rPr>
          <w:rFonts w:ascii="Times New Roman" w:hAnsi="Times New Roman"/>
          <w:b/>
          <w:strike w:val="false"/>
          <w:dstrike w:val="false"/>
          <w:color w:val="000000"/>
          <w:spacing w:val="-8"/>
          <w:w w:val="95"/>
          <w:position w:val="0"/>
          <w:sz w:val="25"/>
          <w:sz w:val="25"/>
          <w:vertAlign w:val="baseline"/>
          <w:lang w:val="en-US"/>
        </w:rPr>
        <w:t xml:space="preserve">THE RATE OF RETURN TO CORPORATE </w:t>
        <w:br/>
      </w:r>
      <w:r>
        <w:rPr>
          <w:rFonts w:ascii="Times New Roman" w:hAnsi="Times New Roman"/>
          <w:b/>
          <w:strike w:val="false"/>
          <w:dstrike w:val="false"/>
          <w:color w:val="000000"/>
          <w:spacing w:val="-2"/>
          <w:w w:val="95"/>
          <w:position w:val="0"/>
          <w:sz w:val="25"/>
          <w:sz w:val="25"/>
          <w:vertAlign w:val="baseline"/>
          <w:lang w:val="en-US"/>
        </w:rPr>
        <w:t xml:space="preserve">CAPITAL AND FACTOR SHARES: NEW </w:t>
        <w:br/>
      </w:r>
      <w:r>
        <w:rPr>
          <w:rFonts w:ascii="Times New Roman" w:hAnsi="Times New Roman"/>
          <w:b/>
          <w:strike w:val="false"/>
          <w:dstrike w:val="false"/>
          <w:color w:val="000000"/>
          <w:spacing w:val="-7"/>
          <w:w w:val="95"/>
          <w:position w:val="0"/>
          <w:sz w:val="25"/>
          <w:sz w:val="25"/>
          <w:vertAlign w:val="baseline"/>
          <w:lang w:val="en-US"/>
        </w:rPr>
        <w:t xml:space="preserve">ESTIMATES USING REVISED NATIONAL </w:t>
        <w:br/>
      </w:r>
      <w:r>
        <w:rPr>
          <w:rFonts w:ascii="Times New Roman" w:hAnsi="Times New Roman"/>
          <w:b/>
          <w:strike w:val="false"/>
          <w:dstrike w:val="false"/>
          <w:color w:val="000000"/>
          <w:spacing w:val="-2"/>
          <w:w w:val="95"/>
          <w:position w:val="0"/>
          <w:sz w:val="25"/>
          <w:sz w:val="25"/>
          <w:vertAlign w:val="baseline"/>
          <w:lang w:val="en-US"/>
        </w:rPr>
        <w:t xml:space="preserve">INCOME ACCOUNTS AND CAPITAL </w:t>
        <w:br/>
      </w:r>
      <w:r>
        <w:rPr>
          <w:rFonts w:ascii="Times New Roman" w:hAnsi="Times New Roman"/>
          <w:b/>
          <w:strike w:val="false"/>
          <w:dstrike w:val="false"/>
          <w:color w:val="000000"/>
          <w:spacing w:val="0"/>
          <w:w w:val="95"/>
          <w:position w:val="0"/>
          <w:sz w:val="25"/>
          <w:sz w:val="25"/>
          <w:vertAlign w:val="baseline"/>
          <w:lang w:val="en-US"/>
        </w:rPr>
        <w:t>STOCK DATA</w:t>
      </w:r>
    </w:p>
    <w:p>
      <w:pPr>
        <w:pStyle w:val="Normal"/>
        <w:spacing w:lineRule="auto" w:line="196" w:before="504" w:after="576"/>
        <w:ind w:left="0" w:right="0" w:hanging="0"/>
        <w:jc w:val="center"/>
        <w:rPr>
          <w:rFonts w:ascii="Times New Roman" w:hAnsi="Times New Roman"/>
          <w:b/>
          <w:b/>
          <w:strike w:val="false"/>
          <w:dstrike w:val="false"/>
          <w:color w:val="000000"/>
          <w:spacing w:val="-4"/>
          <w:w w:val="95"/>
          <w:position w:val="0"/>
          <w:sz w:val="22"/>
          <w:sz w:val="25"/>
          <w:vertAlign w:val="baseline"/>
          <w:lang w:val="en-US"/>
        </w:rPr>
      </w:pPr>
      <w:r>
        <w:rPr>
          <w:rFonts w:ascii="Times New Roman" w:hAnsi="Times New Roman"/>
          <w:b/>
          <w:strike w:val="false"/>
          <w:dstrike w:val="false"/>
          <w:color w:val="000000"/>
          <w:spacing w:val="-4"/>
          <w:w w:val="95"/>
          <w:position w:val="0"/>
          <w:sz w:val="25"/>
          <w:sz w:val="25"/>
          <w:vertAlign w:val="baseline"/>
          <w:lang w:val="en-US"/>
        </w:rPr>
        <w:t>James M. Poterba</w:t>
      </w:r>
    </w:p>
    <w:p>
      <w:pPr>
        <w:sectPr>
          <w:type w:val="nextPage"/>
          <w:pgSz w:w="12240" w:h="15840"/>
          <w:pgMar w:left="3852" w:right="3788" w:header="0" w:top="5748" w:footer="0" w:bottom="6622" w:gutter="0"/>
          <w:pgNumType w:fmt="decimal"/>
          <w:formProt w:val="false"/>
          <w:textDirection w:val="lrTb"/>
          <w:docGrid w:type="default" w:linePitch="100" w:charSpace="4096"/>
        </w:sectPr>
        <w:pStyle w:val="Normal"/>
        <w:spacing w:lineRule="auto" w:line="240" w:before="0" w:after="0"/>
        <w:ind w:left="0" w:right="0" w:hanging="0"/>
        <w:jc w:val="center"/>
        <w:rPr>
          <w:rFonts w:ascii="Times New Roman" w:hAnsi="Times New Roman"/>
          <w:b/>
          <w:b/>
          <w:strike w:val="false"/>
          <w:dstrike w:val="false"/>
          <w:color w:val="000000"/>
          <w:spacing w:val="-8"/>
          <w:w w:val="100"/>
          <w:position w:val="0"/>
          <w:sz w:val="22"/>
          <w:sz w:val="24"/>
          <w:vertAlign w:val="baseline"/>
          <w:lang w:val="en-US"/>
        </w:rPr>
      </w:pPr>
      <w:r>
        <w:rPr>
          <w:rFonts w:ascii="Times New Roman" w:hAnsi="Times New Roman"/>
          <w:b/>
          <w:strike w:val="false"/>
          <w:dstrike w:val="false"/>
          <w:color w:val="000000"/>
          <w:spacing w:val="-8"/>
          <w:w w:val="100"/>
          <w:position w:val="0"/>
          <w:sz w:val="24"/>
          <w:sz w:val="24"/>
          <w:vertAlign w:val="baseline"/>
          <w:lang w:val="en-US"/>
        </w:rPr>
        <w:t xml:space="preserve">Working Paper </w:t>
      </w:r>
      <w:r>
        <w:rPr>
          <w:rFonts w:ascii="Times New Roman" w:hAnsi="Times New Roman"/>
          <w:b/>
          <w:strike w:val="false"/>
          <w:dstrike w:val="false"/>
          <w:color w:val="000000"/>
          <w:spacing w:val="-8"/>
          <w:w w:val="95"/>
          <w:position w:val="0"/>
          <w:sz w:val="25"/>
          <w:sz w:val="25"/>
          <w:vertAlign w:val="baseline"/>
          <w:lang w:val="en-US"/>
        </w:rPr>
        <w:t>6263</w:t>
      </w:r>
    </w:p>
    <w:p>
      <w:pPr>
        <w:pStyle w:val="Normal"/>
        <w:spacing w:lineRule="auto" w:line="240" w:before="0" w:after="0"/>
        <w:ind w:left="0" w:right="0" w:hanging="0"/>
        <w:jc w:val="center"/>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NBER WORKING PAPER SERIES</w:t>
      </w:r>
    </w:p>
    <w:p>
      <w:pPr>
        <w:pStyle w:val="Normal"/>
        <w:spacing w:lineRule="auto" w:line="240" w:before="1440" w:after="0"/>
        <w:ind w:left="0" w:right="0" w:hanging="0"/>
        <w:jc w:val="center"/>
        <w:rPr>
          <w:rFonts w:ascii="Times New Roman" w:hAnsi="Times New Roman"/>
          <w:strike w:val="false"/>
          <w:dstrike w:val="false"/>
          <w:color w:val="000000"/>
          <w:spacing w:val="2"/>
          <w:w w:val="100"/>
          <w:position w:val="0"/>
          <w:sz w:val="22"/>
          <w:sz w:val="24"/>
          <w:vertAlign w:val="baseline"/>
          <w:lang w:val="en-US"/>
        </w:rPr>
      </w:pPr>
      <w:r>
        <w:rPr>
          <w:rFonts w:ascii="Times New Roman" w:hAnsi="Times New Roman"/>
          <w:strike w:val="false"/>
          <w:dstrike w:val="false"/>
          <w:color w:val="000000"/>
          <w:spacing w:val="2"/>
          <w:w w:val="100"/>
          <w:position w:val="0"/>
          <w:sz w:val="24"/>
          <w:sz w:val="24"/>
          <w:vertAlign w:val="baseline"/>
          <w:lang w:val="en-US"/>
        </w:rPr>
        <w:t xml:space="preserve">THE RATE OF RETURN TO CORPORATE </w:t>
        <w:br/>
        <w:t xml:space="preserve">CAPITAL AND FACTOR SHARES: NEW </w:t>
        <w:br/>
      </w:r>
      <w:r>
        <w:rPr>
          <w:rFonts w:ascii="Times New Roman" w:hAnsi="Times New Roman"/>
          <w:strike w:val="false"/>
          <w:dstrike w:val="false"/>
          <w:color w:val="000000"/>
          <w:spacing w:val="0"/>
          <w:w w:val="100"/>
          <w:position w:val="0"/>
          <w:sz w:val="24"/>
          <w:sz w:val="24"/>
          <w:vertAlign w:val="baseline"/>
          <w:lang w:val="en-US"/>
        </w:rPr>
        <w:t xml:space="preserve">ESTIMATES USING REVISED NATIONAL </w:t>
        <w:br/>
      </w:r>
      <w:r>
        <w:rPr>
          <w:rFonts w:ascii="Times New Roman" w:hAnsi="Times New Roman"/>
          <w:strike w:val="false"/>
          <w:dstrike w:val="false"/>
          <w:color w:val="000000"/>
          <w:spacing w:val="2"/>
          <w:w w:val="100"/>
          <w:position w:val="0"/>
          <w:sz w:val="24"/>
          <w:sz w:val="24"/>
          <w:vertAlign w:val="baseline"/>
          <w:lang w:val="en-US"/>
        </w:rPr>
        <w:t xml:space="preserve">INCOME ACCOUNTS AND CAPITAL </w:t>
        <w:br/>
      </w:r>
      <w:r>
        <w:rPr>
          <w:rFonts w:ascii="Times New Roman" w:hAnsi="Times New Roman"/>
          <w:strike w:val="false"/>
          <w:dstrike w:val="false"/>
          <w:color w:val="000000"/>
          <w:spacing w:val="0"/>
          <w:w w:val="100"/>
          <w:position w:val="0"/>
          <w:sz w:val="24"/>
          <w:sz w:val="24"/>
          <w:vertAlign w:val="baseline"/>
          <w:lang w:val="en-US"/>
        </w:rPr>
        <w:t>STOCK DATA</w:t>
      </w:r>
    </w:p>
    <w:p>
      <w:pPr>
        <w:pStyle w:val="Normal"/>
        <w:spacing w:lineRule="auto" w:line="204" w:before="1512" w:after="0"/>
        <w:ind w:left="0" w:right="0" w:hanging="0"/>
        <w:jc w:val="center"/>
        <w:rPr>
          <w:rFonts w:ascii="Times New Roman" w:hAnsi="Times New Roman"/>
          <w:strike w:val="false"/>
          <w:dstrike w:val="false"/>
          <w:color w:val="000000"/>
          <w:spacing w:val="2"/>
          <w:w w:val="100"/>
          <w:position w:val="0"/>
          <w:sz w:val="22"/>
          <w:sz w:val="24"/>
          <w:vertAlign w:val="baseline"/>
          <w:lang w:val="en-US"/>
        </w:rPr>
      </w:pPr>
      <w:r>
        <w:rPr>
          <w:rFonts w:ascii="Times New Roman" w:hAnsi="Times New Roman"/>
          <w:strike w:val="false"/>
          <w:dstrike w:val="false"/>
          <w:color w:val="000000"/>
          <w:spacing w:val="2"/>
          <w:w w:val="100"/>
          <w:position w:val="0"/>
          <w:sz w:val="24"/>
          <w:sz w:val="24"/>
          <w:vertAlign w:val="baseline"/>
          <w:lang w:val="en-US"/>
        </w:rPr>
        <w:t>James M. Poterba</w:t>
      </w:r>
    </w:p>
    <w:p>
      <w:pPr>
        <w:pStyle w:val="Normal"/>
        <w:spacing w:lineRule="auto" w:line="240" w:before="1152" w:after="0"/>
        <w:ind w:left="0" w:right="0" w:hanging="0"/>
        <w:jc w:val="center"/>
        <w:rPr>
          <w:rFonts w:ascii="Times New Roman" w:hAnsi="Times New Roman"/>
          <w:strike w:val="false"/>
          <w:dstrike w:val="false"/>
          <w:color w:val="000000"/>
          <w:spacing w:val="-2"/>
          <w:w w:val="100"/>
          <w:position w:val="0"/>
          <w:sz w:val="22"/>
          <w:sz w:val="24"/>
          <w:vertAlign w:val="baseline"/>
          <w:lang w:val="en-US"/>
        </w:rPr>
      </w:pPr>
      <w:r>
        <w:rPr>
          <w:rFonts w:ascii="Times New Roman" w:hAnsi="Times New Roman"/>
          <w:strike w:val="false"/>
          <w:dstrike w:val="false"/>
          <w:color w:val="000000"/>
          <w:spacing w:val="-2"/>
          <w:w w:val="100"/>
          <w:position w:val="0"/>
          <w:sz w:val="24"/>
          <w:sz w:val="24"/>
          <w:vertAlign w:val="baseline"/>
          <w:lang w:val="en-US"/>
        </w:rPr>
        <w:t xml:space="preserve">Working Paper 6263 </w:t>
        <w:br/>
      </w:r>
      <w:hyperlink r:id="rId2">
        <w:r>
          <w:rPr>
            <w:rFonts w:ascii="Times New Roman" w:hAnsi="Times New Roman"/>
            <w:strike w:val="false"/>
            <w:dstrike w:val="false"/>
            <w:color w:val="0000FF"/>
            <w:spacing w:val="0"/>
            <w:w w:val="100"/>
            <w:position w:val="0"/>
            <w:sz w:val="24"/>
            <w:sz w:val="24"/>
            <w:u w:val="single"/>
            <w:vertAlign w:val="baseline"/>
            <w:lang w:val="en-US"/>
          </w:rPr>
          <w:t>http://www.nber.org/papers/w6263</w:t>
        </w:r>
      </w:hyperlink>
    </w:p>
    <w:p>
      <w:pPr>
        <w:pStyle w:val="Normal"/>
        <w:spacing w:lineRule="auto" w:line="240" w:before="612" w:after="0"/>
        <w:ind w:left="0" w:right="0" w:hanging="0"/>
        <w:jc w:val="center"/>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 xml:space="preserve">NATIONAL BUREAU OF ECONOMIC RESEARCH </w:t>
        <w:br/>
        <w:t xml:space="preserve">1050 Massachusetts Avenue </w:t>
        <w:br/>
        <w:t xml:space="preserve">Cambridge, MA 02138 </w:t>
        <w:br/>
        <w:t>November 1997</w:t>
      </w:r>
    </w:p>
    <w:p>
      <w:pPr>
        <w:pStyle w:val="Normal"/>
        <w:spacing w:lineRule="auto" w:line="240" w:before="324" w:after="0"/>
        <w:ind w:left="0" w:right="0" w:hanging="0"/>
        <w:jc w:val="both"/>
        <w:rPr>
          <w:rFonts w:ascii="Times New Roman" w:hAnsi="Times New Roman"/>
          <w:strike w:val="false"/>
          <w:dstrike w:val="false"/>
          <w:color w:val="000000"/>
          <w:spacing w:val="-4"/>
          <w:w w:val="100"/>
          <w:position w:val="0"/>
          <w:sz w:val="22"/>
          <w:sz w:val="24"/>
          <w:vertAlign w:val="baseline"/>
          <w:lang w:val="en-US"/>
        </w:rPr>
      </w:pPr>
      <w:r>
        <w:rPr>
          <w:rFonts w:ascii="Times New Roman" w:hAnsi="Times New Roman"/>
          <w:strike w:val="false"/>
          <w:dstrike w:val="false"/>
          <w:color w:val="000000"/>
          <w:spacing w:val="-4"/>
          <w:w w:val="100"/>
          <w:position w:val="0"/>
          <w:sz w:val="24"/>
          <w:sz w:val="24"/>
          <w:vertAlign w:val="baseline"/>
          <w:lang w:val="en-US"/>
        </w:rPr>
        <w:t xml:space="preserve">This paper was presented at the Carnegie-Rochester Conference on Public Policy, April 1997. I am </w:t>
      </w:r>
      <w:r>
        <w:rPr>
          <w:rFonts w:ascii="Times New Roman" w:hAnsi="Times New Roman"/>
          <w:strike w:val="false"/>
          <w:dstrike w:val="false"/>
          <w:color w:val="000000"/>
          <w:spacing w:val="-3"/>
          <w:w w:val="100"/>
          <w:position w:val="0"/>
          <w:sz w:val="24"/>
          <w:sz w:val="24"/>
          <w:vertAlign w:val="baseline"/>
          <w:lang w:val="en-US"/>
        </w:rPr>
        <w:t xml:space="preserve">grateful to Rochelle Antoniewicz, Robert Arnold, Robert Barre, Robert Chirinko, Peter Diamond, Robert Mellman, Walter 0i, seminar participants at the Federal Reserve Bank of New York, and </w:t>
      </w:r>
      <w:r>
        <w:rPr>
          <w:rFonts w:ascii="Times New Roman" w:hAnsi="Times New Roman"/>
          <w:strike w:val="false"/>
          <w:dstrike w:val="false"/>
          <w:color w:val="000000"/>
          <w:spacing w:val="-1"/>
          <w:w w:val="100"/>
          <w:position w:val="0"/>
          <w:sz w:val="24"/>
          <w:sz w:val="24"/>
          <w:vertAlign w:val="baseline"/>
          <w:lang w:val="en-US"/>
        </w:rPr>
        <w:t xml:space="preserve">especially to Olivier Blanchard, William Nordhaus, and Julio Rotemberg for helpful suggestions. John Simon provided assistance with the OECD Business Sector database. I am grateful to the </w:t>
      </w:r>
      <w:r>
        <w:rPr>
          <w:rFonts w:ascii="Times New Roman" w:hAnsi="Times New Roman"/>
          <w:strike w:val="false"/>
          <w:dstrike w:val="false"/>
          <w:color w:val="000000"/>
          <w:spacing w:val="1"/>
          <w:w w:val="100"/>
          <w:position w:val="0"/>
          <w:sz w:val="24"/>
          <w:sz w:val="24"/>
          <w:vertAlign w:val="baseline"/>
          <w:lang w:val="en-US"/>
        </w:rPr>
        <w:t xml:space="preserve">National Science Foundation for research support through a grant to the National Bureau of Economic Research. A data appendix for this project will be available from the ICPSR in Ann Arbor, MI. This paper is part of NBER's research programs in Corporate Finance and Public Economics. Any opinions expressed are those of the author and not those of the National Bureau </w:t>
      </w:r>
      <w:r>
        <w:rPr>
          <w:rFonts w:ascii="Times New Roman" w:hAnsi="Times New Roman"/>
          <w:strike w:val="false"/>
          <w:dstrike w:val="false"/>
          <w:color w:val="000000"/>
          <w:spacing w:val="0"/>
          <w:w w:val="100"/>
          <w:position w:val="0"/>
          <w:sz w:val="24"/>
          <w:sz w:val="24"/>
          <w:vertAlign w:val="baseline"/>
          <w:lang w:val="en-US"/>
        </w:rPr>
        <w:t>of Economic Research.</w:t>
      </w:r>
    </w:p>
    <w:p>
      <w:pPr>
        <w:sectPr>
          <w:type w:val="nextPage"/>
          <w:pgSz w:w="12240" w:h="15840"/>
          <w:pgMar w:left="1420" w:right="1360" w:header="0" w:top="1400" w:footer="0" w:bottom="1510" w:gutter="0"/>
          <w:pgNumType w:fmt="decimal"/>
          <w:formProt w:val="false"/>
          <w:textDirection w:val="lrTb"/>
          <w:docGrid w:type="default" w:linePitch="100" w:charSpace="4096"/>
        </w:sectPr>
        <w:pStyle w:val="Normal"/>
        <w:spacing w:lineRule="auto" w:line="240" w:before="360" w:after="0"/>
        <w:ind w:left="0" w:right="0" w:hanging="0"/>
        <w:jc w:val="both"/>
        <w:rPr>
          <w:rFonts w:ascii="Times New Roman" w:hAnsi="Times New Roman"/>
          <w:strike w:val="false"/>
          <w:dstrike w:val="false"/>
          <w:color w:val="000000"/>
          <w:spacing w:val="2"/>
          <w:w w:val="100"/>
          <w:position w:val="0"/>
          <w:sz w:val="22"/>
          <w:sz w:val="24"/>
          <w:vertAlign w:val="baseline"/>
          <w:lang w:val="en-US"/>
        </w:rPr>
      </w:pPr>
      <w:r>
        <w:rPr>
          <w:rFonts w:ascii="Times New Roman" w:hAnsi="Times New Roman"/>
          <w:strike w:val="false"/>
          <w:dstrike w:val="false"/>
          <w:color w:val="000000"/>
          <w:spacing w:val="2"/>
          <w:w w:val="100"/>
          <w:position w:val="0"/>
          <w:sz w:val="24"/>
          <w:sz w:val="24"/>
          <w:vertAlign w:val="baseline"/>
          <w:lang w:val="en-US"/>
        </w:rPr>
        <w:t xml:space="preserve">10 1997 by James M. Poterba. All rights reserved. Short sections of text, not to exceed two </w:t>
      </w:r>
      <w:r>
        <w:rPr>
          <w:rFonts w:ascii="Times New Roman" w:hAnsi="Times New Roman"/>
          <w:strike w:val="false"/>
          <w:dstrike w:val="false"/>
          <w:color w:val="000000"/>
          <w:spacing w:val="-2"/>
          <w:w w:val="100"/>
          <w:position w:val="0"/>
          <w:sz w:val="24"/>
          <w:sz w:val="24"/>
          <w:vertAlign w:val="baseline"/>
          <w:lang w:val="en-US"/>
        </w:rPr>
        <w:t xml:space="preserve">paragraphs, may be quoted without explicit permission provided that full credit, including © notice, </w:t>
      </w:r>
      <w:r>
        <w:rPr>
          <w:rFonts w:ascii="Times New Roman" w:hAnsi="Times New Roman"/>
          <w:strike w:val="false"/>
          <w:dstrike w:val="false"/>
          <w:color w:val="000000"/>
          <w:spacing w:val="0"/>
          <w:w w:val="100"/>
          <w:position w:val="0"/>
          <w:sz w:val="24"/>
          <w:sz w:val="24"/>
          <w:vertAlign w:val="baseline"/>
          <w:lang w:val="en-US"/>
        </w:rPr>
        <w:t>is given to the source.</w:t>
      </w:r>
    </w:p>
    <w:p>
      <w:pPr>
        <w:pStyle w:val="Normal"/>
        <w:spacing w:lineRule="auto" w:line="240" w:before="0" w:after="0"/>
        <w:ind w:left="0" w:right="4104"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 xml:space="preserve">The Rate of Return to Corporate Capital and Factor </w:t>
      </w:r>
      <w:r>
        <w:rPr>
          <w:rFonts w:ascii="Times New Roman" w:hAnsi="Times New Roman"/>
          <w:strike w:val="false"/>
          <w:dstrike w:val="false"/>
          <w:color w:val="000000"/>
          <w:spacing w:val="-5"/>
          <w:w w:val="100"/>
          <w:position w:val="0"/>
          <w:sz w:val="24"/>
          <w:sz w:val="24"/>
          <w:vertAlign w:val="baseline"/>
          <w:lang w:val="en-US"/>
        </w:rPr>
        <w:t xml:space="preserve">Shares: New Estimates Using Revised National Income </w:t>
      </w:r>
      <w:r>
        <w:rPr>
          <w:rFonts w:ascii="Times New Roman" w:hAnsi="Times New Roman"/>
          <w:strike w:val="false"/>
          <w:dstrike w:val="false"/>
          <w:color w:val="000000"/>
          <w:spacing w:val="0"/>
          <w:w w:val="100"/>
          <w:position w:val="0"/>
          <w:sz w:val="24"/>
          <w:sz w:val="24"/>
          <w:vertAlign w:val="baseline"/>
          <w:lang w:val="en-US"/>
        </w:rPr>
        <w:t>Accounts and Capital Stock Data</w:t>
      </w:r>
    </w:p>
    <w:p>
      <w:pPr>
        <w:pStyle w:val="Normal"/>
        <w:spacing w:lineRule="auto" w:line="208" w:before="36" w:after="0"/>
        <w:ind w:left="0" w:right="0"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James M. Poterba</w:t>
      </w:r>
    </w:p>
    <w:p>
      <w:pPr>
        <w:pStyle w:val="Normal"/>
        <w:spacing w:lineRule="auto" w:line="240" w:before="36" w:after="0"/>
        <w:ind w:left="0" w:right="0"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NBER Working Paper No. 6263</w:t>
      </w:r>
    </w:p>
    <w:p>
      <w:pPr>
        <w:pStyle w:val="Normal"/>
        <w:spacing w:lineRule="auto" w:line="194" w:before="36" w:after="0"/>
        <w:ind w:left="0" w:right="0"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November 1997</w:t>
      </w:r>
    </w:p>
    <w:p>
      <w:pPr>
        <w:pStyle w:val="Normal"/>
        <w:spacing w:lineRule="auto" w:line="240" w:before="36" w:after="0"/>
        <w:ind w:left="0" w:right="0"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JEL Nos. D24, D33, G31</w:t>
      </w:r>
    </w:p>
    <w:p>
      <w:pPr>
        <w:pStyle w:val="Normal"/>
        <w:spacing w:lineRule="auto" w:line="196" w:before="576" w:after="0"/>
        <w:ind w:left="0" w:right="0" w:hanging="0"/>
        <w:jc w:val="center"/>
        <w:rPr>
          <w:rFonts w:ascii="Times New Roman" w:hAnsi="Times New Roman"/>
          <w:b/>
          <w:b/>
          <w:strike w:val="false"/>
          <w:dstrike w:val="false"/>
          <w:color w:val="000000"/>
          <w:spacing w:val="0"/>
          <w:w w:val="100"/>
          <w:position w:val="0"/>
          <w:sz w:val="22"/>
          <w:sz w:val="25"/>
          <w:u w:val="single"/>
          <w:vertAlign w:val="baseline"/>
          <w:lang w:val="en-US"/>
        </w:rPr>
      </w:pPr>
      <w:r>
        <w:rPr>
          <w:rFonts w:ascii="Times New Roman" w:hAnsi="Times New Roman"/>
          <w:b/>
          <w:strike w:val="false"/>
          <w:dstrike w:val="false"/>
          <w:color w:val="000000"/>
          <w:spacing w:val="0"/>
          <w:w w:val="100"/>
          <w:position w:val="0"/>
          <w:sz w:val="25"/>
          <w:sz w:val="25"/>
          <w:u w:val="single"/>
          <w:vertAlign w:val="baseline"/>
          <w:lang w:val="en-US"/>
        </w:rPr>
        <w:t xml:space="preserve">ABSTRACT </w:t>
      </w:r>
    </w:p>
    <w:p>
      <w:pPr>
        <w:pStyle w:val="Normal"/>
        <w:spacing w:lineRule="auto" w:line="480" w:before="576" w:after="0"/>
        <w:ind w:left="0" w:right="0" w:firstLine="720"/>
        <w:jc w:val="both"/>
        <w:rPr>
          <w:rFonts w:ascii="Times New Roman" w:hAnsi="Times New Roman"/>
          <w:strike w:val="false"/>
          <w:dstrike w:val="false"/>
          <w:color w:val="000000"/>
          <w:spacing w:val="-7"/>
          <w:w w:val="100"/>
          <w:position w:val="0"/>
          <w:sz w:val="22"/>
          <w:sz w:val="24"/>
          <w:vertAlign w:val="baseline"/>
          <w:lang w:val="en-US"/>
        </w:rPr>
      </w:pPr>
      <w:r>
        <w:rPr>
          <w:rFonts w:ascii="Times New Roman" w:hAnsi="Times New Roman"/>
          <w:strike w:val="false"/>
          <w:dstrike w:val="false"/>
          <w:color w:val="000000"/>
          <w:spacing w:val="-7"/>
          <w:w w:val="100"/>
          <w:position w:val="0"/>
          <w:sz w:val="24"/>
          <w:sz w:val="24"/>
          <w:vertAlign w:val="baseline"/>
          <w:lang w:val="en-US"/>
        </w:rPr>
        <w:t xml:space="preserve">This paper presents new evidence on the rate of return on tangible assets in the United States, </w:t>
      </w:r>
      <w:r>
        <w:rPr>
          <w:rFonts w:ascii="Times New Roman" w:hAnsi="Times New Roman"/>
          <w:strike w:val="false"/>
          <w:dstrike w:val="false"/>
          <w:color w:val="000000"/>
          <w:spacing w:val="-3"/>
          <w:w w:val="100"/>
          <w:position w:val="0"/>
          <w:sz w:val="24"/>
          <w:sz w:val="24"/>
          <w:vertAlign w:val="baseline"/>
          <w:lang w:val="en-US"/>
        </w:rPr>
        <w:t xml:space="preserve">incorporating the recently-revised national accounts as well as new estimates of the replacement cost of the reproducible physical capital stock. The pretax return on capital in the nonfinancial corporate </w:t>
      </w:r>
      <w:r>
        <w:rPr>
          <w:rFonts w:ascii="Times New Roman" w:hAnsi="Times New Roman"/>
          <w:strike w:val="false"/>
          <w:dstrike w:val="false"/>
          <w:color w:val="000000"/>
          <w:spacing w:val="0"/>
          <w:w w:val="100"/>
          <w:position w:val="0"/>
          <w:sz w:val="24"/>
          <w:sz w:val="24"/>
          <w:vertAlign w:val="baseline"/>
          <w:lang w:val="en-US"/>
        </w:rPr>
        <w:t xml:space="preserve">sector has averaged 8.5 percent over the 1959-1996 period. The paper also presents new estimates </w:t>
      </w:r>
      <w:r>
        <w:rPr>
          <w:rFonts w:ascii="Times New Roman" w:hAnsi="Times New Roman"/>
          <w:strike w:val="false"/>
          <w:dstrike w:val="false"/>
          <w:color w:val="000000"/>
          <w:spacing w:val="-4"/>
          <w:w w:val="100"/>
          <w:position w:val="0"/>
          <w:sz w:val="24"/>
          <w:sz w:val="24"/>
          <w:vertAlign w:val="baseline"/>
          <w:lang w:val="en-US"/>
        </w:rPr>
        <w:t xml:space="preserve">of the total tax burden on nonfinancial corporate capital, which averages 54.1 percent over this time </w:t>
      </w:r>
      <w:r>
        <w:rPr>
          <w:rFonts w:ascii="Times New Roman" w:hAnsi="Times New Roman"/>
          <w:strike w:val="false"/>
          <w:dstrike w:val="false"/>
          <w:color w:val="000000"/>
          <w:spacing w:val="-3"/>
          <w:w w:val="100"/>
          <w:position w:val="0"/>
          <w:sz w:val="24"/>
          <w:sz w:val="24"/>
          <w:vertAlign w:val="baseline"/>
          <w:lang w:val="en-US"/>
        </w:rPr>
        <w:t xml:space="preserve">period. For the 1990s, this tax rate, which includes corporate income taxes, corporate property taxes, </w:t>
      </w:r>
      <w:r>
        <w:rPr>
          <w:rFonts w:ascii="Times New Roman" w:hAnsi="Times New Roman"/>
          <w:strike w:val="false"/>
          <w:dstrike w:val="false"/>
          <w:color w:val="000000"/>
          <w:spacing w:val="0"/>
          <w:w w:val="100"/>
          <w:position w:val="0"/>
          <w:sz w:val="24"/>
          <w:sz w:val="24"/>
          <w:vertAlign w:val="baseline"/>
          <w:lang w:val="en-US"/>
        </w:rPr>
        <w:t xml:space="preserve">and taxes on stock- and bondholders, averages 42.1 percent of pretax profits. The average pretax </w:t>
      </w:r>
      <w:r>
        <w:rPr>
          <w:rFonts w:ascii="Times New Roman" w:hAnsi="Times New Roman"/>
          <w:strike w:val="false"/>
          <w:dstrike w:val="false"/>
          <w:color w:val="000000"/>
          <w:spacing w:val="-5"/>
          <w:w w:val="100"/>
          <w:position w:val="0"/>
          <w:sz w:val="24"/>
          <w:sz w:val="24"/>
          <w:vertAlign w:val="baseline"/>
          <w:lang w:val="en-US"/>
        </w:rPr>
        <w:t xml:space="preserve">rate of return for the 1990-1996 period is 8.6 percent, and the average after-tax return is 5.0 percent. </w:t>
      </w:r>
      <w:r>
        <w:rPr>
          <w:rFonts w:ascii="Times New Roman" w:hAnsi="Times New Roman"/>
          <w:strike w:val="false"/>
          <w:dstrike w:val="false"/>
          <w:color w:val="000000"/>
          <w:spacing w:val="-2"/>
          <w:w w:val="100"/>
          <w:position w:val="0"/>
          <w:sz w:val="24"/>
          <w:sz w:val="24"/>
          <w:vertAlign w:val="baseline"/>
          <w:lang w:val="en-US"/>
        </w:rPr>
        <w:t xml:space="preserve">Although the accounting return to corporate capital has been higher in the mid-1990s than at any </w:t>
      </w:r>
      <w:r>
        <w:rPr>
          <w:rFonts w:ascii="Times New Roman" w:hAnsi="Times New Roman"/>
          <w:strike w:val="false"/>
          <w:dstrike w:val="false"/>
          <w:color w:val="000000"/>
          <w:spacing w:val="2"/>
          <w:w w:val="100"/>
          <w:position w:val="0"/>
          <w:sz w:val="24"/>
          <w:sz w:val="24"/>
          <w:vertAlign w:val="baseline"/>
          <w:lang w:val="en-US"/>
        </w:rPr>
        <w:t xml:space="preserve">previous point in the last two decades, the substantial volatility in the return series makes it </w:t>
      </w:r>
      <w:r>
        <w:rPr>
          <w:rFonts w:ascii="Times New Roman" w:hAnsi="Times New Roman"/>
          <w:strike w:val="false"/>
          <w:dstrike w:val="false"/>
          <w:color w:val="000000"/>
          <w:spacing w:val="0"/>
          <w:w w:val="100"/>
          <w:position w:val="0"/>
          <w:sz w:val="24"/>
          <w:sz w:val="24"/>
          <w:vertAlign w:val="baseline"/>
          <w:lang w:val="en-US"/>
        </w:rPr>
        <w:t>premature to conclude that these years represent a departure from past experience.</w:t>
      </w:r>
    </w:p>
    <w:p>
      <w:pPr>
        <w:pStyle w:val="Normal"/>
        <w:spacing w:lineRule="auto" w:line="206" w:before="720" w:after="0"/>
        <w:ind w:left="72" w:right="0"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James M. Poterba</w:t>
      </w:r>
    </w:p>
    <w:p>
      <w:pPr>
        <w:pStyle w:val="Normal"/>
        <w:spacing w:lineRule="auto" w:line="240" w:before="36" w:after="0"/>
        <w:ind w:left="72" w:right="5616"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 xml:space="preserve">Department of Economics, E52-350 </w:t>
      </w:r>
      <w:r>
        <w:rPr>
          <w:rFonts w:ascii="Times New Roman" w:hAnsi="Times New Roman"/>
          <w:strike w:val="false"/>
          <w:dstrike w:val="false"/>
          <w:color w:val="000000"/>
          <w:spacing w:val="-1"/>
          <w:w w:val="100"/>
          <w:position w:val="0"/>
          <w:sz w:val="24"/>
          <w:sz w:val="24"/>
          <w:vertAlign w:val="baseline"/>
          <w:lang w:val="en-US"/>
        </w:rPr>
        <w:t xml:space="preserve">Massachusetts Institute of Technology </w:t>
      </w:r>
      <w:r>
        <w:rPr>
          <w:rFonts w:ascii="Times New Roman" w:hAnsi="Times New Roman"/>
          <w:strike w:val="false"/>
          <w:dstrike w:val="false"/>
          <w:color w:val="000000"/>
          <w:spacing w:val="0"/>
          <w:w w:val="100"/>
          <w:position w:val="0"/>
          <w:sz w:val="24"/>
          <w:sz w:val="24"/>
          <w:vertAlign w:val="baseline"/>
          <w:lang w:val="en-US"/>
        </w:rPr>
        <w:t>50 Memorial Drive</w:t>
      </w:r>
    </w:p>
    <w:p>
      <w:pPr>
        <w:pStyle w:val="Normal"/>
        <w:spacing w:lineRule="auto" w:line="240" w:before="36" w:after="0"/>
        <w:ind w:left="72" w:right="0"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Cambridge, MA 02142-1347</w:t>
      </w:r>
    </w:p>
    <w:p>
      <w:pPr>
        <w:pStyle w:val="Normal"/>
        <w:spacing w:lineRule="auto" w:line="206" w:before="36" w:after="0"/>
        <w:ind w:left="72" w:right="0" w:hanging="0"/>
        <w:jc w:val="left"/>
        <w:rPr>
          <w:rFonts w:ascii="Times New Roman" w:hAnsi="Times New Roman"/>
          <w:strike w:val="false"/>
          <w:dstrike w:val="false"/>
          <w:color w:val="000000"/>
          <w:spacing w:val="0"/>
          <w:w w:val="100"/>
          <w:position w:val="0"/>
          <w:sz w:val="22"/>
          <w:sz w:val="24"/>
          <w:vertAlign w:val="baseline"/>
          <w:lang w:val="en-US"/>
        </w:rPr>
      </w:pPr>
      <w:r>
        <w:rPr>
          <w:rFonts w:ascii="Times New Roman" w:hAnsi="Times New Roman"/>
          <w:strike w:val="false"/>
          <w:dstrike w:val="false"/>
          <w:color w:val="000000"/>
          <w:spacing w:val="0"/>
          <w:w w:val="100"/>
          <w:position w:val="0"/>
          <w:sz w:val="24"/>
          <w:sz w:val="24"/>
          <w:vertAlign w:val="baseline"/>
          <w:lang w:val="en-US"/>
        </w:rPr>
        <w:t>and NBER</w:t>
      </w:r>
    </w:p>
    <w:p>
      <w:pPr>
        <w:sectPr>
          <w:type w:val="nextPage"/>
          <w:pgSz w:w="12240" w:h="15840"/>
          <w:pgMar w:left="1402" w:right="1342" w:header="0" w:top="1418" w:footer="0" w:bottom="1912" w:gutter="0"/>
          <w:pgNumType w:fmt="decimal"/>
          <w:formProt w:val="false"/>
          <w:textDirection w:val="lrTb"/>
          <w:docGrid w:type="default" w:linePitch="100" w:charSpace="4096"/>
        </w:sectPr>
        <w:pStyle w:val="Normal"/>
        <w:spacing w:lineRule="auto" w:line="240" w:before="0" w:after="0"/>
        <w:ind w:left="72" w:right="0" w:hanging="0"/>
        <w:jc w:val="left"/>
        <w:rPr>
          <w:rFonts w:ascii="Times New Roman" w:hAnsi="Times New Roman"/>
          <w:strike w:val="false"/>
          <w:dstrike w:val="false"/>
          <w:color w:val="000000"/>
          <w:spacing w:val="0"/>
          <w:w w:val="100"/>
          <w:position w:val="0"/>
          <w:sz w:val="22"/>
          <w:sz w:val="24"/>
          <w:vertAlign w:val="baseline"/>
          <w:lang w:val="en-US"/>
        </w:rPr>
      </w:pPr>
      <w:hyperlink r:id="rId3">
        <w:r>
          <w:rPr>
            <w:rFonts w:ascii="Times New Roman" w:hAnsi="Times New Roman"/>
            <w:strike w:val="false"/>
            <w:dstrike w:val="false"/>
            <w:color w:val="0000FF"/>
            <w:spacing w:val="0"/>
            <w:w w:val="100"/>
            <w:position w:val="0"/>
            <w:sz w:val="24"/>
            <w:sz w:val="24"/>
            <w:u w:val="single"/>
            <w:vertAlign w:val="baseline"/>
            <w:lang w:val="en-US"/>
          </w:rPr>
          <w:t>poterba@mit.edu</w:t>
        </w:r>
      </w:hyperlink>
    </w:p>
    <w:p>
      <w:pPr>
        <w:pStyle w:val="Normal"/>
        <w:spacing w:lineRule="auto" w:line="480" w:before="0" w:after="0"/>
        <w:ind w:left="0" w:right="0" w:firstLine="648"/>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The rate of return to capital is a central parameter in evaluating a range of economic </w:t>
      </w:r>
      <w:r>
        <w:rPr>
          <w:rFonts w:ascii="Arial" w:hAnsi="Arial"/>
          <w:b/>
          <w:strike w:val="false"/>
          <w:dstrike w:val="false"/>
          <w:color w:val="000000"/>
          <w:spacing w:val="-4"/>
          <w:w w:val="100"/>
          <w:position w:val="0"/>
          <w:sz w:val="21"/>
          <w:sz w:val="21"/>
          <w:vertAlign w:val="baseline"/>
          <w:lang w:val="en-US"/>
        </w:rPr>
        <w:t xml:space="preserve">policies that may_affect capital formation. The welfare cost of policies that discourage capital </w:t>
      </w:r>
      <w:r>
        <w:rPr>
          <w:rFonts w:ascii="Arial" w:hAnsi="Arial"/>
          <w:b/>
          <w:strike w:val="false"/>
          <w:dstrike w:val="false"/>
          <w:color w:val="000000"/>
          <w:spacing w:val="0"/>
          <w:w w:val="100"/>
          <w:position w:val="0"/>
          <w:sz w:val="21"/>
          <w:sz w:val="21"/>
          <w:vertAlign w:val="baseline"/>
          <w:lang w:val="en-US"/>
        </w:rPr>
        <w:t xml:space="preserve">accumulation depends on whether the prevailing rate of return is above or below the effective </w:t>
      </w:r>
      <w:r>
        <w:rPr>
          <w:rFonts w:ascii="Arial" w:hAnsi="Arial"/>
          <w:b/>
          <w:strike w:val="false"/>
          <w:dstrike w:val="false"/>
          <w:color w:val="000000"/>
          <w:spacing w:val="3"/>
          <w:w w:val="100"/>
          <w:position w:val="0"/>
          <w:sz w:val="21"/>
          <w:sz w:val="21"/>
          <w:vertAlign w:val="baseline"/>
          <w:lang w:val="en-US"/>
        </w:rPr>
        <w:t xml:space="preserve">rate of labor force growth, the "golden rule" level derived by Phelps (1961) and Diamond </w:t>
      </w:r>
      <w:r>
        <w:rPr>
          <w:rFonts w:ascii="Arial" w:hAnsi="Arial"/>
          <w:b/>
          <w:strike w:val="false"/>
          <w:dstrike w:val="false"/>
          <w:color w:val="000000"/>
          <w:spacing w:val="0"/>
          <w:w w:val="100"/>
          <w:position w:val="0"/>
          <w:sz w:val="21"/>
          <w:sz w:val="21"/>
          <w:vertAlign w:val="baseline"/>
          <w:lang w:val="en-US"/>
        </w:rPr>
        <w:t xml:space="preserve">(1965). Although policy discussions, particularly in the area of tax policy, frequently involve debate over policies that might affect the rate of capital accumulation, Summers (1990) notes that there is substantial conceptual and empirical disagreement about the return to expanding </w:t>
      </w:r>
      <w:r>
        <w:rPr>
          <w:rFonts w:ascii="Arial" w:hAnsi="Arial"/>
          <w:b/>
          <w:strike w:val="false"/>
          <w:dstrike w:val="false"/>
          <w:color w:val="000000"/>
          <w:spacing w:val="2"/>
          <w:w w:val="100"/>
          <w:position w:val="0"/>
          <w:sz w:val="21"/>
          <w:sz w:val="21"/>
          <w:vertAlign w:val="baseline"/>
          <w:lang w:val="en-US"/>
        </w:rPr>
        <w:t>the physical capital stock.</w:t>
      </w:r>
    </w:p>
    <w:p>
      <w:pPr>
        <w:pStyle w:val="Normal"/>
        <w:spacing w:lineRule="auto" w:line="480" w:before="252" w:after="0"/>
        <w:ind w:left="0" w:right="0" w:firstLine="72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One method of estimating the return to capital accumulation uses national income </w:t>
      </w:r>
      <w:r>
        <w:rPr>
          <w:rFonts w:ascii="Arial" w:hAnsi="Arial"/>
          <w:b/>
          <w:strike w:val="false"/>
          <w:dstrike w:val="false"/>
          <w:color w:val="000000"/>
          <w:spacing w:val="0"/>
          <w:w w:val="100"/>
          <w:position w:val="0"/>
          <w:sz w:val="21"/>
          <w:sz w:val="21"/>
          <w:vertAlign w:val="baseline"/>
          <w:lang w:val="en-US"/>
        </w:rPr>
        <w:t xml:space="preserve">accounts data to calculate the average accounting rate of return on tangible assets. These </w:t>
      </w:r>
      <w:r>
        <w:rPr>
          <w:rFonts w:ascii="Arial" w:hAnsi="Arial"/>
          <w:b/>
          <w:strike w:val="false"/>
          <w:dstrike w:val="false"/>
          <w:color w:val="000000"/>
          <w:spacing w:val="8"/>
          <w:w w:val="100"/>
          <w:position w:val="0"/>
          <w:sz w:val="21"/>
          <w:sz w:val="21"/>
          <w:vertAlign w:val="baseline"/>
          <w:lang w:val="en-US"/>
        </w:rPr>
        <w:t xml:space="preserve">estimates of the rate of return are not without their limitations, notably the potential </w:t>
      </w:r>
      <w:r>
        <w:rPr>
          <w:rFonts w:ascii="Arial" w:hAnsi="Arial"/>
          <w:b/>
          <w:strike w:val="false"/>
          <w:dstrike w:val="false"/>
          <w:color w:val="000000"/>
          <w:spacing w:val="-2"/>
          <w:w w:val="100"/>
          <w:position w:val="0"/>
          <w:sz w:val="21"/>
          <w:sz w:val="21"/>
          <w:vertAlign w:val="baseline"/>
          <w:lang w:val="en-US"/>
        </w:rPr>
        <w:t xml:space="preserve">divergence between marginal and average returns, but they are widely used. Feldstein (1977) </w:t>
      </w:r>
      <w:r>
        <w:rPr>
          <w:rFonts w:ascii="Arial" w:hAnsi="Arial"/>
          <w:b/>
          <w:strike w:val="false"/>
          <w:dstrike w:val="false"/>
          <w:color w:val="000000"/>
          <w:spacing w:val="-1"/>
          <w:w w:val="100"/>
          <w:position w:val="0"/>
          <w:sz w:val="21"/>
          <w:sz w:val="21"/>
          <w:vertAlign w:val="baseline"/>
          <w:lang w:val="en-US"/>
        </w:rPr>
        <w:t xml:space="preserve">invokes such a return measure in his analysis of the welfare gain from higher national saving. </w:t>
      </w:r>
      <w:r>
        <w:rPr>
          <w:rFonts w:ascii="Arial" w:hAnsi="Arial"/>
          <w:b/>
          <w:strike w:val="false"/>
          <w:dstrike w:val="false"/>
          <w:color w:val="000000"/>
          <w:spacing w:val="2"/>
          <w:w w:val="100"/>
          <w:position w:val="0"/>
          <w:sz w:val="21"/>
          <w:sz w:val="21"/>
          <w:vertAlign w:val="baseline"/>
          <w:lang w:val="en-US"/>
        </w:rPr>
        <w:t xml:space="preserve">Abel, Mankiw, Summers, and Zeckhauser (1989) develop a generalization of the golden rule that focuses on such a return divided by the capital-output ratio. Feldstein (1996) relies on </w:t>
      </w:r>
      <w:r>
        <w:rPr>
          <w:rFonts w:ascii="Arial" w:hAnsi="Arial"/>
          <w:b/>
          <w:strike w:val="false"/>
          <w:dstrike w:val="false"/>
          <w:color w:val="000000"/>
          <w:spacing w:val="-2"/>
          <w:w w:val="100"/>
          <w:position w:val="0"/>
          <w:sz w:val="21"/>
          <w:sz w:val="21"/>
          <w:vertAlign w:val="baseline"/>
          <w:lang w:val="en-US"/>
        </w:rPr>
        <w:t xml:space="preserve">similar return measures to estimate the welfare gains from the capital accumulation that would </w:t>
      </w:r>
      <w:r>
        <w:rPr>
          <w:rFonts w:ascii="Arial" w:hAnsi="Arial"/>
          <w:b/>
          <w:strike w:val="false"/>
          <w:dstrike w:val="false"/>
          <w:color w:val="000000"/>
          <w:spacing w:val="4"/>
          <w:w w:val="100"/>
          <w:position w:val="0"/>
          <w:sz w:val="21"/>
          <w:sz w:val="21"/>
          <w:vertAlign w:val="baseline"/>
          <w:lang w:val="en-US"/>
        </w:rPr>
        <w:t>flow from a fully-funded Social Security system in the United States.</w:t>
      </w:r>
    </w:p>
    <w:p>
      <w:pPr>
        <w:sectPr>
          <w:type w:val="nextPage"/>
          <w:pgSz w:w="12240" w:h="15840"/>
          <w:pgMar w:left="1395" w:right="1335" w:header="0" w:top="1440" w:footer="0" w:bottom="1430" w:gutter="0"/>
          <w:pgNumType w:fmt="decimal"/>
          <w:formProt w:val="false"/>
          <w:textDirection w:val="lrTb"/>
          <w:docGrid w:type="default" w:linePitch="100" w:charSpace="4096"/>
        </w:sectPr>
        <w:pStyle w:val="Normal"/>
        <w:spacing w:lineRule="auto" w:line="480" w:before="360" w:after="0"/>
        <w:ind w:left="0" w:right="0" w:firstLine="72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Recent data releases from the Bureau of Economic Analysis (BEA) provide a warrant </w:t>
      </w:r>
      <w:r>
        <w:rPr>
          <w:rFonts w:ascii="Arial" w:hAnsi="Arial"/>
          <w:b/>
          <w:strike w:val="false"/>
          <w:dstrike w:val="false"/>
          <w:color w:val="000000"/>
          <w:spacing w:val="4"/>
          <w:w w:val="100"/>
          <w:position w:val="0"/>
          <w:sz w:val="21"/>
          <w:sz w:val="21"/>
          <w:vertAlign w:val="baseline"/>
          <w:lang w:val="en-US"/>
        </w:rPr>
        <w:t xml:space="preserve">for developing new estimates of the rate of return on tangible assets. One of the central </w:t>
      </w:r>
      <w:r>
        <w:rPr>
          <w:rFonts w:ascii="Arial" w:hAnsi="Arial"/>
          <w:b/>
          <w:strike w:val="false"/>
          <w:dstrike w:val="false"/>
          <w:color w:val="000000"/>
          <w:spacing w:val="2"/>
          <w:w w:val="100"/>
          <w:position w:val="0"/>
          <w:sz w:val="21"/>
          <w:sz w:val="21"/>
          <w:vertAlign w:val="baseline"/>
          <w:lang w:val="en-US"/>
        </w:rPr>
        <w:t xml:space="preserve">features of the revision of the United States' National Income and Product Accounts (NIPA) that was completed in January 1997 was updating the algorithm that is used to calculate </w:t>
      </w:r>
      <w:r>
        <w:rPr>
          <w:rFonts w:ascii="Arial" w:hAnsi="Arial"/>
          <w:b/>
          <w:strike w:val="false"/>
          <w:dstrike w:val="false"/>
          <w:color w:val="000000"/>
          <w:spacing w:val="3"/>
          <w:w w:val="100"/>
          <w:position w:val="0"/>
          <w:sz w:val="21"/>
          <w:sz w:val="21"/>
          <w:vertAlign w:val="baseline"/>
          <w:lang w:val="en-US"/>
        </w:rPr>
        <w:t xml:space="preserve">depreciation on physical assets. This revision, described in detail by Fraumeni (1997) and </w:t>
      </w:r>
      <w:r>
        <w:rPr>
          <w:rFonts w:ascii="Arial" w:hAnsi="Arial"/>
          <w:b/>
          <w:strike w:val="false"/>
          <w:dstrike w:val="false"/>
          <w:color w:val="000000"/>
          <w:spacing w:val="0"/>
          <w:w w:val="100"/>
          <w:position w:val="0"/>
          <w:sz w:val="21"/>
          <w:sz w:val="21"/>
          <w:vertAlign w:val="baseline"/>
          <w:lang w:val="en-US"/>
        </w:rPr>
        <w:t>Katz and Herman (1997), has generated a new set of estimates for the current- and constant-</w:t>
      </w:r>
      <w:r>
        <w:rPr>
          <w:rFonts w:ascii="Arial" w:hAnsi="Arial"/>
          <w:b/>
          <w:strike w:val="false"/>
          <w:dstrike w:val="false"/>
          <w:color w:val="000000"/>
          <w:spacing w:val="2"/>
          <w:w w:val="100"/>
          <w:position w:val="0"/>
          <w:sz w:val="21"/>
          <w:sz w:val="21"/>
          <w:vertAlign w:val="baseline"/>
          <w:lang w:val="en-US"/>
        </w:rPr>
        <w:t xml:space="preserve">dollar stocks of reproducible physical capital over the 1929-1995 period. The assumed rates </w:t>
      </w:r>
      <w:r>
        <w:rPr>
          <w:rFonts w:ascii="Arial" w:hAnsi="Arial"/>
          <w:b/>
          <w:strike w:val="false"/>
          <w:dstrike w:val="false"/>
          <w:color w:val="000000"/>
          <w:spacing w:val="0"/>
          <w:w w:val="100"/>
          <w:position w:val="0"/>
          <w:sz w:val="21"/>
          <w:sz w:val="21"/>
          <w:vertAlign w:val="baseline"/>
          <w:lang w:val="en-US"/>
        </w:rPr>
        <w:t>of asset decay in the revised national accounts are generally lower than those in the previous</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2</w:t>
      </w:r>
    </w:p>
    <w:p>
      <w:pPr>
        <w:pStyle w:val="Normal"/>
        <w:spacing w:lineRule="auto" w:line="480" w:before="216" w:after="0"/>
        <w:ind w:left="0" w:right="72" w:hanging="0"/>
        <w:jc w:val="both"/>
        <w:rPr>
          <w:rFonts w:ascii="Arial" w:hAnsi="Arial"/>
          <w:b/>
          <w:b/>
          <w:strike w:val="false"/>
          <w:dstrike w:val="false"/>
          <w:color w:val="000000"/>
          <w:spacing w:val="5"/>
          <w:w w:val="100"/>
          <w:position w:val="0"/>
          <w:sz w:val="22"/>
          <w:sz w:val="21"/>
          <w:vertAlign w:val="baseline"/>
          <w:lang w:val="en-US"/>
        </w:rPr>
      </w:pPr>
      <w:r>
        <w:rPr>
          <w:rFonts w:ascii="Arial" w:hAnsi="Arial"/>
          <w:b/>
          <w:strike w:val="false"/>
          <w:dstrike w:val="false"/>
          <w:color w:val="000000"/>
          <w:spacing w:val="5"/>
          <w:w w:val="100"/>
          <w:position w:val="0"/>
          <w:sz w:val="21"/>
          <w:sz w:val="21"/>
          <w:vertAlign w:val="baseline"/>
          <w:lang w:val="en-US"/>
        </w:rPr>
        <w:t xml:space="preserve">set of accounts, so the revision has increased the estimated stock of physical assets. </w:t>
      </w:r>
      <w:r>
        <w:rPr>
          <w:rFonts w:ascii="Arial" w:hAnsi="Arial"/>
          <w:b/>
          <w:strike w:val="false"/>
          <w:dstrike w:val="false"/>
          <w:color w:val="000000"/>
          <w:spacing w:val="-2"/>
          <w:w w:val="100"/>
          <w:position w:val="0"/>
          <w:sz w:val="21"/>
          <w:sz w:val="21"/>
          <w:vertAlign w:val="baseline"/>
          <w:lang w:val="en-US"/>
        </w:rPr>
        <w:t xml:space="preserve">Changes in the depreciation assumptions underlying the NIPA have also resulted in revised </w:t>
      </w:r>
      <w:r>
        <w:rPr>
          <w:rFonts w:ascii="Arial" w:hAnsi="Arial"/>
          <w:b/>
          <w:strike w:val="false"/>
          <w:dstrike w:val="false"/>
          <w:color w:val="000000"/>
          <w:spacing w:val="2"/>
          <w:w w:val="100"/>
          <w:position w:val="0"/>
          <w:sz w:val="21"/>
          <w:sz w:val="21"/>
          <w:vertAlign w:val="baseline"/>
          <w:lang w:val="en-US"/>
        </w:rPr>
        <w:t>estimates of corporate profits net of true economic depreciation on tangible assets.</w:t>
      </w:r>
    </w:p>
    <w:p>
      <w:pPr>
        <w:pStyle w:val="Normal"/>
        <w:spacing w:lineRule="auto" w:line="480" w:before="180" w:after="0"/>
        <w:ind w:left="0" w:right="0" w:firstLine="720"/>
        <w:jc w:val="both"/>
        <w:rPr>
          <w:rFonts w:ascii="Arial" w:hAnsi="Arial"/>
          <w:b/>
          <w:b/>
          <w:strike w:val="false"/>
          <w:dstrike w:val="false"/>
          <w:color w:val="000000"/>
          <w:spacing w:val="2"/>
          <w:w w:val="100"/>
          <w:position w:val="0"/>
          <w:sz w:val="22"/>
          <w:sz w:val="21"/>
          <w:vertAlign w:val="baseline"/>
          <w:lang w:val="en-US"/>
        </w:rPr>
      </w:pPr>
      <w:r>
        <w:rPr>
          <w:rFonts w:ascii="Arial" w:hAnsi="Arial"/>
          <w:b/>
          <w:strike w:val="false"/>
          <w:dstrike w:val="false"/>
          <w:color w:val="000000"/>
          <w:spacing w:val="2"/>
          <w:w w:val="100"/>
          <w:position w:val="0"/>
          <w:sz w:val="21"/>
          <w:sz w:val="21"/>
          <w:vertAlign w:val="baseline"/>
          <w:lang w:val="en-US"/>
        </w:rPr>
        <w:t xml:space="preserve">This paper uses the newly-released data on the replacement value of the net capital </w:t>
      </w:r>
      <w:r>
        <w:rPr>
          <w:rFonts w:ascii="Arial" w:hAnsi="Arial"/>
          <w:b/>
          <w:strike w:val="false"/>
          <w:dstrike w:val="false"/>
          <w:color w:val="000000"/>
          <w:spacing w:val="1"/>
          <w:w w:val="100"/>
          <w:position w:val="0"/>
          <w:sz w:val="21"/>
          <w:sz w:val="21"/>
          <w:vertAlign w:val="baseline"/>
          <w:lang w:val="en-US"/>
        </w:rPr>
        <w:t xml:space="preserve">stock and the revised national income accounts to update previous estimates of the rate of </w:t>
      </w:r>
      <w:r>
        <w:rPr>
          <w:rFonts w:ascii="Arial" w:hAnsi="Arial"/>
          <w:b/>
          <w:strike w:val="false"/>
          <w:dstrike w:val="false"/>
          <w:color w:val="000000"/>
          <w:spacing w:val="0"/>
          <w:w w:val="100"/>
          <w:position w:val="0"/>
          <w:sz w:val="21"/>
          <w:sz w:val="21"/>
          <w:vertAlign w:val="baseline"/>
          <w:lang w:val="en-US"/>
        </w:rPr>
        <w:t xml:space="preserve">return on tangible assets in the corporate sector. In addition to tracking this return, which is </w:t>
      </w:r>
      <w:r>
        <w:rPr>
          <w:rFonts w:ascii="Arial" w:hAnsi="Arial"/>
          <w:b/>
          <w:strike w:val="false"/>
          <w:dstrike w:val="false"/>
          <w:color w:val="000000"/>
          <w:spacing w:val="-3"/>
          <w:w w:val="100"/>
          <w:position w:val="0"/>
          <w:sz w:val="21"/>
          <w:sz w:val="21"/>
          <w:vertAlign w:val="baseline"/>
          <w:lang w:val="en-US"/>
        </w:rPr>
        <w:t xml:space="preserve">defined as corporate capital income divided by a measure of the current value of the corporate </w:t>
      </w:r>
      <w:r>
        <w:rPr>
          <w:rFonts w:ascii="Arial" w:hAnsi="Arial"/>
          <w:b/>
          <w:strike w:val="false"/>
          <w:dstrike w:val="false"/>
          <w:color w:val="000000"/>
          <w:spacing w:val="3"/>
          <w:w w:val="100"/>
          <w:position w:val="0"/>
          <w:sz w:val="21"/>
          <w:sz w:val="21"/>
          <w:vertAlign w:val="baseline"/>
          <w:lang w:val="en-US"/>
        </w:rPr>
        <w:t xml:space="preserve">capital stock, the paper also investigates capital's share of national income. The recent rise </w:t>
      </w:r>
      <w:r>
        <w:rPr>
          <w:rFonts w:ascii="Arial" w:hAnsi="Arial"/>
          <w:b/>
          <w:strike w:val="false"/>
          <w:dstrike w:val="false"/>
          <w:color w:val="000000"/>
          <w:spacing w:val="4"/>
          <w:w w:val="100"/>
          <w:position w:val="0"/>
          <w:sz w:val="21"/>
          <w:sz w:val="21"/>
          <w:vertAlign w:val="baseline"/>
          <w:lang w:val="en-US"/>
        </w:rPr>
        <w:t xml:space="preserve">in this income share, which equals the rate of return times the capital-output ratio, has </w:t>
      </w:r>
      <w:r>
        <w:rPr>
          <w:rFonts w:ascii="Arial" w:hAnsi="Arial"/>
          <w:b/>
          <w:strike w:val="false"/>
          <w:dstrike w:val="false"/>
          <w:color w:val="000000"/>
          <w:spacing w:val="5"/>
          <w:w w:val="100"/>
          <w:position w:val="0"/>
          <w:sz w:val="21"/>
          <w:sz w:val="21"/>
          <w:vertAlign w:val="baseline"/>
          <w:lang w:val="en-US"/>
        </w:rPr>
        <w:t xml:space="preserve">attracted attention from both researchers and commentators in the popular press. This </w:t>
      </w:r>
      <w:r>
        <w:rPr>
          <w:rFonts w:ascii="Arial" w:hAnsi="Arial"/>
          <w:b/>
          <w:strike w:val="false"/>
          <w:dstrike w:val="false"/>
          <w:color w:val="000000"/>
          <w:spacing w:val="1"/>
          <w:w w:val="100"/>
          <w:position w:val="0"/>
          <w:sz w:val="21"/>
          <w:sz w:val="21"/>
          <w:vertAlign w:val="baseline"/>
          <w:lang w:val="en-US"/>
        </w:rPr>
        <w:t xml:space="preserve">income share rose two percentage points between the recession year of 1992 and the most </w:t>
      </w:r>
      <w:r>
        <w:rPr>
          <w:rFonts w:ascii="Arial" w:hAnsi="Arial"/>
          <w:b/>
          <w:strike w:val="false"/>
          <w:dstrike w:val="false"/>
          <w:color w:val="000000"/>
          <w:spacing w:val="2"/>
          <w:w w:val="100"/>
          <w:position w:val="0"/>
          <w:sz w:val="21"/>
          <w:sz w:val="21"/>
          <w:vertAlign w:val="baseline"/>
          <w:lang w:val="en-US"/>
        </w:rPr>
        <w:t xml:space="preserve">recent year with complete data (1996), and it was at a higher level in 1996 than at any time </w:t>
      </w:r>
      <w:r>
        <w:rPr>
          <w:rFonts w:ascii="Arial" w:hAnsi="Arial"/>
          <w:b/>
          <w:strike w:val="false"/>
          <w:dstrike w:val="false"/>
          <w:color w:val="000000"/>
          <w:spacing w:val="4"/>
          <w:w w:val="100"/>
          <w:position w:val="0"/>
          <w:sz w:val="21"/>
          <w:sz w:val="21"/>
          <w:vertAlign w:val="baseline"/>
          <w:lang w:val="en-US"/>
        </w:rPr>
        <w:t xml:space="preserve">since 1969. Baker and Mishel (1995) cite changing factor shares as evidence that capital rather than labor has the primary beneficiary of the current economic expansion. Other </w:t>
      </w:r>
      <w:r>
        <w:rPr>
          <w:rFonts w:ascii="Arial" w:hAnsi="Arial"/>
          <w:b/>
          <w:strike w:val="false"/>
          <w:dstrike w:val="false"/>
          <w:color w:val="000000"/>
          <w:spacing w:val="5"/>
          <w:w w:val="100"/>
          <w:position w:val="0"/>
          <w:sz w:val="21"/>
          <w:sz w:val="21"/>
          <w:vertAlign w:val="baseline"/>
          <w:lang w:val="en-US"/>
        </w:rPr>
        <w:t xml:space="preserve">accounts, such Bernstein (1995), suggest that rising international competition and the </w:t>
      </w:r>
      <w:r>
        <w:rPr>
          <w:rFonts w:ascii="Arial" w:hAnsi="Arial"/>
          <w:b/>
          <w:strike w:val="false"/>
          <w:dstrike w:val="false"/>
          <w:color w:val="000000"/>
          <w:spacing w:val="0"/>
          <w:w w:val="100"/>
          <w:position w:val="0"/>
          <w:sz w:val="21"/>
          <w:sz w:val="21"/>
          <w:vertAlign w:val="baseline"/>
          <w:lang w:val="en-US"/>
        </w:rPr>
        <w:t xml:space="preserve">diffusion of information technology and workplace automation are inducing fundamental and </w:t>
      </w:r>
      <w:r>
        <w:rPr>
          <w:rFonts w:ascii="Arial" w:hAnsi="Arial"/>
          <w:b/>
          <w:strike w:val="false"/>
          <w:dstrike w:val="false"/>
          <w:color w:val="000000"/>
          <w:spacing w:val="-2"/>
          <w:w w:val="100"/>
          <w:position w:val="0"/>
          <w:sz w:val="21"/>
          <w:sz w:val="21"/>
          <w:vertAlign w:val="baseline"/>
          <w:lang w:val="en-US"/>
        </w:rPr>
        <w:t xml:space="preserve">long-term shifts in the relative rewards of capital and labor. This paper explores whether the </w:t>
      </w:r>
      <w:r>
        <w:rPr>
          <w:rFonts w:ascii="Arial" w:hAnsi="Arial"/>
          <w:b/>
          <w:strike w:val="false"/>
          <w:dstrike w:val="false"/>
          <w:color w:val="000000"/>
          <w:spacing w:val="1"/>
          <w:w w:val="100"/>
          <w:position w:val="0"/>
          <w:sz w:val="21"/>
          <w:sz w:val="21"/>
          <w:vertAlign w:val="baseline"/>
          <w:lang w:val="en-US"/>
        </w:rPr>
        <w:t xml:space="preserve">developments of the 1990s diverge from historical experience with respect to factor shares, </w:t>
      </w:r>
      <w:r>
        <w:rPr>
          <w:rFonts w:ascii="Arial" w:hAnsi="Arial"/>
          <w:b/>
          <w:strike w:val="false"/>
          <w:dstrike w:val="false"/>
          <w:color w:val="000000"/>
          <w:spacing w:val="0"/>
          <w:w w:val="100"/>
          <w:position w:val="0"/>
          <w:sz w:val="21"/>
          <w:sz w:val="21"/>
          <w:vertAlign w:val="baseline"/>
          <w:lang w:val="en-US"/>
        </w:rPr>
        <w:t>and concludes that it is not yet possible to conclude that recent experience is in any sense unusual.</w:t>
      </w:r>
    </w:p>
    <w:p>
      <w:pPr>
        <w:sectPr>
          <w:type w:val="nextPage"/>
          <w:pgSz w:w="12240" w:h="15840"/>
          <w:pgMar w:left="1585" w:right="1145" w:header="0" w:top="1420" w:footer="0" w:bottom="1530" w:gutter="0"/>
          <w:pgNumType w:fmt="decimal"/>
          <w:formProt w:val="false"/>
          <w:textDirection w:val="lrTb"/>
          <w:docGrid w:type="default" w:linePitch="100" w:charSpace="4096"/>
        </w:sectPr>
        <w:pStyle w:val="Normal"/>
        <w:spacing w:lineRule="auto" w:line="480" w:before="432" w:after="0"/>
        <w:ind w:left="0" w:right="0" w:firstLine="720"/>
        <w:jc w:val="both"/>
        <w:rPr>
          <w:rFonts w:ascii="Arial" w:hAnsi="Arial"/>
          <w:b/>
          <w:b/>
          <w:strike w:val="false"/>
          <w:dstrike w:val="false"/>
          <w:color w:val="000000"/>
          <w:spacing w:val="2"/>
          <w:w w:val="100"/>
          <w:position w:val="0"/>
          <w:sz w:val="22"/>
          <w:sz w:val="21"/>
          <w:vertAlign w:val="baseline"/>
          <w:lang w:val="en-US"/>
        </w:rPr>
      </w:pPr>
      <w:r>
        <w:rPr>
          <w:rFonts w:ascii="Arial" w:hAnsi="Arial"/>
          <w:b/>
          <w:strike w:val="false"/>
          <w:dstrike w:val="false"/>
          <w:color w:val="000000"/>
          <w:spacing w:val="2"/>
          <w:w w:val="100"/>
          <w:position w:val="0"/>
          <w:sz w:val="21"/>
          <w:sz w:val="21"/>
          <w:vertAlign w:val="baseline"/>
          <w:lang w:val="en-US"/>
        </w:rPr>
        <w:t xml:space="preserve">To place rates of return and factor shares in the United States into perspective, this </w:t>
      </w:r>
      <w:r>
        <w:rPr>
          <w:rFonts w:ascii="Arial" w:hAnsi="Arial"/>
          <w:b/>
          <w:strike w:val="false"/>
          <w:dstrike w:val="false"/>
          <w:color w:val="000000"/>
          <w:spacing w:val="1"/>
          <w:w w:val="100"/>
          <w:position w:val="0"/>
          <w:sz w:val="21"/>
          <w:sz w:val="21"/>
          <w:vertAlign w:val="baseline"/>
          <w:lang w:val="en-US"/>
        </w:rPr>
        <w:t xml:space="preserve">paper also uses data from the OECD Business Sector Databank to explore the trends in rates </w:t>
      </w:r>
      <w:r>
        <w:rPr>
          <w:rFonts w:ascii="Arial" w:hAnsi="Arial"/>
          <w:b/>
          <w:strike w:val="false"/>
          <w:dstrike w:val="false"/>
          <w:color w:val="000000"/>
          <w:spacing w:val="4"/>
          <w:w w:val="100"/>
          <w:position w:val="0"/>
          <w:sz w:val="21"/>
          <w:sz w:val="21"/>
          <w:vertAlign w:val="baseline"/>
          <w:lang w:val="en-US"/>
        </w:rPr>
        <w:t xml:space="preserve">of return to tangible assets in the G-7 nations. Data for the period 1966-1996 suggest that </w:t>
      </w:r>
      <w:r>
        <w:rPr>
          <w:rFonts w:ascii="Arial" w:hAnsi="Arial"/>
          <w:b/>
          <w:strike w:val="false"/>
          <w:dstrike w:val="false"/>
          <w:color w:val="000000"/>
          <w:spacing w:val="1"/>
          <w:w w:val="100"/>
          <w:position w:val="0"/>
          <w:sz w:val="21"/>
          <w:sz w:val="21"/>
          <w:vertAlign w:val="baseline"/>
          <w:lang w:val="en-US"/>
        </w:rPr>
        <w:t>the recent United States pattern of rising returns is observed in other industrialized nations,</w:t>
      </w:r>
    </w:p>
    <w:p>
      <w:pPr>
        <w:pStyle w:val="Normal"/>
        <w:spacing w:lineRule="auto" w:line="211" w:before="0" w:after="0"/>
        <w:ind w:left="0" w:right="0" w:hanging="0"/>
        <w:jc w:val="center"/>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3</w:t>
      </w:r>
    </w:p>
    <w:p>
      <w:pPr>
        <w:pStyle w:val="Normal"/>
        <w:spacing w:lineRule="auto" w:line="480" w:before="216" w:after="0"/>
        <w:ind w:left="0" w:right="0" w:hanging="0"/>
        <w:jc w:val="center"/>
        <w:rPr>
          <w:rFonts w:ascii="Arial" w:hAnsi="Arial"/>
          <w:b/>
          <w:b/>
          <w:strike w:val="false"/>
          <w:dstrike w:val="false"/>
          <w:color w:val="000000"/>
          <w:spacing w:val="9"/>
          <w:w w:val="100"/>
          <w:position w:val="0"/>
          <w:sz w:val="22"/>
          <w:sz w:val="21"/>
          <w:vertAlign w:val="baseline"/>
          <w:lang w:val="en-US"/>
        </w:rPr>
      </w:pPr>
      <w:r>
        <w:rPr>
          <w:rFonts w:ascii="Arial" w:hAnsi="Arial"/>
          <w:b/>
          <w:strike w:val="false"/>
          <w:dstrike w:val="false"/>
          <w:color w:val="000000"/>
          <w:spacing w:val="9"/>
          <w:w w:val="100"/>
          <w:position w:val="0"/>
          <w:sz w:val="21"/>
          <w:sz w:val="21"/>
          <w:vertAlign w:val="baseline"/>
          <w:lang w:val="en-US"/>
        </w:rPr>
        <w:t xml:space="preserve">with the notable exception of Japan. In spite of this recent comovement, however, the </w:t>
        <w:br/>
      </w:r>
      <w:r>
        <w:rPr>
          <w:rFonts w:ascii="Arial" w:hAnsi="Arial"/>
          <w:b/>
          <w:strike w:val="false"/>
          <w:dstrike w:val="false"/>
          <w:color w:val="000000"/>
          <w:spacing w:val="0"/>
          <w:w w:val="100"/>
          <w:position w:val="0"/>
          <w:sz w:val="21"/>
          <w:sz w:val="21"/>
          <w:vertAlign w:val="baseline"/>
          <w:lang w:val="en-US"/>
        </w:rPr>
        <w:t>correlation between annual accounting returns on tangible assets in the G-7 countries is low.</w:t>
      </w:r>
    </w:p>
    <w:p>
      <w:pPr>
        <w:pStyle w:val="Normal"/>
        <w:spacing w:lineRule="auto" w:line="480" w:before="180" w:after="0"/>
        <w:ind w:left="0" w:right="72" w:firstLine="720"/>
        <w:jc w:val="both"/>
        <w:rPr>
          <w:rFonts w:ascii="Arial" w:hAnsi="Arial"/>
          <w:b/>
          <w:b/>
          <w:strike w:val="false"/>
          <w:dstrike w:val="false"/>
          <w:color w:val="000000"/>
          <w:spacing w:val="-3"/>
          <w:w w:val="100"/>
          <w:position w:val="0"/>
          <w:sz w:val="22"/>
          <w:sz w:val="21"/>
          <w:vertAlign w:val="baseline"/>
          <w:lang w:val="en-US"/>
        </w:rPr>
      </w:pPr>
      <w:r>
        <w:rPr>
          <w:rFonts w:ascii="Arial" w:hAnsi="Arial"/>
          <w:b/>
          <w:strike w:val="false"/>
          <w:dstrike w:val="false"/>
          <w:color w:val="000000"/>
          <w:spacing w:val="-3"/>
          <w:w w:val="100"/>
          <w:position w:val="0"/>
          <w:sz w:val="21"/>
          <w:sz w:val="21"/>
          <w:vertAlign w:val="baseline"/>
          <w:lang w:val="en-US"/>
        </w:rPr>
        <w:t xml:space="preserve">The paper is divided into six sections. The first defines the rate of return on corporate </w:t>
      </w:r>
      <w:r>
        <w:rPr>
          <w:rFonts w:ascii="Arial" w:hAnsi="Arial"/>
          <w:b/>
          <w:strike w:val="false"/>
          <w:dstrike w:val="false"/>
          <w:color w:val="000000"/>
          <w:spacing w:val="0"/>
          <w:w w:val="100"/>
          <w:position w:val="0"/>
          <w:sz w:val="21"/>
          <w:sz w:val="21"/>
          <w:vertAlign w:val="baseline"/>
          <w:lang w:val="en-US"/>
        </w:rPr>
        <w:t xml:space="preserve">tangible assets as well as the capital income share in national income. Section two presents </w:t>
      </w:r>
      <w:r>
        <w:rPr>
          <w:rFonts w:ascii="Arial" w:hAnsi="Arial"/>
          <w:b/>
          <w:strike w:val="false"/>
          <w:dstrike w:val="false"/>
          <w:color w:val="000000"/>
          <w:spacing w:val="-2"/>
          <w:w w:val="100"/>
          <w:position w:val="0"/>
          <w:sz w:val="21"/>
          <w:sz w:val="21"/>
          <w:vertAlign w:val="baseline"/>
          <w:lang w:val="en-US"/>
        </w:rPr>
        <w:t xml:space="preserve">new estimates of the rate of return to capital in the nonfinancial corporate (NFC) sector in the </w:t>
      </w:r>
      <w:r>
        <w:rPr>
          <w:rFonts w:ascii="Arial" w:hAnsi="Arial"/>
          <w:b/>
          <w:strike w:val="false"/>
          <w:dstrike w:val="false"/>
          <w:color w:val="000000"/>
          <w:spacing w:val="0"/>
          <w:w w:val="100"/>
          <w:position w:val="0"/>
          <w:sz w:val="21"/>
          <w:sz w:val="21"/>
          <w:vertAlign w:val="baseline"/>
          <w:lang w:val="en-US"/>
        </w:rPr>
        <w:t xml:space="preserve">United States, both before and after taxes. This section also considers whether the 1990s </w:t>
      </w:r>
      <w:r>
        <w:rPr>
          <w:rFonts w:ascii="Arial" w:hAnsi="Arial"/>
          <w:b/>
          <w:strike w:val="false"/>
          <w:dstrike w:val="false"/>
          <w:color w:val="000000"/>
          <w:spacing w:val="-3"/>
          <w:w w:val="100"/>
          <w:position w:val="0"/>
          <w:sz w:val="21"/>
          <w:sz w:val="21"/>
          <w:vertAlign w:val="baseline"/>
          <w:lang w:val="en-US"/>
        </w:rPr>
        <w:t xml:space="preserve">represent an unusual period of corporate returns. The third section reports historical data on </w:t>
      </w:r>
      <w:r>
        <w:rPr>
          <w:rFonts w:ascii="Arial" w:hAnsi="Arial"/>
          <w:b/>
          <w:strike w:val="false"/>
          <w:dstrike w:val="false"/>
          <w:color w:val="000000"/>
          <w:spacing w:val="-4"/>
          <w:w w:val="100"/>
          <w:position w:val="0"/>
          <w:sz w:val="21"/>
          <w:sz w:val="21"/>
          <w:vertAlign w:val="baseline"/>
          <w:lang w:val="en-US"/>
        </w:rPr>
        <w:t xml:space="preserve">corporate capital income relative to national income, and disaggregates changes in this income </w:t>
      </w:r>
      <w:r>
        <w:rPr>
          <w:rFonts w:ascii="Arial" w:hAnsi="Arial"/>
          <w:b/>
          <w:strike w:val="false"/>
          <w:dstrike w:val="false"/>
          <w:color w:val="000000"/>
          <w:spacing w:val="1"/>
          <w:w w:val="100"/>
          <w:position w:val="0"/>
          <w:sz w:val="21"/>
          <w:sz w:val="21"/>
          <w:vertAlign w:val="baseline"/>
          <w:lang w:val="en-US"/>
        </w:rPr>
        <w:t xml:space="preserve">share into changes due to the pretax return on corporate capital and changes due to the size </w:t>
      </w:r>
      <w:r>
        <w:rPr>
          <w:rFonts w:ascii="Arial" w:hAnsi="Arial"/>
          <w:b/>
          <w:strike w:val="false"/>
          <w:dstrike w:val="false"/>
          <w:color w:val="000000"/>
          <w:spacing w:val="2"/>
          <w:w w:val="100"/>
          <w:position w:val="0"/>
          <w:sz w:val="21"/>
          <w:sz w:val="21"/>
          <w:vertAlign w:val="baseline"/>
          <w:lang w:val="en-US"/>
        </w:rPr>
        <w:t xml:space="preserve">of the corporate capital stock relative to national income. This section also considers the </w:t>
      </w:r>
      <w:r>
        <w:rPr>
          <w:rFonts w:ascii="Arial" w:hAnsi="Arial"/>
          <w:b/>
          <w:strike w:val="false"/>
          <w:dstrike w:val="false"/>
          <w:color w:val="000000"/>
          <w:spacing w:val="-1"/>
          <w:w w:val="100"/>
          <w:position w:val="0"/>
          <w:sz w:val="21"/>
          <w:sz w:val="21"/>
          <w:vertAlign w:val="baseline"/>
          <w:lang w:val="en-US"/>
        </w:rPr>
        <w:t xml:space="preserve">recent evolution of the labor share of national income. Section four considers international </w:t>
      </w:r>
      <w:r>
        <w:rPr>
          <w:rFonts w:ascii="Arial" w:hAnsi="Arial"/>
          <w:b/>
          <w:strike w:val="false"/>
          <w:dstrike w:val="false"/>
          <w:color w:val="000000"/>
          <w:spacing w:val="0"/>
          <w:w w:val="100"/>
          <w:position w:val="0"/>
          <w:sz w:val="21"/>
          <w:sz w:val="21"/>
          <w:vertAlign w:val="baseline"/>
          <w:lang w:val="en-US"/>
        </w:rPr>
        <w:t xml:space="preserve">evidence on the rate of return to corporate capital, and it compares recent movements in the </w:t>
      </w:r>
      <w:r>
        <w:rPr>
          <w:rFonts w:ascii="Arial" w:hAnsi="Arial"/>
          <w:b/>
          <w:strike w:val="false"/>
          <w:dstrike w:val="false"/>
          <w:color w:val="000000"/>
          <w:spacing w:val="-3"/>
          <w:w w:val="100"/>
          <w:position w:val="0"/>
          <w:sz w:val="21"/>
          <w:sz w:val="21"/>
          <w:vertAlign w:val="baseline"/>
          <w:lang w:val="en-US"/>
        </w:rPr>
        <w:t xml:space="preserve">profit rate in the United States to that in the other G-7 nations. The fifth section explores the </w:t>
      </w:r>
      <w:r>
        <w:rPr>
          <w:rFonts w:ascii="Arial" w:hAnsi="Arial"/>
          <w:b/>
          <w:strike w:val="false"/>
          <w:dstrike w:val="false"/>
          <w:color w:val="000000"/>
          <w:spacing w:val="1"/>
          <w:w w:val="100"/>
          <w:position w:val="0"/>
          <w:sz w:val="21"/>
          <w:sz w:val="21"/>
          <w:vertAlign w:val="baseline"/>
          <w:lang w:val="en-US"/>
        </w:rPr>
        <w:t xml:space="preserve">relationship between accounting returns in the national income accounts and alternative </w:t>
      </w:r>
      <w:r>
        <w:rPr>
          <w:rFonts w:ascii="Arial" w:hAnsi="Arial"/>
          <w:b/>
          <w:strike w:val="false"/>
          <w:dstrike w:val="false"/>
          <w:color w:val="000000"/>
          <w:spacing w:val="2"/>
          <w:w w:val="100"/>
          <w:position w:val="0"/>
          <w:sz w:val="21"/>
          <w:sz w:val="21"/>
          <w:vertAlign w:val="baseline"/>
          <w:lang w:val="en-US"/>
        </w:rPr>
        <w:t xml:space="preserve">measures of the return to capital that could be constructed from capital market data. The </w:t>
      </w:r>
      <w:r>
        <w:rPr>
          <w:rFonts w:ascii="Arial" w:hAnsi="Arial"/>
          <w:b/>
          <w:strike w:val="false"/>
          <w:dstrike w:val="false"/>
          <w:color w:val="000000"/>
          <w:spacing w:val="1"/>
          <w:w w:val="100"/>
          <w:position w:val="0"/>
          <w:sz w:val="21"/>
          <w:sz w:val="21"/>
          <w:vertAlign w:val="baseline"/>
          <w:lang w:val="en-US"/>
        </w:rPr>
        <w:t xml:space="preserve">analysis focuses on the United States, and finds weak, if any, high-frequency association </w:t>
      </w:r>
      <w:r>
        <w:rPr>
          <w:rFonts w:ascii="Arial" w:hAnsi="Arial"/>
          <w:b/>
          <w:strike w:val="false"/>
          <w:dstrike w:val="false"/>
          <w:color w:val="000000"/>
          <w:spacing w:val="-2"/>
          <w:w w:val="100"/>
          <w:position w:val="0"/>
          <w:sz w:val="21"/>
          <w:sz w:val="21"/>
          <w:vertAlign w:val="baseline"/>
          <w:lang w:val="en-US"/>
        </w:rPr>
        <w:t xml:space="preserve">between these measures. A brief concluding section suggests directions for future research </w:t>
      </w:r>
      <w:r>
        <w:rPr>
          <w:rFonts w:ascii="Arial" w:hAnsi="Arial"/>
          <w:b/>
          <w:strike w:val="false"/>
          <w:dstrike w:val="false"/>
          <w:color w:val="000000"/>
          <w:spacing w:val="2"/>
          <w:w w:val="100"/>
          <w:position w:val="0"/>
          <w:sz w:val="21"/>
          <w:sz w:val="21"/>
          <w:vertAlign w:val="baseline"/>
          <w:lang w:val="en-US"/>
        </w:rPr>
        <w:t>directed at understanding the source of fluctuations in NIPA accounting returns.</w:t>
      </w:r>
    </w:p>
    <w:p>
      <w:pPr>
        <w:pStyle w:val="Normal"/>
        <w:spacing w:lineRule="auto" w:line="240" w:before="396" w:after="0"/>
        <w:ind w:left="0" w:right="0" w:hanging="0"/>
        <w:jc w:val="center"/>
        <w:rPr>
          <w:rFonts w:ascii="Arial" w:hAnsi="Arial"/>
          <w:b/>
          <w:b/>
          <w:strike w:val="false"/>
          <w:dstrike w:val="false"/>
          <w:color w:val="000000"/>
          <w:spacing w:val="-2"/>
          <w:w w:val="100"/>
          <w:position w:val="0"/>
          <w:sz w:val="22"/>
          <w:sz w:val="22"/>
          <w:u w:val="single"/>
          <w:vertAlign w:val="baseline"/>
          <w:lang w:val="en-US"/>
        </w:rPr>
      </w:pPr>
      <w:r>
        <w:rPr>
          <w:rFonts w:ascii="Arial" w:hAnsi="Arial"/>
          <w:b/>
          <w:strike w:val="false"/>
          <w:dstrike w:val="false"/>
          <w:color w:val="000000"/>
          <w:spacing w:val="-2"/>
          <w:w w:val="100"/>
          <w:position w:val="0"/>
          <w:sz w:val="22"/>
          <w:sz w:val="22"/>
          <w:u w:val="single"/>
          <w:vertAlign w:val="baseline"/>
          <w:lang w:val="en-US"/>
        </w:rPr>
        <w:t xml:space="preserve">The Rate of Return and the Capital Share of National Income: Definitions </w:t>
      </w:r>
    </w:p>
    <w:p>
      <w:pPr>
        <w:pStyle w:val="Normal"/>
        <w:spacing w:lineRule="auto" w:line="480" w:before="288" w:after="0"/>
        <w:ind w:left="0" w:right="72" w:firstLine="720"/>
        <w:jc w:val="both"/>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 xml:space="preserve">In an economy in which corporations produce all output, there are no taxes (so net national product equals national income), and output of the corporate sector (Y) is measured </w:t>
      </w:r>
      <w:r>
        <w:rPr>
          <w:rFonts w:ascii="Arial" w:hAnsi="Arial"/>
          <w:b/>
          <w:strike w:val="false"/>
          <w:dstrike w:val="false"/>
          <w:color w:val="000000"/>
          <w:spacing w:val="3"/>
          <w:w w:val="100"/>
          <w:position w:val="0"/>
          <w:sz w:val="21"/>
          <w:sz w:val="21"/>
          <w:vertAlign w:val="baseline"/>
          <w:lang w:val="en-US"/>
        </w:rPr>
        <w:t>net of depreciation, the accounting identity for corporate cash flow is</w:t>
      </w:r>
    </w:p>
    <w:p>
      <w:pPr>
        <w:pStyle w:val="Normal"/>
        <w:tabs>
          <w:tab w:val="clear" w:pos="720"/>
          <w:tab w:val="right" w:pos="8989" w:leader="none"/>
        </w:tabs>
        <w:spacing w:lineRule="auto" w:line="271" w:before="180" w:after="0"/>
        <w:ind w:left="720" w:right="0" w:hanging="0"/>
        <w:jc w:val="left"/>
        <w:rPr>
          <w:rFonts w:ascii="Arial" w:hAnsi="Arial"/>
          <w:b/>
          <w:b/>
          <w:strike w:val="false"/>
          <w:dstrike w:val="false"/>
          <w:color w:val="000000"/>
          <w:spacing w:val="14"/>
          <w:w w:val="100"/>
          <w:position w:val="0"/>
          <w:sz w:val="22"/>
          <w:sz w:val="21"/>
          <w:vertAlign w:val="baseline"/>
          <w:lang w:val="en-US"/>
        </w:rPr>
      </w:pPr>
      <w:r>
        <w:rPr>
          <w:rFonts w:ascii="Arial" w:hAnsi="Arial"/>
          <w:b/>
          <w:strike w:val="false"/>
          <w:dstrike w:val="false"/>
          <w:color w:val="000000"/>
          <w:spacing w:val="14"/>
          <w:w w:val="100"/>
          <w:position w:val="0"/>
          <w:sz w:val="21"/>
          <w:sz w:val="21"/>
          <w:vertAlign w:val="baseline"/>
          <w:lang w:val="en-US"/>
        </w:rPr>
        <w:t xml:space="preserve">pY = wL + iB + </w:t>
      </w:r>
      <w:r>
        <w:rPr>
          <w:rFonts w:ascii="Arial" w:hAnsi="Arial"/>
          <w:b/>
          <w:i/>
          <w:strike w:val="false"/>
          <w:dstrike w:val="false"/>
          <w:color w:val="000000"/>
          <w:spacing w:val="14"/>
          <w:w w:val="100"/>
          <w:position w:val="0"/>
          <w:sz w:val="20"/>
          <w:sz w:val="20"/>
          <w:vertAlign w:val="baseline"/>
          <w:lang w:val="en-US"/>
        </w:rPr>
        <w:t>rr.</w:t>
        <w:tab/>
      </w:r>
      <w:r>
        <w:rPr>
          <w:rFonts w:ascii="Arial" w:hAnsi="Arial"/>
          <w:b/>
          <w:i/>
          <w:strike w:val="false"/>
          <w:dstrike w:val="false"/>
          <w:color w:val="000000"/>
          <w:spacing w:val="0"/>
          <w:w w:val="100"/>
          <w:position w:val="0"/>
          <w:sz w:val="20"/>
          <w:sz w:val="20"/>
          <w:vertAlign w:val="baseline"/>
          <w:lang w:val="en-US"/>
        </w:rPr>
        <w:t>(1)</w:t>
      </w:r>
    </w:p>
    <w:p>
      <w:pPr>
        <w:sectPr>
          <w:type w:val="nextPage"/>
          <w:pgSz w:w="12240" w:h="15840"/>
          <w:pgMar w:left="1394" w:right="1336" w:header="0" w:top="1422" w:footer="0" w:bottom="1548" w:gutter="0"/>
          <w:pgNumType w:fmt="decimal"/>
          <w:formProt w:val="false"/>
          <w:textDirection w:val="lrTb"/>
          <w:docGrid w:type="default" w:linePitch="100" w:charSpace="4096"/>
        </w:sectPr>
        <w:pStyle w:val="Normal"/>
        <w:spacing w:lineRule="auto" w:line="276" w:before="180" w:after="0"/>
        <w:ind w:left="0" w:right="0" w:hanging="0"/>
        <w:jc w:val="center"/>
        <w:rPr>
          <w:rFonts w:ascii="Arial" w:hAnsi="Arial"/>
          <w:b/>
          <w:b/>
          <w:strike w:val="false"/>
          <w:dstrike w:val="false"/>
          <w:color w:val="000000"/>
          <w:spacing w:val="3"/>
          <w:w w:val="100"/>
          <w:position w:val="0"/>
          <w:sz w:val="22"/>
          <w:sz w:val="21"/>
          <w:vertAlign w:val="baseline"/>
          <w:lang w:val="en-US"/>
        </w:rPr>
      </w:pPr>
      <w:r>
        <w:rPr>
          <w:rFonts w:ascii="Arial" w:hAnsi="Arial"/>
          <w:b/>
          <w:strike w:val="false"/>
          <w:dstrike w:val="false"/>
          <w:color w:val="000000"/>
          <w:spacing w:val="3"/>
          <w:w w:val="100"/>
          <w:position w:val="0"/>
          <w:sz w:val="21"/>
          <w:sz w:val="21"/>
          <w:vertAlign w:val="baseline"/>
          <w:lang w:val="en-US"/>
        </w:rPr>
        <w:t>In this expression p denotes the nominal price of corporate output, w is the nominal wage,</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4</w:t>
      </w:r>
    </w:p>
    <w:p>
      <w:pPr>
        <w:pStyle w:val="Normal"/>
        <w:spacing w:lineRule="auto" w:line="480" w:before="216" w:after="0"/>
        <w:ind w:left="0" w:right="72" w:hanging="0"/>
        <w:jc w:val="both"/>
        <w:rPr>
          <w:rFonts w:ascii="Arial" w:hAnsi="Arial"/>
          <w:b/>
          <w:b/>
          <w:strike w:val="false"/>
          <w:dstrike w:val="false"/>
          <w:color w:val="000000"/>
          <w:spacing w:val="-3"/>
          <w:w w:val="100"/>
          <w:position w:val="0"/>
          <w:sz w:val="22"/>
          <w:sz w:val="21"/>
          <w:vertAlign w:val="baseline"/>
          <w:lang w:val="en-US"/>
        </w:rPr>
      </w:pPr>
      <w:r>
        <w:rPr>
          <w:rFonts w:ascii="Arial" w:hAnsi="Arial"/>
          <w:b/>
          <w:strike w:val="false"/>
          <w:dstrike w:val="false"/>
          <w:color w:val="000000"/>
          <w:spacing w:val="-3"/>
          <w:w w:val="100"/>
          <w:position w:val="0"/>
          <w:sz w:val="21"/>
          <w:sz w:val="21"/>
          <w:vertAlign w:val="baseline"/>
          <w:lang w:val="en-US"/>
        </w:rPr>
        <w:t xml:space="preserve">L is the quantity of labor input, B denotes the nominal stock of corporate debt, i is the nominal </w:t>
      </w:r>
      <w:r>
        <w:rPr>
          <w:rFonts w:ascii="Arial" w:hAnsi="Arial"/>
          <w:b/>
          <w:strike w:val="false"/>
          <w:dstrike w:val="false"/>
          <w:color w:val="000000"/>
          <w:spacing w:val="6"/>
          <w:w w:val="100"/>
          <w:position w:val="0"/>
          <w:sz w:val="21"/>
          <w:sz w:val="21"/>
          <w:vertAlign w:val="baseline"/>
          <w:lang w:val="en-US"/>
        </w:rPr>
        <w:t xml:space="preserve">interest rate on corporate debt, and </w:t>
      </w:r>
      <w:r>
        <w:rPr>
          <w:rFonts w:ascii="Verdana" w:hAnsi="Verdana"/>
          <w:b/>
          <w:i/>
          <w:strike w:val="false"/>
          <w:dstrike w:val="false"/>
          <w:color w:val="000000"/>
          <w:spacing w:val="6"/>
          <w:w w:val="100"/>
          <w:position w:val="0"/>
          <w:sz w:val="16"/>
          <w:sz w:val="16"/>
          <w:vertAlign w:val="baseline"/>
          <w:lang w:val="en-US"/>
        </w:rPr>
        <w:t xml:space="preserve">ir </w:t>
      </w:r>
      <w:r>
        <w:rPr>
          <w:rFonts w:ascii="Arial" w:hAnsi="Arial"/>
          <w:b/>
          <w:strike w:val="false"/>
          <w:dstrike w:val="false"/>
          <w:color w:val="000000"/>
          <w:spacing w:val="6"/>
          <w:w w:val="100"/>
          <w:position w:val="0"/>
          <w:sz w:val="21"/>
          <w:sz w:val="21"/>
          <w:vertAlign w:val="baseline"/>
          <w:lang w:val="en-US"/>
        </w:rPr>
        <w:t xml:space="preserve">denotes corporate profits. The rate of return to </w:t>
      </w:r>
      <w:r>
        <w:rPr>
          <w:rFonts w:ascii="Arial" w:hAnsi="Arial"/>
          <w:b/>
          <w:strike w:val="false"/>
          <w:dstrike w:val="false"/>
          <w:color w:val="000000"/>
          <w:spacing w:val="0"/>
          <w:w w:val="100"/>
          <w:position w:val="0"/>
          <w:sz w:val="21"/>
          <w:sz w:val="21"/>
          <w:vertAlign w:val="baseline"/>
          <w:lang w:val="en-US"/>
        </w:rPr>
        <w:t>corporate capital is defined by:</w:t>
      </w:r>
    </w:p>
    <w:p>
      <w:pPr>
        <w:pStyle w:val="Normal"/>
        <w:tabs>
          <w:tab w:val="clear" w:pos="720"/>
          <w:tab w:val="right" w:pos="8946" w:leader="none"/>
        </w:tabs>
        <w:spacing w:lineRule="auto" w:line="240" w:before="180" w:after="0"/>
        <w:ind w:left="720" w:right="0" w:hanging="0"/>
        <w:jc w:val="left"/>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r</w:t>
      </w:r>
      <w:r>
        <w:rPr>
          <w:rFonts w:ascii="Verdana" w:hAnsi="Verdana"/>
          <w:b/>
          <w:strike w:val="false"/>
          <w:dstrike w:val="false"/>
          <w:color w:val="000000"/>
          <w:spacing w:val="0"/>
          <w:w w:val="100"/>
          <w:sz w:val="21"/>
          <w:vertAlign w:val="subscript"/>
          <w:lang w:val="en-US"/>
        </w:rPr>
        <w:t>K</w:t>
      </w:r>
      <w:r>
        <w:rPr>
          <w:rFonts w:ascii="Arial" w:hAnsi="Arial"/>
          <w:b/>
          <w:strike w:val="false"/>
          <w:dstrike w:val="false"/>
          <w:color w:val="000000"/>
          <w:spacing w:val="0"/>
          <w:w w:val="100"/>
          <w:position w:val="0"/>
          <w:sz w:val="21"/>
          <w:sz w:val="21"/>
          <w:vertAlign w:val="baseline"/>
          <w:lang w:val="en-US"/>
        </w:rPr>
        <w:t xml:space="preserve"> = </w:t>
      </w:r>
      <w:r>
        <w:rPr>
          <w:rFonts w:ascii="Verdana" w:hAnsi="Verdana"/>
          <w:b/>
          <w:i/>
          <w:strike w:val="false"/>
          <w:dstrike w:val="false"/>
          <w:color w:val="000000"/>
          <w:spacing w:val="0"/>
          <w:w w:val="100"/>
          <w:position w:val="0"/>
          <w:sz w:val="16"/>
          <w:sz w:val="16"/>
          <w:vertAlign w:val="baseline"/>
          <w:lang w:val="en-US"/>
        </w:rPr>
        <w:t xml:space="preserve">(rr + </w:t>
      </w:r>
      <w:r>
        <w:rPr>
          <w:rFonts w:ascii="Arial" w:hAnsi="Arial"/>
          <w:b/>
          <w:strike w:val="false"/>
          <w:dstrike w:val="false"/>
          <w:color w:val="000000"/>
          <w:spacing w:val="0"/>
          <w:w w:val="100"/>
          <w:position w:val="0"/>
          <w:sz w:val="21"/>
          <w:sz w:val="21"/>
          <w:vertAlign w:val="baseline"/>
          <w:lang w:val="en-US"/>
        </w:rPr>
        <w:t>iB)/p</w:t>
      </w:r>
      <w:r>
        <w:rPr>
          <w:rFonts w:ascii="Verdana" w:hAnsi="Verdana"/>
          <w:b/>
          <w:strike w:val="false"/>
          <w:dstrike w:val="false"/>
          <w:color w:val="000000"/>
          <w:spacing w:val="0"/>
          <w:w w:val="100"/>
          <w:sz w:val="21"/>
          <w:vertAlign w:val="subscript"/>
          <w:lang w:val="en-US"/>
        </w:rPr>
        <w:t>K</w:t>
      </w:r>
      <w:r>
        <w:rPr>
          <w:rFonts w:ascii="Arial" w:hAnsi="Arial"/>
          <w:b/>
          <w:strike w:val="false"/>
          <w:dstrike w:val="false"/>
          <w:color w:val="000000"/>
          <w:spacing w:val="0"/>
          <w:w w:val="100"/>
          <w:position w:val="0"/>
          <w:sz w:val="21"/>
          <w:sz w:val="21"/>
          <w:vertAlign w:val="baseline"/>
          <w:lang w:val="en-US"/>
        </w:rPr>
        <w:t>K</w:t>
        <w:tab/>
        <w:t>(2)</w:t>
      </w:r>
    </w:p>
    <w:p>
      <w:pPr>
        <w:pStyle w:val="Normal"/>
        <w:spacing w:lineRule="auto" w:line="480" w:before="180" w:after="0"/>
        <w:ind w:left="0" w:right="72" w:hanging="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where K denotes the constant-dollar stock of tangible assets used in the corporate sector, and </w:t>
      </w:r>
      <w:r>
        <w:rPr>
          <w:rFonts w:ascii="Arial" w:hAnsi="Arial"/>
          <w:b/>
          <w:strike w:val="false"/>
          <w:dstrike w:val="false"/>
          <w:color w:val="000000"/>
          <w:spacing w:val="1"/>
          <w:w w:val="100"/>
          <w:position w:val="0"/>
          <w:sz w:val="21"/>
          <w:sz w:val="21"/>
          <w:vertAlign w:val="baseline"/>
          <w:lang w:val="en-US"/>
        </w:rPr>
        <w:t>p</w:t>
      </w:r>
      <w:r>
        <w:rPr>
          <w:rFonts w:ascii="Verdana" w:hAnsi="Verdana"/>
          <w:b/>
          <w:strike w:val="false"/>
          <w:dstrike w:val="false"/>
          <w:color w:val="000000"/>
          <w:spacing w:val="1"/>
          <w:w w:val="100"/>
          <w:sz w:val="21"/>
          <w:vertAlign w:val="subscript"/>
          <w:lang w:val="en-US"/>
        </w:rPr>
        <w:t>K</w:t>
      </w:r>
      <w:r>
        <w:rPr>
          <w:rFonts w:ascii="Arial" w:hAnsi="Arial"/>
          <w:b/>
          <w:strike w:val="false"/>
          <w:dstrike w:val="false"/>
          <w:color w:val="000000"/>
          <w:spacing w:val="1"/>
          <w:w w:val="100"/>
          <w:position w:val="0"/>
          <w:sz w:val="21"/>
          <w:sz w:val="21"/>
          <w:vertAlign w:val="baseline"/>
          <w:lang w:val="en-US"/>
        </w:rPr>
        <w:t xml:space="preserve"> is the nominal price of capital assets. The denominator in (2) is the replacement value of </w:t>
      </w:r>
      <w:r>
        <w:rPr>
          <w:rFonts w:ascii="Arial" w:hAnsi="Arial"/>
          <w:b/>
          <w:strike w:val="false"/>
          <w:dstrike w:val="false"/>
          <w:color w:val="000000"/>
          <w:spacing w:val="0"/>
          <w:w w:val="100"/>
          <w:position w:val="0"/>
          <w:sz w:val="21"/>
          <w:sz w:val="21"/>
          <w:vertAlign w:val="baseline"/>
          <w:lang w:val="en-US"/>
        </w:rPr>
        <w:t xml:space="preserve">the capital stock. The rate of return includes profits, which are ultimately returns to equity </w:t>
      </w:r>
      <w:r>
        <w:rPr>
          <w:rFonts w:ascii="Arial" w:hAnsi="Arial"/>
          <w:b/>
          <w:strike w:val="false"/>
          <w:dstrike w:val="false"/>
          <w:color w:val="000000"/>
          <w:spacing w:val="2"/>
          <w:w w:val="100"/>
          <w:position w:val="0"/>
          <w:sz w:val="21"/>
          <w:sz w:val="21"/>
          <w:vertAlign w:val="baseline"/>
          <w:lang w:val="en-US"/>
        </w:rPr>
        <w:t xml:space="preserve">investors, either in the form of dividends or retained earnings, as well as interest payments </w:t>
      </w:r>
      <w:r>
        <w:rPr>
          <w:rFonts w:ascii="Arial" w:hAnsi="Arial"/>
          <w:b/>
          <w:strike w:val="false"/>
          <w:dstrike w:val="false"/>
          <w:color w:val="000000"/>
          <w:spacing w:val="5"/>
          <w:w w:val="100"/>
          <w:position w:val="0"/>
          <w:sz w:val="21"/>
          <w:sz w:val="21"/>
          <w:vertAlign w:val="baseline"/>
          <w:lang w:val="en-US"/>
        </w:rPr>
        <w:t xml:space="preserve">to corporate debt holders. This is the return concept that has been used frequently in </w:t>
      </w:r>
      <w:r>
        <w:rPr>
          <w:rFonts w:ascii="Arial" w:hAnsi="Arial"/>
          <w:b/>
          <w:strike w:val="false"/>
          <w:dstrike w:val="false"/>
          <w:color w:val="000000"/>
          <w:spacing w:val="4"/>
          <w:w w:val="100"/>
          <w:position w:val="0"/>
          <w:sz w:val="21"/>
          <w:sz w:val="21"/>
          <w:vertAlign w:val="baseline"/>
          <w:lang w:val="en-US"/>
        </w:rPr>
        <w:t>attempts to gauge the social return to capital.</w:t>
      </w:r>
    </w:p>
    <w:p>
      <w:pPr>
        <w:pStyle w:val="Normal"/>
        <w:spacing w:lineRule="auto" w:line="480" w:before="144" w:after="0"/>
        <w:ind w:left="0" w:right="72" w:firstLine="720"/>
        <w:jc w:val="left"/>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The rate of return defined in (2) is related to capital's share of national income', which </w:t>
      </w:r>
      <w:r>
        <w:rPr>
          <w:rFonts w:ascii="Arial" w:hAnsi="Arial"/>
          <w:b/>
          <w:strike w:val="false"/>
          <w:dstrike w:val="false"/>
          <w:color w:val="000000"/>
          <w:spacing w:val="0"/>
          <w:w w:val="100"/>
          <w:position w:val="0"/>
          <w:sz w:val="21"/>
          <w:sz w:val="21"/>
          <w:vertAlign w:val="baseline"/>
          <w:lang w:val="en-US"/>
        </w:rPr>
        <w:t>is defined as</w:t>
      </w:r>
    </w:p>
    <w:p>
      <w:pPr>
        <w:pStyle w:val="Normal"/>
        <w:tabs>
          <w:tab w:val="clear" w:pos="720"/>
          <w:tab w:val="right" w:pos="8964" w:leader="none"/>
        </w:tabs>
        <w:spacing w:lineRule="auto" w:line="240" w:before="216" w:after="0"/>
        <w:ind w:left="720" w:right="0" w:hanging="0"/>
        <w:jc w:val="left"/>
        <w:rPr>
          <w:rFonts w:ascii="Arial" w:hAnsi="Arial"/>
          <w:b/>
          <w:b/>
          <w:strike w:val="false"/>
          <w:dstrike w:val="false"/>
          <w:color w:val="000000"/>
          <w:spacing w:val="4"/>
          <w:w w:val="100"/>
          <w:position w:val="0"/>
          <w:sz w:val="22"/>
          <w:sz w:val="21"/>
          <w:vertAlign w:val="baseline"/>
          <w:lang w:val="en-US"/>
        </w:rPr>
      </w:pPr>
      <w:r>
        <w:rPr>
          <w:rFonts w:ascii="Arial" w:hAnsi="Arial"/>
          <w:b/>
          <w:strike w:val="false"/>
          <w:dstrike w:val="false"/>
          <w:color w:val="000000"/>
          <w:spacing w:val="4"/>
          <w:w w:val="100"/>
          <w:position w:val="0"/>
          <w:sz w:val="21"/>
          <w:sz w:val="21"/>
          <w:vertAlign w:val="baseline"/>
          <w:lang w:val="en-US"/>
        </w:rPr>
        <w:t>s</w:t>
      </w:r>
      <w:r>
        <w:rPr>
          <w:rFonts w:ascii="Verdana" w:hAnsi="Verdana"/>
          <w:b/>
          <w:strike w:val="false"/>
          <w:dstrike w:val="false"/>
          <w:color w:val="000000"/>
          <w:spacing w:val="4"/>
          <w:w w:val="100"/>
          <w:sz w:val="21"/>
          <w:vertAlign w:val="subscript"/>
          <w:lang w:val="en-US"/>
        </w:rPr>
        <w:t>K</w:t>
      </w:r>
      <w:r>
        <w:rPr>
          <w:rFonts w:ascii="Arial" w:hAnsi="Arial"/>
          <w:b/>
          <w:strike w:val="false"/>
          <w:dstrike w:val="false"/>
          <w:color w:val="000000"/>
          <w:spacing w:val="4"/>
          <w:w w:val="100"/>
          <w:position w:val="0"/>
          <w:sz w:val="21"/>
          <w:sz w:val="21"/>
          <w:vertAlign w:val="baseline"/>
          <w:lang w:val="en-US"/>
        </w:rPr>
        <w:t xml:space="preserve"> = </w:t>
      </w:r>
      <w:r>
        <w:rPr>
          <w:rFonts w:ascii="Verdana" w:hAnsi="Verdana"/>
          <w:b/>
          <w:i/>
          <w:strike w:val="false"/>
          <w:dstrike w:val="false"/>
          <w:color w:val="000000"/>
          <w:spacing w:val="4"/>
          <w:w w:val="100"/>
          <w:position w:val="0"/>
          <w:sz w:val="16"/>
          <w:sz w:val="16"/>
          <w:vertAlign w:val="baseline"/>
          <w:lang w:val="en-US"/>
        </w:rPr>
        <w:t xml:space="preserve">(ff </w:t>
      </w:r>
      <w:r>
        <w:rPr>
          <w:rFonts w:ascii="Arial" w:hAnsi="Arial"/>
          <w:b/>
          <w:strike w:val="false"/>
          <w:dstrike w:val="false"/>
          <w:color w:val="000000"/>
          <w:spacing w:val="4"/>
          <w:w w:val="100"/>
          <w:position w:val="0"/>
          <w:sz w:val="21"/>
          <w:sz w:val="21"/>
          <w:vertAlign w:val="baseline"/>
          <w:lang w:val="en-US"/>
        </w:rPr>
        <w:t>+ iB)/pY.</w:t>
        <w:tab/>
      </w:r>
      <w:r>
        <w:rPr>
          <w:rFonts w:ascii="Arial" w:hAnsi="Arial"/>
          <w:b/>
          <w:strike w:val="false"/>
          <w:dstrike w:val="false"/>
          <w:color w:val="000000"/>
          <w:spacing w:val="0"/>
          <w:w w:val="100"/>
          <w:position w:val="0"/>
          <w:sz w:val="21"/>
          <w:sz w:val="21"/>
          <w:vertAlign w:val="baseline"/>
          <w:lang w:val="en-US"/>
        </w:rPr>
        <w:t>(3)</w:t>
      </w:r>
    </w:p>
    <w:p>
      <w:pPr>
        <w:pStyle w:val="Normal"/>
        <w:spacing w:lineRule="auto" w:line="240" w:before="180" w:after="0"/>
        <w:ind w:left="0" w:right="0" w:hanging="0"/>
        <w:jc w:val="left"/>
        <w:rPr>
          <w:rFonts w:ascii="Arial" w:hAnsi="Arial"/>
          <w:b/>
          <w:b/>
          <w:strike w:val="false"/>
          <w:dstrike w:val="false"/>
          <w:color w:val="000000"/>
          <w:spacing w:val="2"/>
          <w:w w:val="100"/>
          <w:position w:val="0"/>
          <w:sz w:val="22"/>
          <w:sz w:val="21"/>
          <w:vertAlign w:val="baseline"/>
          <w:lang w:val="en-US"/>
        </w:rPr>
      </w:pPr>
      <w:r>
        <w:rPr>
          <w:rFonts w:ascii="Arial" w:hAnsi="Arial"/>
          <w:b/>
          <w:strike w:val="false"/>
          <w:dstrike w:val="false"/>
          <w:color w:val="000000"/>
          <w:spacing w:val="2"/>
          <w:w w:val="100"/>
          <w:position w:val="0"/>
          <w:sz w:val="21"/>
          <w:sz w:val="21"/>
          <w:vertAlign w:val="baseline"/>
          <w:lang w:val="en-US"/>
        </w:rPr>
        <w:t>The national income share of labor income is defined, in parallel, as</w:t>
      </w:r>
    </w:p>
    <w:p>
      <w:pPr>
        <w:pStyle w:val="Normal"/>
        <w:tabs>
          <w:tab w:val="clear" w:pos="720"/>
          <w:tab w:val="right" w:pos="8971" w:leader="none"/>
        </w:tabs>
        <w:spacing w:lineRule="auto" w:line="240" w:before="180" w:after="0"/>
        <w:ind w:left="720" w:right="0" w:hanging="0"/>
        <w:jc w:val="left"/>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S</w:t>
      </w:r>
      <w:r>
        <w:rPr>
          <w:rFonts w:ascii="Verdana" w:hAnsi="Verdana"/>
          <w:b/>
          <w:strike w:val="false"/>
          <w:dstrike w:val="false"/>
          <w:color w:val="000000"/>
          <w:spacing w:val="0"/>
          <w:w w:val="100"/>
          <w:sz w:val="21"/>
          <w:vertAlign w:val="subscript"/>
          <w:lang w:val="en-US"/>
        </w:rPr>
        <w:t>i</w:t>
      </w:r>
      <w:r>
        <w:rPr>
          <w:rFonts w:ascii="Arial" w:hAnsi="Arial"/>
          <w:b/>
          <w:strike w:val="false"/>
          <w:dstrike w:val="false"/>
          <w:color w:val="000000"/>
          <w:spacing w:val="0"/>
          <w:w w:val="100"/>
          <w:position w:val="0"/>
          <w:sz w:val="21"/>
          <w:sz w:val="21"/>
          <w:vertAlign w:val="baseline"/>
          <w:lang w:val="en-US"/>
        </w:rPr>
        <w:t>_ = wL/pY.</w:t>
        <w:tab/>
        <w:t>(4)</w:t>
      </w:r>
    </w:p>
    <w:p>
      <w:pPr>
        <w:pStyle w:val="Normal"/>
        <w:spacing w:lineRule="auto" w:line="240" w:before="288" w:after="0"/>
        <w:ind w:left="0" w:right="0" w:hanging="0"/>
        <w:jc w:val="left"/>
        <w:rPr>
          <w:rFonts w:ascii="Arial" w:hAnsi="Arial"/>
          <w:b/>
          <w:b/>
          <w:strike w:val="false"/>
          <w:dstrike w:val="false"/>
          <w:color w:val="000000"/>
          <w:spacing w:val="3"/>
          <w:w w:val="100"/>
          <w:position w:val="0"/>
          <w:sz w:val="22"/>
          <w:sz w:val="21"/>
          <w:vertAlign w:val="baseline"/>
          <w:lang w:val="en-US"/>
        </w:rPr>
      </w:pPr>
      <w:r>
        <w:rPr>
          <w:rFonts w:ascii="Arial" w:hAnsi="Arial"/>
          <w:b/>
          <w:strike w:val="false"/>
          <w:dstrike w:val="false"/>
          <w:color w:val="000000"/>
          <w:spacing w:val="3"/>
          <w:w w:val="100"/>
          <w:position w:val="0"/>
          <w:sz w:val="21"/>
          <w:sz w:val="21"/>
          <w:vertAlign w:val="baseline"/>
          <w:lang w:val="en-US"/>
        </w:rPr>
        <w:t>Capital's share of national income is related to the return on capital assets by the identity</w:t>
      </w:r>
    </w:p>
    <w:p>
      <w:pPr>
        <w:pStyle w:val="Normal"/>
        <w:tabs>
          <w:tab w:val="clear" w:pos="720"/>
          <w:tab w:val="right" w:pos="8978" w:leader="none"/>
        </w:tabs>
        <w:spacing w:lineRule="auto" w:line="240" w:before="252" w:after="0"/>
        <w:ind w:left="720" w:right="0" w:hanging="0"/>
        <w:jc w:val="left"/>
        <w:rPr>
          <w:rFonts w:ascii="Verdana" w:hAnsi="Verdana"/>
          <w:b/>
          <w:b/>
          <w:strike w:val="false"/>
          <w:dstrike w:val="false"/>
          <w:color w:val="000000"/>
          <w:spacing w:val="-8"/>
          <w:w w:val="100"/>
          <w:position w:val="0"/>
          <w:sz w:val="22"/>
          <w:sz w:val="14"/>
          <w:vertAlign w:val="baseline"/>
          <w:lang w:val="en-US"/>
        </w:rPr>
      </w:pPr>
      <w:r>
        <w:rPr>
          <w:rFonts w:ascii="Verdana" w:hAnsi="Verdana"/>
          <w:b/>
          <w:strike w:val="false"/>
          <w:dstrike w:val="false"/>
          <w:color w:val="000000"/>
          <w:spacing w:val="-8"/>
          <w:w w:val="100"/>
          <w:position w:val="0"/>
          <w:sz w:val="14"/>
          <w:sz w:val="14"/>
          <w:vertAlign w:val="baseline"/>
          <w:lang w:val="en-US"/>
        </w:rPr>
        <w:t xml:space="preserve">SK </w:t>
      </w:r>
      <w:r>
        <w:rPr>
          <w:rFonts w:ascii="Arial" w:hAnsi="Arial"/>
          <w:b/>
          <w:strike w:val="false"/>
          <w:dstrike w:val="false"/>
          <w:color w:val="000000"/>
          <w:spacing w:val="-8"/>
          <w:w w:val="140"/>
          <w:position w:val="0"/>
          <w:sz w:val="18"/>
          <w:sz w:val="18"/>
          <w:vertAlign w:val="baseline"/>
          <w:lang w:val="en-US"/>
        </w:rPr>
        <w:t xml:space="preserve">= </w:t>
      </w:r>
      <w:r>
        <w:rPr>
          <w:rFonts w:ascii="Arial" w:hAnsi="Arial"/>
          <w:b/>
          <w:strike w:val="false"/>
          <w:dstrike w:val="false"/>
          <w:color w:val="000000"/>
          <w:spacing w:val="-8"/>
          <w:w w:val="100"/>
          <w:position w:val="0"/>
          <w:sz w:val="21"/>
          <w:sz w:val="21"/>
          <w:vertAlign w:val="baseline"/>
          <w:lang w:val="en-US"/>
        </w:rPr>
        <w:t>r</w:t>
      </w:r>
      <w:r>
        <w:rPr>
          <w:rFonts w:ascii="Verdana" w:hAnsi="Verdana"/>
          <w:b/>
          <w:strike w:val="false"/>
          <w:dstrike w:val="false"/>
          <w:color w:val="000000"/>
          <w:spacing w:val="-8"/>
          <w:w w:val="100"/>
          <w:sz w:val="21"/>
          <w:vertAlign w:val="subscript"/>
          <w:lang w:val="en-US"/>
        </w:rPr>
        <w:t>K</w:t>
      </w:r>
      <w:r>
        <w:rPr>
          <w:rFonts w:ascii="Arial" w:hAnsi="Arial"/>
          <w:b/>
          <w:strike w:val="false"/>
          <w:dstrike w:val="false"/>
          <w:color w:val="000000"/>
          <w:spacing w:val="-8"/>
          <w:w w:val="100"/>
          <w:position w:val="0"/>
          <w:sz w:val="21"/>
          <w:sz w:val="21"/>
          <w:vertAlign w:val="baseline"/>
          <w:lang w:val="en-US"/>
        </w:rPr>
        <w:t xml:space="preserve">*(K/Y) </w:t>
      </w:r>
      <w:r>
        <w:rPr>
          <w:rFonts w:ascii="Arial" w:hAnsi="Arial"/>
          <w:b/>
          <w:strike w:val="false"/>
          <w:dstrike w:val="false"/>
          <w:color w:val="000000"/>
          <w:spacing w:val="-8"/>
          <w:w w:val="260"/>
          <w:sz w:val="21"/>
          <w:vertAlign w:val="superscript"/>
          <w:lang w:val="en-US"/>
        </w:rPr>
        <w:t>t</w:t>
      </w:r>
      <w:r>
        <w:rPr>
          <w:rFonts w:ascii="Arial" w:hAnsi="Arial"/>
          <w:b/>
          <w:strike w:val="false"/>
          <w:dstrike w:val="false"/>
          <w:color w:val="000000"/>
          <w:spacing w:val="-8"/>
          <w:w w:val="100"/>
          <w:position w:val="0"/>
          <w:sz w:val="21"/>
          <w:sz w:val="21"/>
          <w:vertAlign w:val="baseline"/>
          <w:lang w:val="en-US"/>
        </w:rPr>
        <w:t xml:space="preserve"> (PK/P).</w:t>
        <w:tab/>
      </w:r>
      <w:r>
        <w:rPr>
          <w:rFonts w:ascii="Arial" w:hAnsi="Arial"/>
          <w:b/>
          <w:strike w:val="false"/>
          <w:dstrike w:val="false"/>
          <w:color w:val="000000"/>
          <w:spacing w:val="0"/>
          <w:w w:val="100"/>
          <w:position w:val="0"/>
          <w:sz w:val="21"/>
          <w:sz w:val="21"/>
          <w:vertAlign w:val="baseline"/>
          <w:lang w:val="en-US"/>
        </w:rPr>
        <w:t>(5)</w:t>
      </w:r>
    </w:p>
    <w:p>
      <w:pPr>
        <w:pStyle w:val="Normal"/>
        <w:spacing w:lineRule="auto" w:line="480" w:before="216" w:after="360"/>
        <w:ind w:left="0" w:right="72" w:hanging="0"/>
        <w:jc w:val="left"/>
        <w:rPr>
          <w:rFonts w:ascii="Arial" w:hAnsi="Arial"/>
          <w:b/>
          <w:b/>
          <w:strike w:val="false"/>
          <w:dstrike w:val="false"/>
          <w:color w:val="000000"/>
          <w:spacing w:val="3"/>
          <w:w w:val="100"/>
          <w:position w:val="0"/>
          <w:sz w:val="22"/>
          <w:sz w:val="21"/>
          <w:vertAlign w:val="baseline"/>
          <w:lang w:val="en-US"/>
        </w:rPr>
      </w:pPr>
      <w:r>
        <w:rPr>
          <w:rFonts w:ascii="Arial" w:hAnsi="Arial"/>
          <w:b/>
          <w:strike w:val="false"/>
          <w:dstrike w:val="false"/>
          <w:color w:val="000000"/>
          <w:spacing w:val="3"/>
          <w:w w:val="100"/>
          <w:position w:val="0"/>
          <w:sz w:val="21"/>
          <w:sz w:val="21"/>
          <w:vertAlign w:val="baseline"/>
          <w:lang w:val="en-US"/>
        </w:rPr>
        <w:t xml:space="preserve">The capital share can rise as a result of a rise in the rate of return to capital, a rise in the </w:t>
      </w:r>
      <w:r>
        <w:rPr>
          <w:rFonts w:ascii="Arial" w:hAnsi="Arial"/>
          <w:b/>
          <w:strike w:val="false"/>
          <w:dstrike w:val="false"/>
          <w:color w:val="000000"/>
          <w:spacing w:val="6"/>
          <w:w w:val="100"/>
          <w:position w:val="0"/>
          <w:sz w:val="21"/>
          <w:sz w:val="21"/>
          <w:vertAlign w:val="baseline"/>
          <w:lang w:val="en-US"/>
        </w:rPr>
        <w:t>capital-to-output ratio, or a rise in the relative price of capital goods (p</w:t>
      </w:r>
      <w:r>
        <w:rPr>
          <w:rFonts w:ascii="Verdana" w:hAnsi="Verdana"/>
          <w:b/>
          <w:strike w:val="false"/>
          <w:dstrike w:val="false"/>
          <w:color w:val="000000"/>
          <w:spacing w:val="6"/>
          <w:w w:val="100"/>
          <w:sz w:val="21"/>
          <w:vertAlign w:val="subscript"/>
          <w:lang w:val="en-US"/>
        </w:rPr>
        <w:t>K</w:t>
      </w:r>
      <w:r>
        <w:rPr>
          <w:rFonts w:ascii="Arial" w:hAnsi="Arial"/>
          <w:b/>
          <w:strike w:val="false"/>
          <w:dstrike w:val="false"/>
          <w:color w:val="000000"/>
          <w:spacing w:val="6"/>
          <w:w w:val="100"/>
          <w:position w:val="0"/>
          <w:sz w:val="21"/>
          <w:sz w:val="21"/>
          <w:vertAlign w:val="baseline"/>
          <w:lang w:val="en-US"/>
        </w:rPr>
        <w:t>/p). These three</w:t>
      </w:r>
    </w:p>
    <w:p>
      <w:pPr>
        <w:sectPr>
          <w:type w:val="nextPage"/>
          <w:pgSz w:w="12240" w:h="15840"/>
          <w:pgMar w:left="1394" w:right="1336" w:header="0" w:top="1440" w:footer="0" w:bottom="1250" w:gutter="0"/>
          <w:pgNumType w:fmt="decimal"/>
          <w:formProt w:val="false"/>
          <w:textDirection w:val="lrTb"/>
          <w:docGrid w:type="default" w:linePitch="100" w:charSpace="4096"/>
        </w:sectPr>
        <w:pStyle w:val="Normal"/>
        <w:spacing w:lineRule="auto" w:line="240" w:before="180" w:after="0"/>
        <w:ind w:left="0" w:right="0" w:firstLine="360"/>
        <w:jc w:val="both"/>
        <w:rPr>
          <w:rFonts w:ascii="Arial" w:hAnsi="Arial"/>
          <w:b/>
          <w:b/>
          <w:strike w:val="false"/>
          <w:dstrike w:val="false"/>
          <w:color w:val="000000"/>
          <w:spacing w:val="4"/>
          <w:w w:val="100"/>
          <w:position w:val="0"/>
          <w:sz w:val="22"/>
          <w:sz w:val="21"/>
          <w:vertAlign w:val="baseline"/>
          <w:lang w:val="en-US"/>
        </w:rPr>
      </w:pPr>
      <w:r>
        <mc:AlternateContent>
          <mc:Choice Requires="wps">
            <w:drawing>
              <wp:anchor behindDoc="0" distT="0" distB="0" distL="114300" distR="114300" simplePos="0" locked="0" layoutInCell="1" allowOverlap="1" relativeHeight="2">
                <wp:simplePos x="0" y="0"/>
                <wp:positionH relativeFrom="column">
                  <wp:posOffset>0</wp:posOffset>
                </wp:positionH>
                <wp:positionV relativeFrom="paragraph">
                  <wp:posOffset>7620</wp:posOffset>
                </wp:positionV>
                <wp:extent cx="1308735" cy="1270"/>
                <wp:effectExtent l="0" t="0" r="0" b="0"/>
                <wp:wrapNone/>
                <wp:docPr id="1" name=""/>
                <a:graphic xmlns:a="http://schemas.openxmlformats.org/drawingml/2006/main">
                  <a:graphicData uri="http://schemas.microsoft.com/office/word/2010/wordprocessingShape">
                    <wps:wsp>
                      <wps:cNvSpPr/>
                      <wps:spPr>
                        <a:xfrm>
                          <a:off x="0" y="0"/>
                          <a:ext cx="1863720" cy="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0pt,0.6pt" to="146.7pt,0.6pt" stroked="t" style="position:absolute">
                <v:stroke color="black" weight="14040" joinstyle="round" endcap="flat"/>
                <v:fill o:detectmouseclick="t" on="false"/>
              </v:line>
            </w:pict>
          </mc:Fallback>
        </mc:AlternateContent>
      </w:r>
      <w:r>
        <w:rPr>
          <w:rFonts w:ascii="Arial" w:hAnsi="Arial"/>
          <w:b/>
          <w:strike w:val="false"/>
          <w:dstrike w:val="false"/>
          <w:color w:val="000000"/>
          <w:spacing w:val="4"/>
          <w:w w:val="100"/>
          <w:position w:val="0"/>
          <w:sz w:val="21"/>
          <w:sz w:val="21"/>
          <w:vertAlign w:val="baseline"/>
          <w:lang w:val="en-US"/>
        </w:rPr>
        <w:t>'</w:t>
      </w:r>
      <w:r>
        <w:rPr>
          <w:rFonts w:ascii="Arial" w:hAnsi="Arial"/>
          <w:b/>
          <w:strike w:val="false"/>
          <w:dstrike w:val="false"/>
          <w:color w:val="000000"/>
          <w:spacing w:val="4"/>
          <w:w w:val="100"/>
          <w:position w:val="0"/>
          <w:sz w:val="21"/>
          <w:sz w:val="21"/>
          <w:vertAlign w:val="baseline"/>
          <w:lang w:val="en-US"/>
        </w:rPr>
        <w:t xml:space="preserve">The capital income share of national income includes payments to bondholders. In </w:t>
      </w:r>
      <w:r>
        <w:rPr>
          <w:rFonts w:ascii="Arial" w:hAnsi="Arial"/>
          <w:b/>
          <w:strike w:val="false"/>
          <w:dstrike w:val="false"/>
          <w:color w:val="000000"/>
          <w:spacing w:val="6"/>
          <w:w w:val="100"/>
          <w:position w:val="0"/>
          <w:sz w:val="21"/>
          <w:sz w:val="21"/>
          <w:vertAlign w:val="baseline"/>
          <w:lang w:val="en-US"/>
        </w:rPr>
        <w:t xml:space="preserve">contrast, the share of profits in national income, which is sometimes cited in popular </w:t>
      </w:r>
      <w:r>
        <w:rPr>
          <w:rFonts w:ascii="Arial" w:hAnsi="Arial"/>
          <w:b/>
          <w:strike w:val="false"/>
          <w:dstrike w:val="false"/>
          <w:color w:val="000000"/>
          <w:spacing w:val="1"/>
          <w:w w:val="100"/>
          <w:position w:val="0"/>
          <w:sz w:val="21"/>
          <w:sz w:val="21"/>
          <w:vertAlign w:val="baseline"/>
          <w:lang w:val="en-US"/>
        </w:rPr>
        <w:t xml:space="preserve">discussions, excludes interest payouts. This ratio, (pY - wL - iB)/pY from above, can fluctuate </w:t>
      </w:r>
      <w:r>
        <w:rPr>
          <w:rFonts w:ascii="Arial" w:hAnsi="Arial"/>
          <w:b/>
          <w:strike w:val="false"/>
          <w:dstrike w:val="false"/>
          <w:color w:val="000000"/>
          <w:spacing w:val="0"/>
          <w:w w:val="100"/>
          <w:position w:val="0"/>
          <w:sz w:val="21"/>
          <w:sz w:val="21"/>
          <w:vertAlign w:val="baseline"/>
          <w:lang w:val="en-US"/>
        </w:rPr>
        <w:t xml:space="preserve">for spurious reasons related to movements in nominal interest rates and corporate financial </w:t>
      </w:r>
      <w:r>
        <w:rPr>
          <w:rFonts w:ascii="Arial" w:hAnsi="Arial"/>
          <w:b/>
          <w:strike w:val="false"/>
          <w:dstrike w:val="false"/>
          <w:color w:val="000000"/>
          <w:spacing w:val="2"/>
          <w:w w:val="100"/>
          <w:position w:val="0"/>
          <w:sz w:val="21"/>
          <w:sz w:val="21"/>
          <w:vertAlign w:val="baseline"/>
          <w:lang w:val="en-US"/>
        </w:rPr>
        <w:t xml:space="preserve">policy. A decline in nominal interest rates or the debt-to-capital ratio would raise the profit </w:t>
      </w:r>
      <w:r>
        <w:rPr>
          <w:rFonts w:ascii="Arial" w:hAnsi="Arial"/>
          <w:b/>
          <w:strike w:val="false"/>
          <w:dstrike w:val="false"/>
          <w:color w:val="000000"/>
          <w:spacing w:val="3"/>
          <w:w w:val="100"/>
          <w:position w:val="0"/>
          <w:sz w:val="21"/>
          <w:sz w:val="21"/>
          <w:vertAlign w:val="baseline"/>
          <w:lang w:val="en-US"/>
        </w:rPr>
        <w:t xml:space="preserve">share of national income, with no effect on the capital income share. For this reason the </w:t>
      </w:r>
      <w:r>
        <w:rPr>
          <w:rFonts w:ascii="Arial" w:hAnsi="Arial"/>
          <w:b/>
          <w:strike w:val="false"/>
          <w:dstrike w:val="false"/>
          <w:color w:val="000000"/>
          <w:spacing w:val="1"/>
          <w:w w:val="100"/>
          <w:position w:val="0"/>
          <w:sz w:val="21"/>
          <w:sz w:val="21"/>
          <w:vertAlign w:val="baseline"/>
          <w:lang w:val="en-US"/>
        </w:rPr>
        <w:t xml:space="preserve">analysis below focuses on the corporate capital income share, not the corporate profit share, </w:t>
      </w:r>
      <w:r>
        <w:rPr>
          <w:rFonts w:ascii="Arial" w:hAnsi="Arial"/>
          <w:b/>
          <w:strike w:val="false"/>
          <w:dstrike w:val="false"/>
          <w:color w:val="000000"/>
          <w:spacing w:val="0"/>
          <w:w w:val="100"/>
          <w:position w:val="0"/>
          <w:sz w:val="21"/>
          <w:sz w:val="21"/>
          <w:vertAlign w:val="baseline"/>
          <w:lang w:val="en-US"/>
        </w:rPr>
        <w:t>in national income.</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5</w:t>
      </w:r>
    </w:p>
    <w:p>
      <w:pPr>
        <w:pStyle w:val="Normal"/>
        <w:spacing w:lineRule="auto" w:line="480" w:before="216" w:after="0"/>
        <w:ind w:left="0" w:right="0" w:hanging="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factors are not independent. An increase in the relative price of capital goods, or an increase </w:t>
      </w:r>
      <w:r>
        <w:rPr>
          <w:rFonts w:ascii="Arial" w:hAnsi="Arial"/>
          <w:b/>
          <w:strike w:val="false"/>
          <w:dstrike w:val="false"/>
          <w:color w:val="000000"/>
          <w:spacing w:val="0"/>
          <w:w w:val="100"/>
          <w:position w:val="0"/>
          <w:sz w:val="21"/>
          <w:sz w:val="21"/>
          <w:vertAlign w:val="baseline"/>
          <w:lang w:val="en-US"/>
        </w:rPr>
        <w:t>in the required return on capital which raises the equilibrium value of r</w:t>
      </w:r>
      <w:r>
        <w:rPr>
          <w:rFonts w:ascii="Tahoma" w:hAnsi="Tahoma"/>
          <w:b/>
          <w:strike w:val="false"/>
          <w:dstrike w:val="false"/>
          <w:color w:val="000000"/>
          <w:spacing w:val="0"/>
          <w:w w:val="100"/>
          <w:sz w:val="21"/>
          <w:vertAlign w:val="subscript"/>
          <w:lang w:val="en-US"/>
        </w:rPr>
        <w:t>ic</w:t>
      </w:r>
      <w:r>
        <w:rPr>
          <w:rFonts w:ascii="Arial" w:hAnsi="Arial"/>
          <w:b/>
          <w:strike w:val="false"/>
          <w:dstrike w:val="false"/>
          <w:color w:val="000000"/>
          <w:spacing w:val="0"/>
          <w:w w:val="100"/>
          <w:position w:val="0"/>
          <w:sz w:val="21"/>
          <w:sz w:val="21"/>
          <w:vertAlign w:val="baseline"/>
          <w:lang w:val="en-US"/>
        </w:rPr>
        <w:t xml:space="preserve">, should lead to a </w:t>
      </w:r>
      <w:r>
        <w:rPr>
          <w:rFonts w:ascii="Arial" w:hAnsi="Arial"/>
          <w:b/>
          <w:strike w:val="false"/>
          <w:dstrike w:val="false"/>
          <w:color w:val="000000"/>
          <w:spacing w:val="-1"/>
          <w:w w:val="100"/>
          <w:position w:val="0"/>
          <w:sz w:val="21"/>
          <w:sz w:val="21"/>
          <w:vertAlign w:val="baseline"/>
          <w:lang w:val="en-US"/>
        </w:rPr>
        <w:t xml:space="preserve">reduction in the capital-to-output ratio as firms substitute from capital to labor in response to </w:t>
      </w:r>
      <w:r>
        <w:rPr>
          <w:rFonts w:ascii="Arial" w:hAnsi="Arial"/>
          <w:b/>
          <w:strike w:val="false"/>
          <w:dstrike w:val="false"/>
          <w:color w:val="000000"/>
          <w:spacing w:val="5"/>
          <w:w w:val="100"/>
          <w:position w:val="0"/>
          <w:sz w:val="21"/>
          <w:sz w:val="21"/>
          <w:vertAlign w:val="baseline"/>
          <w:lang w:val="en-US"/>
        </w:rPr>
        <w:t xml:space="preserve">higher capital input prices. The identity in (5) can nonetheless provide a useful way of </w:t>
      </w:r>
      <w:r>
        <w:rPr>
          <w:rFonts w:ascii="Arial" w:hAnsi="Arial"/>
          <w:b/>
          <w:strike w:val="false"/>
          <w:dstrike w:val="false"/>
          <w:color w:val="000000"/>
          <w:spacing w:val="2"/>
          <w:w w:val="100"/>
          <w:position w:val="0"/>
          <w:sz w:val="21"/>
          <w:sz w:val="21"/>
          <w:vertAlign w:val="baseline"/>
          <w:lang w:val="en-US"/>
        </w:rPr>
        <w:t>understanding changes over time in the capital income share.</w:t>
      </w:r>
    </w:p>
    <w:p>
      <w:pPr>
        <w:pStyle w:val="Normal"/>
        <w:spacing w:lineRule="auto" w:line="480" w:before="180" w:after="0"/>
        <w:ind w:left="0" w:right="0" w:firstLine="72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Defining factor shares is straightforward in the stylized economy described above, but </w:t>
      </w:r>
      <w:r>
        <w:rPr>
          <w:rFonts w:ascii="Arial" w:hAnsi="Arial"/>
          <w:b/>
          <w:strike w:val="false"/>
          <w:dstrike w:val="false"/>
          <w:color w:val="000000"/>
          <w:spacing w:val="0"/>
          <w:w w:val="100"/>
          <w:position w:val="0"/>
          <w:sz w:val="21"/>
          <w:sz w:val="21"/>
          <w:vertAlign w:val="baseline"/>
          <w:lang w:val="en-US"/>
        </w:rPr>
        <w:t xml:space="preserve">in practice there are a number of measurement difficulties. First, the N1PA divides national </w:t>
      </w:r>
      <w:r>
        <w:rPr>
          <w:rFonts w:ascii="Arial" w:hAnsi="Arial"/>
          <w:b/>
          <w:strike w:val="false"/>
          <w:dstrike w:val="false"/>
          <w:color w:val="000000"/>
          <w:spacing w:val="2"/>
          <w:w w:val="100"/>
          <w:position w:val="0"/>
          <w:sz w:val="21"/>
          <w:sz w:val="21"/>
          <w:vertAlign w:val="baseline"/>
          <w:lang w:val="en-US"/>
        </w:rPr>
        <w:t xml:space="preserve">income into payments to employees, corporate profits', net interest, as well as two other </w:t>
      </w:r>
      <w:r>
        <w:rPr>
          <w:rFonts w:ascii="Arial" w:hAnsi="Arial"/>
          <w:b/>
          <w:strike w:val="false"/>
          <w:dstrike w:val="false"/>
          <w:color w:val="000000"/>
          <w:spacing w:val="-2"/>
          <w:w w:val="100"/>
          <w:position w:val="0"/>
          <w:sz w:val="21"/>
          <w:sz w:val="21"/>
          <w:vertAlign w:val="baseline"/>
          <w:lang w:val="en-US"/>
        </w:rPr>
        <w:t xml:space="preserve">categories that do not appear in the framework above: rental income and proprietors' income. </w:t>
      </w:r>
      <w:r>
        <w:rPr>
          <w:rFonts w:ascii="Arial" w:hAnsi="Arial"/>
          <w:b/>
          <w:strike w:val="false"/>
          <w:dstrike w:val="false"/>
          <w:color w:val="000000"/>
          <w:spacing w:val="12"/>
          <w:w w:val="100"/>
          <w:position w:val="0"/>
          <w:sz w:val="21"/>
          <w:sz w:val="21"/>
          <w:vertAlign w:val="baseline"/>
          <w:lang w:val="en-US"/>
        </w:rPr>
        <w:t xml:space="preserve">These flows, which accounted for 2.1 percent and 8.4 percent of national income, </w:t>
      </w:r>
      <w:r>
        <w:rPr>
          <w:rFonts w:ascii="Arial" w:hAnsi="Arial"/>
          <w:b/>
          <w:strike w:val="false"/>
          <w:dstrike w:val="false"/>
          <w:color w:val="000000"/>
          <w:spacing w:val="3"/>
          <w:w w:val="100"/>
          <w:position w:val="0"/>
          <w:sz w:val="21"/>
          <w:sz w:val="21"/>
          <w:vertAlign w:val="baseline"/>
          <w:lang w:val="en-US"/>
        </w:rPr>
        <w:t xml:space="preserve">respectively, in 1996, include both labor and capital income. If an individual is employed by </w:t>
      </w:r>
      <w:r>
        <w:rPr>
          <w:rFonts w:ascii="Arial" w:hAnsi="Arial"/>
          <w:b/>
          <w:strike w:val="false"/>
          <w:dstrike w:val="false"/>
          <w:color w:val="000000"/>
          <w:spacing w:val="5"/>
          <w:w w:val="100"/>
          <w:position w:val="0"/>
          <w:sz w:val="21"/>
          <w:sz w:val="21"/>
          <w:vertAlign w:val="baseline"/>
          <w:lang w:val="en-US"/>
        </w:rPr>
        <w:t xml:space="preserve">a firm, his earnings will be treated as employee compensation, but if he owns his own </w:t>
      </w:r>
      <w:r>
        <w:rPr>
          <w:rFonts w:ascii="Arial" w:hAnsi="Arial"/>
          <w:b/>
          <w:strike w:val="false"/>
          <w:dstrike w:val="false"/>
          <w:color w:val="000000"/>
          <w:spacing w:val="0"/>
          <w:w w:val="100"/>
          <w:position w:val="0"/>
          <w:sz w:val="21"/>
          <w:sz w:val="21"/>
          <w:vertAlign w:val="baseline"/>
          <w:lang w:val="en-US"/>
        </w:rPr>
        <w:t xml:space="preserve">business, his compensation will appear as proprietors income.' The definition of capital and </w:t>
      </w:r>
      <w:r>
        <w:rPr>
          <w:rFonts w:ascii="Arial" w:hAnsi="Arial"/>
          <w:b/>
          <w:strike w:val="false"/>
          <w:dstrike w:val="false"/>
          <w:color w:val="000000"/>
          <w:spacing w:val="2"/>
          <w:w w:val="100"/>
          <w:position w:val="0"/>
          <w:sz w:val="21"/>
          <w:sz w:val="21"/>
          <w:vertAlign w:val="baseline"/>
          <w:lang w:val="en-US"/>
        </w:rPr>
        <w:t>labor shares therefore is somewhat arbitrary.</w:t>
      </w:r>
    </w:p>
    <w:p>
      <w:pPr>
        <w:pStyle w:val="Normal"/>
        <w:spacing w:lineRule="auto" w:line="480" w:before="324" w:after="396"/>
        <w:ind w:left="0" w:right="0" w:firstLine="72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The national income share of rental income displays substantial fluctuation over the </w:t>
      </w:r>
      <w:r>
        <w:rPr>
          <w:rFonts w:ascii="Arial" w:hAnsi="Arial"/>
          <w:b/>
          <w:strike w:val="false"/>
          <w:dstrike w:val="false"/>
          <w:color w:val="000000"/>
          <w:spacing w:val="11"/>
          <w:w w:val="100"/>
          <w:position w:val="0"/>
          <w:sz w:val="21"/>
          <w:sz w:val="21"/>
          <w:vertAlign w:val="baseline"/>
          <w:lang w:val="en-US"/>
        </w:rPr>
        <w:t xml:space="preserve">1959-1996 period, while the proprietors' income share displays a downward trend. </w:t>
      </w:r>
      <w:r>
        <w:rPr>
          <w:rFonts w:ascii="Arial" w:hAnsi="Arial"/>
          <w:b/>
          <w:strike w:val="false"/>
          <w:dstrike w:val="false"/>
          <w:color w:val="000000"/>
          <w:spacing w:val="1"/>
          <w:w w:val="100"/>
          <w:position w:val="0"/>
          <w:sz w:val="21"/>
          <w:sz w:val="21"/>
          <w:vertAlign w:val="baseline"/>
          <w:lang w:val="en-US"/>
        </w:rPr>
        <w:t xml:space="preserve">Proprietor's income represented 12.1 percent of national income in 1960, but only 7.9 percent </w:t>
      </w:r>
      <w:r>
        <w:rPr>
          <w:rFonts w:ascii="Arial" w:hAnsi="Arial"/>
          <w:b/>
          <w:strike w:val="false"/>
          <w:dstrike w:val="false"/>
          <w:color w:val="000000"/>
          <w:spacing w:val="4"/>
          <w:w w:val="100"/>
          <w:position w:val="0"/>
          <w:sz w:val="21"/>
          <w:sz w:val="21"/>
          <w:vertAlign w:val="baseline"/>
          <w:lang w:val="en-US"/>
        </w:rPr>
        <w:t>by 1980. Its share of national income has fluctuated between 6.9 and 8.5 percent over the</w:t>
      </w:r>
    </w:p>
    <w:p>
      <w:pPr>
        <w:pStyle w:val="Normal"/>
        <w:spacing w:lineRule="auto" w:line="240" w:before="180" w:after="0"/>
        <w:ind w:left="0" w:right="0" w:firstLine="360"/>
        <w:jc w:val="both"/>
        <w:rPr>
          <w:rFonts w:ascii="Arial" w:hAnsi="Arial"/>
          <w:b/>
          <w:b/>
          <w:strike w:val="false"/>
          <w:dstrike w:val="false"/>
          <w:color w:val="000000"/>
          <w:spacing w:val="1"/>
          <w:w w:val="100"/>
          <w:position w:val="0"/>
          <w:sz w:val="22"/>
          <w:sz w:val="21"/>
          <w:vertAlign w:val="baseline"/>
          <w:lang w:val="en-US"/>
        </w:rPr>
      </w:pPr>
      <w:r>
        <mc:AlternateContent>
          <mc:Choice Requires="wps">
            <w:drawing>
              <wp:anchor behindDoc="0" distT="0" distB="0" distL="114300" distR="114300" simplePos="0" locked="0" layoutInCell="1" allowOverlap="1" relativeHeight="3">
                <wp:simplePos x="0" y="0"/>
                <wp:positionH relativeFrom="column">
                  <wp:posOffset>0</wp:posOffset>
                </wp:positionH>
                <wp:positionV relativeFrom="paragraph">
                  <wp:posOffset>7620</wp:posOffset>
                </wp:positionV>
                <wp:extent cx="1310005" cy="1270"/>
                <wp:effectExtent l="0" t="0" r="0" b="0"/>
                <wp:wrapNone/>
                <wp:docPr id="2" name=""/>
                <a:graphic xmlns:a="http://schemas.openxmlformats.org/drawingml/2006/main">
                  <a:graphicData uri="http://schemas.microsoft.com/office/word/2010/wordprocessingShape">
                    <wps:wsp>
                      <wps:cNvSpPr/>
                      <wps:spPr>
                        <a:xfrm>
                          <a:off x="0" y="0"/>
                          <a:ext cx="1865520" cy="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0pt,0.6pt" to="146.85pt,0.6pt" stroked="t" style="position:absolute">
                <v:stroke color="black" weight="14040" joinstyle="round" endcap="flat"/>
                <v:fill o:detectmouseclick="t" on="false"/>
              </v:line>
            </w:pict>
          </mc:Fallback>
        </mc:AlternateContent>
      </w:r>
      <w:r>
        <w:rPr>
          <w:rFonts w:ascii="Arial" w:hAnsi="Arial"/>
          <w:b/>
          <w:strike w:val="false"/>
          <w:dstrike w:val="false"/>
          <w:color w:val="000000"/>
          <w:spacing w:val="1"/>
          <w:w w:val="100"/>
          <w:position w:val="0"/>
          <w:sz w:val="21"/>
          <w:sz w:val="21"/>
          <w:vertAlign w:val="baseline"/>
          <w:lang w:val="en-US"/>
        </w:rPr>
        <w:t>'</w:t>
      </w:r>
      <w:r>
        <w:rPr>
          <w:rFonts w:ascii="Arial" w:hAnsi="Arial"/>
          <w:b/>
          <w:strike w:val="false"/>
          <w:dstrike w:val="false"/>
          <w:color w:val="000000"/>
          <w:spacing w:val="1"/>
          <w:w w:val="100"/>
          <w:position w:val="0"/>
          <w:sz w:val="21"/>
          <w:sz w:val="21"/>
          <w:vertAlign w:val="baseline"/>
          <w:lang w:val="en-US"/>
        </w:rPr>
        <w:t xml:space="preserve">Corporate profits are defined inclusive of the capital consumption adjustment (CCAdj), </w:t>
      </w:r>
      <w:r>
        <w:rPr>
          <w:rFonts w:ascii="Arial" w:hAnsi="Arial"/>
          <w:b/>
          <w:strike w:val="false"/>
          <w:dstrike w:val="false"/>
          <w:color w:val="000000"/>
          <w:spacing w:val="2"/>
          <w:w w:val="100"/>
          <w:position w:val="0"/>
          <w:sz w:val="21"/>
          <w:sz w:val="21"/>
          <w:vertAlign w:val="baseline"/>
          <w:lang w:val="en-US"/>
        </w:rPr>
        <w:t xml:space="preserve">which corrects for differences between true economic depreciation on a replacement-cost </w:t>
      </w:r>
      <w:r>
        <w:rPr>
          <w:rFonts w:ascii="Arial" w:hAnsi="Arial"/>
          <w:b/>
          <w:strike w:val="false"/>
          <w:dstrike w:val="false"/>
          <w:color w:val="000000"/>
          <w:spacing w:val="3"/>
          <w:w w:val="100"/>
          <w:position w:val="0"/>
          <w:sz w:val="21"/>
          <w:sz w:val="21"/>
          <w:vertAlign w:val="baseline"/>
          <w:lang w:val="en-US"/>
        </w:rPr>
        <w:t xml:space="preserve">basis and on a historical cost basis, and the inventory valuation adjustment (IVA), which </w:t>
      </w:r>
      <w:r>
        <w:rPr>
          <w:rFonts w:ascii="Arial" w:hAnsi="Arial"/>
          <w:b/>
          <w:strike w:val="false"/>
          <w:dstrike w:val="false"/>
          <w:color w:val="000000"/>
          <w:spacing w:val="-1"/>
          <w:w w:val="100"/>
          <w:position w:val="0"/>
          <w:sz w:val="21"/>
          <w:sz w:val="21"/>
          <w:vertAlign w:val="baseline"/>
          <w:lang w:val="en-US"/>
        </w:rPr>
        <w:t xml:space="preserve">corrects for inflationary over-statement of corporate profits as a result of nominal gains on </w:t>
      </w:r>
      <w:r>
        <w:rPr>
          <w:rFonts w:ascii="Arial" w:hAnsi="Arial"/>
          <w:b/>
          <w:strike w:val="false"/>
          <w:dstrike w:val="false"/>
          <w:color w:val="000000"/>
          <w:spacing w:val="0"/>
          <w:w w:val="100"/>
          <w:position w:val="0"/>
          <w:sz w:val="21"/>
          <w:sz w:val="21"/>
          <w:vertAlign w:val="baseline"/>
          <w:lang w:val="en-US"/>
        </w:rPr>
        <w:t>inventories and work in progress.</w:t>
      </w:r>
    </w:p>
    <w:p>
      <w:pPr>
        <w:sectPr>
          <w:type w:val="nextPage"/>
          <w:pgSz w:w="12240" w:h="15840"/>
          <w:pgMar w:left="1395" w:right="1335" w:header="0" w:top="1496" w:footer="0" w:bottom="1134" w:gutter="0"/>
          <w:pgNumType w:fmt="decimal"/>
          <w:formProt w:val="false"/>
          <w:textDirection w:val="lrTb"/>
          <w:docGrid w:type="default" w:linePitch="100" w:charSpace="4096"/>
        </w:sectPr>
        <w:pStyle w:val="Normal"/>
        <w:spacing w:lineRule="auto" w:line="240" w:before="324" w:after="0"/>
        <w:ind w:left="0" w:right="0" w:firstLine="360"/>
        <w:jc w:val="both"/>
        <w:rPr>
          <w:rFonts w:ascii="Verdana" w:hAnsi="Verdana"/>
          <w:b/>
          <w:b/>
          <w:strike w:val="false"/>
          <w:dstrike w:val="false"/>
          <w:color w:val="000000"/>
          <w:spacing w:val="0"/>
          <w:w w:val="110"/>
          <w:sz w:val="12"/>
          <w:vertAlign w:val="superscript"/>
          <w:lang w:val="en-US"/>
        </w:rPr>
      </w:pPr>
      <w:r>
        <w:rPr>
          <w:rFonts w:ascii="Verdana" w:hAnsi="Verdana"/>
          <w:b/>
          <w:strike w:val="false"/>
          <w:dstrike w:val="false"/>
          <w:color w:val="000000"/>
          <w:spacing w:val="0"/>
          <w:w w:val="110"/>
          <w:sz w:val="12"/>
          <w:vertAlign w:val="superscript"/>
          <w:lang w:val="en-US"/>
        </w:rPr>
        <w:t>3</w:t>
      </w:r>
      <w:r>
        <w:rPr>
          <w:rFonts w:ascii="Verdana" w:hAnsi="Verdana"/>
          <w:b/>
          <w:strike w:val="false"/>
          <w:dstrike w:val="false"/>
          <w:color w:val="000000"/>
          <w:spacing w:val="0"/>
          <w:w w:val="105"/>
          <w:position w:val="0"/>
          <w:sz w:val="20"/>
          <w:sz w:val="20"/>
          <w:vertAlign w:val="baseline"/>
          <w:lang w:val="en-US"/>
        </w:rPr>
        <w:t xml:space="preserve">A </w:t>
      </w:r>
      <w:r>
        <w:rPr>
          <w:rFonts w:ascii="Arial" w:hAnsi="Arial"/>
          <w:b/>
          <w:strike w:val="false"/>
          <w:dstrike w:val="false"/>
          <w:color w:val="000000"/>
          <w:spacing w:val="0"/>
          <w:w w:val="100"/>
          <w:position w:val="0"/>
          <w:sz w:val="21"/>
          <w:sz w:val="21"/>
          <w:vertAlign w:val="baseline"/>
          <w:lang w:val="en-US"/>
        </w:rPr>
        <w:t xml:space="preserve">similar problem emerges with some components of rental income. If an individual owns </w:t>
      </w:r>
      <w:r>
        <w:rPr>
          <w:rFonts w:ascii="Arial" w:hAnsi="Arial"/>
          <w:b/>
          <w:strike w:val="false"/>
          <w:dstrike w:val="false"/>
          <w:color w:val="000000"/>
          <w:spacing w:val="-2"/>
          <w:w w:val="100"/>
          <w:position w:val="0"/>
          <w:sz w:val="21"/>
          <w:sz w:val="21"/>
          <w:vertAlign w:val="baseline"/>
          <w:lang w:val="en-US"/>
        </w:rPr>
        <w:t xml:space="preserve">a two-family house, and maintains the building, the return to the labor spent on maintenance activities will appear as rental income, while if he is employed by a landlord who pays him to </w:t>
      </w:r>
      <w:r>
        <w:rPr>
          <w:rFonts w:ascii="Arial" w:hAnsi="Arial"/>
          <w:b/>
          <w:strike w:val="false"/>
          <w:dstrike w:val="false"/>
          <w:color w:val="000000"/>
          <w:spacing w:val="2"/>
          <w:w w:val="100"/>
          <w:position w:val="0"/>
          <w:sz w:val="21"/>
          <w:sz w:val="21"/>
          <w:vertAlign w:val="baseline"/>
          <w:lang w:val="en-US"/>
        </w:rPr>
        <w:t>maintain the building, the value of the same services will be included in labor income.</w:t>
      </w:r>
    </w:p>
    <w:p>
      <w:pPr>
        <w:pStyle w:val="Normal"/>
        <w:spacing w:lineRule="auto" w:line="211" w:before="0" w:after="0"/>
        <w:ind w:left="0" w:right="0" w:hanging="0"/>
        <w:jc w:val="center"/>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6</w:t>
      </w:r>
    </w:p>
    <w:p>
      <w:pPr>
        <w:pStyle w:val="Normal"/>
        <w:spacing w:lineRule="auto" w:line="480" w:before="180" w:after="0"/>
        <w:ind w:left="0" w:right="0" w:hanging="0"/>
        <w:jc w:val="both"/>
        <w:rPr>
          <w:rFonts w:ascii="Arial" w:hAnsi="Arial"/>
          <w:b/>
          <w:b/>
          <w:strike w:val="false"/>
          <w:dstrike w:val="false"/>
          <w:color w:val="000000"/>
          <w:spacing w:val="7"/>
          <w:w w:val="100"/>
          <w:position w:val="0"/>
          <w:sz w:val="22"/>
          <w:sz w:val="21"/>
          <w:vertAlign w:val="baseline"/>
          <w:lang w:val="en-US"/>
        </w:rPr>
      </w:pPr>
      <w:r>
        <w:rPr>
          <w:rFonts w:ascii="Arial" w:hAnsi="Arial"/>
          <w:b/>
          <w:strike w:val="false"/>
          <w:dstrike w:val="false"/>
          <w:color w:val="000000"/>
          <w:spacing w:val="7"/>
          <w:w w:val="100"/>
          <w:position w:val="0"/>
          <w:sz w:val="21"/>
          <w:sz w:val="21"/>
          <w:vertAlign w:val="baseline"/>
          <w:lang w:val="en-US"/>
        </w:rPr>
        <w:t xml:space="preserve">last fifteen years. Rental income was also a higher fraction of national income at the </w:t>
      </w:r>
      <w:r>
        <w:rPr>
          <w:rFonts w:ascii="Arial" w:hAnsi="Arial"/>
          <w:b/>
          <w:strike w:val="false"/>
          <w:dstrike w:val="false"/>
          <w:color w:val="000000"/>
          <w:spacing w:val="3"/>
          <w:w w:val="100"/>
          <w:position w:val="0"/>
          <w:sz w:val="21"/>
          <w:sz w:val="21"/>
          <w:vertAlign w:val="baseline"/>
          <w:lang w:val="en-US"/>
        </w:rPr>
        <w:t xml:space="preserve">beginning of the sample -- 4.3 percent in 1960 -- than in more recent years. It reached a low </w:t>
      </w:r>
      <w:r>
        <w:rPr>
          <w:rFonts w:ascii="Arial" w:hAnsi="Arial"/>
          <w:b/>
          <w:strike w:val="false"/>
          <w:dstrike w:val="false"/>
          <w:color w:val="000000"/>
          <w:spacing w:val="2"/>
          <w:w w:val="100"/>
          <w:position w:val="0"/>
          <w:sz w:val="21"/>
          <w:sz w:val="21"/>
          <w:vertAlign w:val="baseline"/>
          <w:lang w:val="en-US"/>
        </w:rPr>
        <w:t xml:space="preserve">of 1.2 percent of national income in the late 1980s, and has subsequently increased to 2.1 </w:t>
      </w:r>
      <w:r>
        <w:rPr>
          <w:rFonts w:ascii="Arial" w:hAnsi="Arial"/>
          <w:b/>
          <w:strike w:val="false"/>
          <w:dstrike w:val="false"/>
          <w:color w:val="000000"/>
          <w:spacing w:val="6"/>
          <w:w w:val="100"/>
          <w:position w:val="0"/>
          <w:sz w:val="21"/>
          <w:sz w:val="21"/>
          <w:vertAlign w:val="baseline"/>
          <w:lang w:val="en-US"/>
        </w:rPr>
        <w:t>percent in 1996.</w:t>
      </w:r>
    </w:p>
    <w:p>
      <w:pPr>
        <w:pStyle w:val="Normal"/>
        <w:spacing w:lineRule="auto" w:line="480" w:before="180" w:after="0"/>
        <w:ind w:left="0" w:right="0" w:firstLine="72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In addition to the problem of deciding how much of proprietors' and rental income </w:t>
      </w:r>
      <w:r>
        <w:rPr>
          <w:rFonts w:ascii="Arial" w:hAnsi="Arial"/>
          <w:b/>
          <w:strike w:val="false"/>
          <w:dstrike w:val="false"/>
          <w:color w:val="000000"/>
          <w:spacing w:val="2"/>
          <w:w w:val="100"/>
          <w:position w:val="0"/>
          <w:sz w:val="21"/>
          <w:sz w:val="21"/>
          <w:vertAlign w:val="baseline"/>
          <w:lang w:val="en-US"/>
        </w:rPr>
        <w:t xml:space="preserve">represent labor income, there is a second potential difficulty with the analysis of national </w:t>
      </w:r>
      <w:r>
        <w:rPr>
          <w:rFonts w:ascii="Arial" w:hAnsi="Arial"/>
          <w:b/>
          <w:strike w:val="false"/>
          <w:dstrike w:val="false"/>
          <w:color w:val="000000"/>
          <w:spacing w:val="1"/>
          <w:w w:val="100"/>
          <w:position w:val="0"/>
          <w:sz w:val="21"/>
          <w:sz w:val="21"/>
          <w:vertAlign w:val="baseline"/>
          <w:lang w:val="en-US"/>
        </w:rPr>
        <w:t xml:space="preserve">income shares. This is the possibility that changes in the economic environment, particularly in the tax system, can alter the incentives for individuals to receive income in one form or </w:t>
      </w:r>
      <w:r>
        <w:rPr>
          <w:rFonts w:ascii="Arial" w:hAnsi="Arial"/>
          <w:b/>
          <w:strike w:val="false"/>
          <w:dstrike w:val="false"/>
          <w:color w:val="000000"/>
          <w:spacing w:val="0"/>
          <w:w w:val="100"/>
          <w:position w:val="0"/>
          <w:sz w:val="21"/>
          <w:sz w:val="21"/>
          <w:vertAlign w:val="baseline"/>
          <w:lang w:val="en-US"/>
        </w:rPr>
        <w:t xml:space="preserve">another, and thereby distort the mix of labor versus capital income without any underlying </w:t>
      </w:r>
      <w:r>
        <w:rPr>
          <w:rFonts w:ascii="Arial" w:hAnsi="Arial"/>
          <w:b/>
          <w:strike w:val="false"/>
          <w:dstrike w:val="false"/>
          <w:color w:val="000000"/>
          <w:spacing w:val="5"/>
          <w:w w:val="100"/>
          <w:position w:val="0"/>
          <w:sz w:val="21"/>
          <w:sz w:val="21"/>
          <w:vertAlign w:val="baseline"/>
          <w:lang w:val="en-US"/>
        </w:rPr>
        <w:t xml:space="preserve">changes in the structure of economic activity. Both Gordon (1997) and Slemrod (1996) </w:t>
      </w:r>
      <w:r>
        <w:rPr>
          <w:rFonts w:ascii="Arial" w:hAnsi="Arial"/>
          <w:b/>
          <w:strike w:val="false"/>
          <w:dstrike w:val="false"/>
          <w:color w:val="000000"/>
          <w:spacing w:val="0"/>
          <w:w w:val="100"/>
          <w:position w:val="0"/>
          <w:sz w:val="21"/>
          <w:sz w:val="21"/>
          <w:vertAlign w:val="baseline"/>
          <w:lang w:val="en-US"/>
        </w:rPr>
        <w:t xml:space="preserve">discuss methods of transferring income between the personal and the corporate income tax </w:t>
      </w:r>
      <w:r>
        <w:rPr>
          <w:rFonts w:ascii="Arial" w:hAnsi="Arial"/>
          <w:b/>
          <w:strike w:val="false"/>
          <w:dstrike w:val="false"/>
          <w:color w:val="000000"/>
          <w:spacing w:val="-2"/>
          <w:w w:val="100"/>
          <w:position w:val="0"/>
          <w:sz w:val="21"/>
          <w:sz w:val="21"/>
          <w:vertAlign w:val="baseline"/>
          <w:lang w:val="en-US"/>
        </w:rPr>
        <w:t xml:space="preserve">bases, and the effect of corporate and personal income tax rates on the magnitudes of such </w:t>
      </w:r>
      <w:r>
        <w:rPr>
          <w:rFonts w:ascii="Arial" w:hAnsi="Arial"/>
          <w:b/>
          <w:strike w:val="false"/>
          <w:dstrike w:val="false"/>
          <w:color w:val="000000"/>
          <w:spacing w:val="6"/>
          <w:w w:val="100"/>
          <w:position w:val="0"/>
          <w:sz w:val="21"/>
          <w:sz w:val="21"/>
          <w:vertAlign w:val="baseline"/>
          <w:lang w:val="en-US"/>
        </w:rPr>
        <w:t xml:space="preserve">transfers. The Tax Reform Act of 1986, which reduced the top personal income tax rate to </w:t>
      </w:r>
      <w:r>
        <w:rPr>
          <w:rFonts w:ascii="Arial" w:hAnsi="Arial"/>
          <w:b/>
          <w:strike w:val="false"/>
          <w:dstrike w:val="false"/>
          <w:color w:val="000000"/>
          <w:spacing w:val="2"/>
          <w:w w:val="100"/>
          <w:position w:val="0"/>
          <w:sz w:val="21"/>
          <w:sz w:val="21"/>
          <w:vertAlign w:val="baseline"/>
          <w:lang w:val="en-US"/>
        </w:rPr>
        <w:t xml:space="preserve">a level below the statutory corporate tax rate, may have encouraged a re-classification of </w:t>
      </w:r>
      <w:r>
        <w:rPr>
          <w:rFonts w:ascii="Arial" w:hAnsi="Arial"/>
          <w:b/>
          <w:strike w:val="false"/>
          <w:dstrike w:val="false"/>
          <w:color w:val="000000"/>
          <w:spacing w:val="-4"/>
          <w:w w:val="100"/>
          <w:position w:val="0"/>
          <w:sz w:val="21"/>
          <w:sz w:val="21"/>
          <w:vertAlign w:val="baseline"/>
          <w:lang w:val="en-US"/>
        </w:rPr>
        <w:t xml:space="preserve">income from corporate to individual earnings, and it may therefore have induced a downward </w:t>
      </w:r>
      <w:r>
        <w:rPr>
          <w:rFonts w:ascii="Arial" w:hAnsi="Arial"/>
          <w:b/>
          <w:strike w:val="false"/>
          <w:dstrike w:val="false"/>
          <w:color w:val="000000"/>
          <w:spacing w:val="3"/>
          <w:w w:val="100"/>
          <w:position w:val="0"/>
          <w:sz w:val="21"/>
          <w:sz w:val="21"/>
          <w:vertAlign w:val="baseline"/>
          <w:lang w:val="en-US"/>
        </w:rPr>
        <w:t>downward bias in post-1986 corporate profits relative to their historical values.</w:t>
      </w:r>
    </w:p>
    <w:p>
      <w:pPr>
        <w:sectPr>
          <w:type w:val="nextPage"/>
          <w:pgSz w:w="12240" w:h="15840"/>
          <w:pgMar w:left="1395" w:right="1335" w:header="0" w:top="1518" w:footer="0" w:bottom="1452" w:gutter="0"/>
          <w:pgNumType w:fmt="decimal"/>
          <w:formProt w:val="false"/>
          <w:textDirection w:val="lrTb"/>
          <w:docGrid w:type="default" w:linePitch="100" w:charSpace="4096"/>
        </w:sectPr>
        <w:pStyle w:val="Normal"/>
        <w:spacing w:lineRule="auto" w:line="480" w:before="432" w:after="0"/>
        <w:ind w:left="0" w:right="0" w:firstLine="72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A third practical difficulty with the definition of national income shares concerns the </w:t>
      </w:r>
      <w:r>
        <w:rPr>
          <w:rFonts w:ascii="Tahoma" w:hAnsi="Tahoma"/>
          <w:b/>
          <w:strike w:val="false"/>
          <w:dstrike w:val="false"/>
          <w:color w:val="000000"/>
          <w:spacing w:val="2"/>
          <w:w w:val="100"/>
          <w:position w:val="0"/>
          <w:sz w:val="19"/>
          <w:sz w:val="19"/>
          <w:vertAlign w:val="baseline"/>
          <w:lang w:val="en-US"/>
        </w:rPr>
        <w:t xml:space="preserve">measurement </w:t>
      </w:r>
      <w:r>
        <w:rPr>
          <w:rFonts w:ascii="Arial" w:hAnsi="Arial"/>
          <w:b/>
          <w:strike w:val="false"/>
          <w:dstrike w:val="false"/>
          <w:color w:val="000000"/>
          <w:spacing w:val="2"/>
          <w:w w:val="100"/>
          <w:position w:val="0"/>
          <w:sz w:val="21"/>
          <w:sz w:val="21"/>
          <w:vertAlign w:val="baseline"/>
          <w:lang w:val="en-US"/>
        </w:rPr>
        <w:t xml:space="preserve">of interest </w:t>
      </w:r>
      <w:hyperlink r:id="rId4">
        <w:r>
          <w:rPr>
            <w:rFonts w:ascii="Arial" w:hAnsi="Arial"/>
            <w:b/>
            <w:strike w:val="false"/>
            <w:dstrike w:val="false"/>
            <w:color w:val="0000FF"/>
            <w:spacing w:val="2"/>
            <w:w w:val="100"/>
            <w:position w:val="0"/>
            <w:sz w:val="21"/>
            <w:sz w:val="21"/>
            <w:u w:val="single"/>
            <w:vertAlign w:val="baseline"/>
            <w:lang w:val="en-US"/>
          </w:rPr>
          <w:t>payments. Net</w:t>
        </w:r>
      </w:hyperlink>
      <w:r>
        <w:rPr>
          <w:rFonts w:ascii="Arial" w:hAnsi="Arial"/>
          <w:b/>
          <w:strike w:val="false"/>
          <w:dstrike w:val="false"/>
          <w:color w:val="000000"/>
          <w:spacing w:val="2"/>
          <w:w w:val="100"/>
          <w:position w:val="0"/>
          <w:sz w:val="21"/>
          <w:sz w:val="21"/>
          <w:vertAlign w:val="baseline"/>
          <w:lang w:val="en-US"/>
        </w:rPr>
        <w:t xml:space="preserve"> interest, a component of national income, equalled </w:t>
      </w:r>
      <w:r>
        <w:rPr>
          <w:rFonts w:ascii="Arial" w:hAnsi="Arial"/>
          <w:b/>
          <w:strike w:val="false"/>
          <w:dstrike w:val="false"/>
          <w:color w:val="000000"/>
          <w:spacing w:val="4"/>
          <w:w w:val="100"/>
          <w:position w:val="0"/>
          <w:sz w:val="21"/>
          <w:sz w:val="21"/>
          <w:vertAlign w:val="baseline"/>
          <w:lang w:val="en-US"/>
        </w:rPr>
        <w:t xml:space="preserve">$403.3 billion in 1996. This flow is much greater than interest payments by corporations, </w:t>
      </w:r>
      <w:r>
        <w:rPr>
          <w:rFonts w:ascii="Arial" w:hAnsi="Arial"/>
          <w:b/>
          <w:strike w:val="false"/>
          <w:dstrike w:val="false"/>
          <w:color w:val="000000"/>
          <w:spacing w:val="1"/>
          <w:w w:val="100"/>
          <w:position w:val="0"/>
          <w:sz w:val="21"/>
          <w:sz w:val="21"/>
          <w:vertAlign w:val="baseline"/>
          <w:lang w:val="en-US"/>
        </w:rPr>
        <w:t xml:space="preserve">which equalled $122.7 billion. The national income net interest variable includes corporate </w:t>
      </w:r>
      <w:r>
        <w:rPr>
          <w:rFonts w:ascii="Arial" w:hAnsi="Arial"/>
          <w:b/>
          <w:strike w:val="false"/>
          <w:dstrike w:val="false"/>
          <w:color w:val="000000"/>
          <w:spacing w:val="2"/>
          <w:w w:val="100"/>
          <w:position w:val="0"/>
          <w:sz w:val="21"/>
          <w:sz w:val="21"/>
          <w:vertAlign w:val="baseline"/>
          <w:lang w:val="en-US"/>
        </w:rPr>
        <w:t xml:space="preserve">interest payments as well as interest paid by sole proprietorships and partnerships, and payments by the "other private business" sector, which includes mortgage payments by </w:t>
      </w:r>
      <w:r>
        <w:rPr>
          <w:rFonts w:ascii="Arial" w:hAnsi="Arial"/>
          <w:b/>
          <w:strike w:val="false"/>
          <w:dstrike w:val="false"/>
          <w:color w:val="000000"/>
          <w:spacing w:val="-1"/>
          <w:w w:val="100"/>
          <w:position w:val="0"/>
          <w:sz w:val="21"/>
          <w:sz w:val="21"/>
          <w:vertAlign w:val="baseline"/>
          <w:lang w:val="en-US"/>
        </w:rPr>
        <w:t xml:space="preserve">households. Owner-occupied housing is treated as a "business" in the national accounts, and </w:t>
      </w:r>
      <w:r>
        <w:rPr>
          <w:rFonts w:ascii="Arial" w:hAnsi="Arial"/>
          <w:b/>
          <w:strike w:val="false"/>
          <w:dstrike w:val="false"/>
          <w:color w:val="000000"/>
          <w:spacing w:val="7"/>
          <w:w w:val="100"/>
          <w:position w:val="0"/>
          <w:sz w:val="21"/>
          <w:sz w:val="21"/>
          <w:vertAlign w:val="baseline"/>
          <w:lang w:val="en-US"/>
        </w:rPr>
        <w:t>the interest payments associated with this "business" are a component of net interest.</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7</w:t>
      </w:r>
    </w:p>
    <w:p>
      <w:pPr>
        <w:pStyle w:val="Normal"/>
        <w:spacing w:lineRule="auto" w:line="480" w:before="216" w:after="0"/>
        <w:ind w:left="0" w:right="0" w:hanging="0"/>
        <w:jc w:val="both"/>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 xml:space="preserve">Because I am considering the corporate capital income share, since this is the component that </w:t>
      </w:r>
      <w:r>
        <w:rPr>
          <w:rFonts w:ascii="Arial" w:hAnsi="Arial"/>
          <w:b/>
          <w:strike w:val="false"/>
          <w:dstrike w:val="false"/>
          <w:color w:val="000000"/>
          <w:spacing w:val="-1"/>
          <w:w w:val="100"/>
          <w:position w:val="0"/>
          <w:sz w:val="21"/>
          <w:sz w:val="21"/>
          <w:vertAlign w:val="baseline"/>
          <w:lang w:val="en-US"/>
        </w:rPr>
        <w:t xml:space="preserve">is an expanded version of corporate profits, I divide net interest payments into the corporate </w:t>
      </w:r>
      <w:r>
        <w:rPr>
          <w:rFonts w:ascii="Arial" w:hAnsi="Arial"/>
          <w:b/>
          <w:strike w:val="false"/>
          <w:dstrike w:val="false"/>
          <w:color w:val="000000"/>
          <w:spacing w:val="2"/>
          <w:w w:val="100"/>
          <w:position w:val="0"/>
          <w:sz w:val="21"/>
          <w:sz w:val="21"/>
          <w:vertAlign w:val="baseline"/>
          <w:lang w:val="en-US"/>
        </w:rPr>
        <w:t>interest flow and a residual category, net non-corporate interest payments.</w:t>
      </w:r>
    </w:p>
    <w:p>
      <w:pPr>
        <w:pStyle w:val="Normal"/>
        <w:spacing w:lineRule="auto" w:line="240" w:before="180" w:after="0"/>
        <w:ind w:left="0" w:right="0" w:hanging="0"/>
        <w:jc w:val="center"/>
        <w:rPr>
          <w:rFonts w:ascii="Arial" w:hAnsi="Arial"/>
          <w:b/>
          <w:b/>
          <w:strike w:val="false"/>
          <w:dstrike w:val="false"/>
          <w:color w:val="000000"/>
          <w:spacing w:val="-3"/>
          <w:w w:val="100"/>
          <w:position w:val="0"/>
          <w:sz w:val="22"/>
          <w:sz w:val="22"/>
          <w:u w:val="single"/>
          <w:vertAlign w:val="baseline"/>
          <w:lang w:val="en-US"/>
        </w:rPr>
      </w:pPr>
      <w:r>
        <w:rPr>
          <w:rFonts w:ascii="Arial" w:hAnsi="Arial"/>
          <w:b/>
          <w:strike w:val="false"/>
          <w:dstrike w:val="false"/>
          <w:color w:val="000000"/>
          <w:spacing w:val="-3"/>
          <w:w w:val="100"/>
          <w:position w:val="0"/>
          <w:sz w:val="22"/>
          <w:sz w:val="22"/>
          <w:u w:val="single"/>
          <w:vertAlign w:val="baseline"/>
          <w:lang w:val="en-US"/>
        </w:rPr>
        <w:t xml:space="preserve">The Rate of Return on Tangible Assets in the Nonfinancial Corporate SeQtor </w:t>
      </w:r>
    </w:p>
    <w:p>
      <w:pPr>
        <w:pStyle w:val="Normal"/>
        <w:spacing w:lineRule="auto" w:line="480" w:before="180" w:after="0"/>
        <w:ind w:left="0" w:right="0" w:firstLine="72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In 1996, nonfinancial corporations (NFCs) contributed 71.7 percent of the NIPA profit </w:t>
      </w:r>
      <w:r>
        <w:rPr>
          <w:rFonts w:ascii="Arial" w:hAnsi="Arial"/>
          <w:b/>
          <w:strike w:val="false"/>
          <w:dstrike w:val="false"/>
          <w:color w:val="000000"/>
          <w:spacing w:val="2"/>
          <w:w w:val="100"/>
          <w:position w:val="0"/>
          <w:sz w:val="21"/>
          <w:sz w:val="21"/>
          <w:vertAlign w:val="baseline"/>
          <w:lang w:val="en-US"/>
        </w:rPr>
        <w:t xml:space="preserve">total of $611 billion. Federal Reserve Board seignorage contributed $19.8 billion (3.2 percent </w:t>
      </w:r>
      <w:r>
        <w:rPr>
          <w:rFonts w:ascii="Arial" w:hAnsi="Arial"/>
          <w:b/>
          <w:strike w:val="false"/>
          <w:dstrike w:val="false"/>
          <w:color w:val="000000"/>
          <w:spacing w:val="4"/>
          <w:w w:val="100"/>
          <w:position w:val="0"/>
          <w:sz w:val="21"/>
          <w:sz w:val="21"/>
          <w:vertAlign w:val="baseline"/>
          <w:lang w:val="en-US"/>
        </w:rPr>
        <w:t xml:space="preserve">of the total), other financial corporations 12.8 percent of the total ($78.2 billion), and net </w:t>
      </w:r>
      <w:r>
        <w:rPr>
          <w:rFonts w:ascii="Arial" w:hAnsi="Arial"/>
          <w:b/>
          <w:strike w:val="false"/>
          <w:dstrike w:val="false"/>
          <w:color w:val="000000"/>
          <w:spacing w:val="2"/>
          <w:w w:val="100"/>
          <w:position w:val="0"/>
          <w:sz w:val="21"/>
          <w:sz w:val="21"/>
          <w:vertAlign w:val="baseline"/>
          <w:lang w:val="en-US"/>
        </w:rPr>
        <w:t xml:space="preserve">profits from the rest of the world represented $74.7 billion or 12.2 percent. The latter nets </w:t>
      </w:r>
      <w:r>
        <w:rPr>
          <w:rFonts w:ascii="Arial" w:hAnsi="Arial"/>
          <w:b/>
          <w:strike w:val="false"/>
          <w:dstrike w:val="false"/>
          <w:color w:val="000000"/>
          <w:spacing w:val="-2"/>
          <w:w w:val="100"/>
          <w:position w:val="0"/>
          <w:sz w:val="21"/>
          <w:sz w:val="21"/>
          <w:vertAlign w:val="baseline"/>
          <w:lang w:val="en-US"/>
        </w:rPr>
        <w:t xml:space="preserve">income received by U.S. multinational firms from their subsidiaries operating abroad against </w:t>
      </w:r>
      <w:r>
        <w:rPr>
          <w:rFonts w:ascii="Arial" w:hAnsi="Arial"/>
          <w:b/>
          <w:strike w:val="false"/>
          <w:dstrike w:val="false"/>
          <w:color w:val="000000"/>
          <w:spacing w:val="3"/>
          <w:w w:val="100"/>
          <w:position w:val="0"/>
          <w:sz w:val="21"/>
          <w:sz w:val="21"/>
          <w:vertAlign w:val="baseline"/>
          <w:lang w:val="en-US"/>
        </w:rPr>
        <w:t>payments to foreign multinational firms by U.S. firms with foreign parents.</w:t>
      </w:r>
    </w:p>
    <w:p>
      <w:pPr>
        <w:pStyle w:val="Normal"/>
        <w:spacing w:lineRule="auto" w:line="480" w:before="216" w:after="0"/>
        <w:ind w:left="0" w:right="0" w:firstLine="720"/>
        <w:jc w:val="both"/>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 xml:space="preserve">During the last decade, the financial sector has become a greater contributor to profits. </w:t>
      </w:r>
      <w:r>
        <w:rPr>
          <w:rFonts w:ascii="Arial" w:hAnsi="Arial"/>
          <w:b/>
          <w:strike w:val="false"/>
          <w:dstrike w:val="false"/>
          <w:color w:val="000000"/>
          <w:spacing w:val="2"/>
          <w:w w:val="100"/>
          <w:position w:val="0"/>
          <w:sz w:val="21"/>
          <w:sz w:val="21"/>
          <w:vertAlign w:val="baseline"/>
          <w:lang w:val="en-US"/>
        </w:rPr>
        <w:t xml:space="preserve">In the last five years of the 1980s, financial corporate profits averaged 5.3 percent of total profits, compared with an average of 11.9 percent of the total in the most recent five years. </w:t>
      </w:r>
      <w:r>
        <w:rPr>
          <w:rFonts w:ascii="Arial" w:hAnsi="Arial"/>
          <w:b/>
          <w:strike w:val="false"/>
          <w:dstrike w:val="false"/>
          <w:color w:val="000000"/>
          <w:spacing w:val="3"/>
          <w:w w:val="100"/>
          <w:position w:val="0"/>
          <w:sz w:val="21"/>
          <w:sz w:val="21"/>
          <w:vertAlign w:val="baseline"/>
          <w:lang w:val="en-US"/>
        </w:rPr>
        <w:t xml:space="preserve">The "rest of the world" entry has fallen as a share of profits during the 1990s. This reflects </w:t>
      </w:r>
      <w:r>
        <w:rPr>
          <w:rFonts w:ascii="Arial" w:hAnsi="Arial"/>
          <w:b/>
          <w:strike w:val="false"/>
          <w:dstrike w:val="false"/>
          <w:color w:val="000000"/>
          <w:spacing w:val="0"/>
          <w:w w:val="100"/>
          <w:position w:val="0"/>
          <w:sz w:val="21"/>
          <w:sz w:val="21"/>
          <w:vertAlign w:val="baseline"/>
          <w:lang w:val="en-US"/>
        </w:rPr>
        <w:t xml:space="preserve">the particular definition of foreign profits in the NIPA. For U.S.-based corporations, foreign </w:t>
      </w:r>
      <w:r>
        <w:rPr>
          <w:rFonts w:ascii="Arial" w:hAnsi="Arial"/>
          <w:b/>
          <w:strike w:val="false"/>
          <w:dstrike w:val="false"/>
          <w:color w:val="000000"/>
          <w:spacing w:val="2"/>
          <w:w w:val="100"/>
          <w:position w:val="0"/>
          <w:sz w:val="21"/>
          <w:sz w:val="21"/>
          <w:vertAlign w:val="baseline"/>
          <w:lang w:val="en-US"/>
        </w:rPr>
        <w:t xml:space="preserve">earnings as a share of total earnings have increased during this period (see Dhawan (1997)). </w:t>
      </w:r>
      <w:r>
        <w:rPr>
          <w:rFonts w:ascii="Arial" w:hAnsi="Arial"/>
          <w:b/>
          <w:strike w:val="false"/>
          <w:dstrike w:val="false"/>
          <w:color w:val="000000"/>
          <w:spacing w:val="0"/>
          <w:w w:val="100"/>
          <w:position w:val="0"/>
          <w:sz w:val="21"/>
          <w:sz w:val="21"/>
          <w:vertAlign w:val="baseline"/>
          <w:lang w:val="en-US"/>
        </w:rPr>
        <w:t xml:space="preserve">In spite of the growing importance of financial firms, the difficulties in measuring the rate of return to tangible assets deployed in the financial sector has led most previous studies of </w:t>
      </w:r>
      <w:r>
        <w:rPr>
          <w:rFonts w:ascii="Arial" w:hAnsi="Arial"/>
          <w:b/>
          <w:strike w:val="false"/>
          <w:dstrike w:val="false"/>
          <w:color w:val="000000"/>
          <w:spacing w:val="2"/>
          <w:w w:val="100"/>
          <w:position w:val="0"/>
          <w:sz w:val="21"/>
          <w:sz w:val="21"/>
          <w:vertAlign w:val="baseline"/>
          <w:lang w:val="en-US"/>
        </w:rPr>
        <w:t>corporate returns, including Nordhaus (1974), Feldstein and Summers (1977), Holland and Myers (1979), Feldstein, Poterba, and Dicks-Mireaux (1983), and Rippe and Lavin (1995), to focus on returns to nonfinancial corporations. The present study follows in this tradition.</w:t>
      </w:r>
    </w:p>
    <w:p>
      <w:pPr>
        <w:sectPr>
          <w:type w:val="nextPage"/>
          <w:pgSz w:w="12240" w:h="15840"/>
          <w:pgMar w:left="1415" w:right="1315" w:header="0" w:top="1460" w:footer="0" w:bottom="1510" w:gutter="0"/>
          <w:pgNumType w:fmt="decimal"/>
          <w:formProt w:val="false"/>
          <w:textDirection w:val="lrTb"/>
          <w:docGrid w:type="default" w:linePitch="100" w:charSpace="4096"/>
        </w:sectPr>
        <w:pStyle w:val="Normal"/>
        <w:spacing w:lineRule="auto" w:line="480" w:before="216" w:after="0"/>
        <w:ind w:left="0" w:right="0" w:firstLine="720"/>
        <w:jc w:val="both"/>
        <w:rPr>
          <w:rFonts w:ascii="Arial" w:hAnsi="Arial"/>
          <w:b/>
          <w:b/>
          <w:strike w:val="false"/>
          <w:dstrike w:val="false"/>
          <w:color w:val="000000"/>
          <w:spacing w:val="1"/>
          <w:w w:val="100"/>
          <w:position w:val="0"/>
          <w:sz w:val="22"/>
          <w:sz w:val="21"/>
          <w:vertAlign w:val="baseline"/>
          <w:lang w:val="en-US"/>
        </w:rPr>
      </w:pPr>
      <w:r>
        <w:rPr>
          <w:rFonts w:ascii="Arial" w:hAnsi="Arial"/>
          <w:b/>
          <w:strike w:val="false"/>
          <w:dstrike w:val="false"/>
          <w:color w:val="000000"/>
          <w:spacing w:val="1"/>
          <w:w w:val="100"/>
          <w:position w:val="0"/>
          <w:sz w:val="21"/>
          <w:sz w:val="21"/>
          <w:vertAlign w:val="baseline"/>
          <w:lang w:val="en-US"/>
        </w:rPr>
        <w:t xml:space="preserve">The "standard" rate of return measure for the nonfinancial corporate sector, used in </w:t>
      </w:r>
      <w:r>
        <w:rPr>
          <w:rFonts w:ascii="Arial" w:hAnsi="Arial"/>
          <w:b/>
          <w:strike w:val="false"/>
          <w:dstrike w:val="false"/>
          <w:color w:val="000000"/>
          <w:spacing w:val="-1"/>
          <w:w w:val="100"/>
          <w:position w:val="0"/>
          <w:sz w:val="21"/>
          <w:sz w:val="21"/>
          <w:vertAlign w:val="baseline"/>
          <w:lang w:val="en-US"/>
        </w:rPr>
        <w:t xml:space="preserve">most of the previous studies, equals pretax NFC profits plus net interest payments by NFCs, </w:t>
      </w:r>
      <w:r>
        <w:rPr>
          <w:rFonts w:ascii="Arial" w:hAnsi="Arial"/>
          <w:b/>
          <w:strike w:val="false"/>
          <w:dstrike w:val="false"/>
          <w:color w:val="000000"/>
          <w:spacing w:val="1"/>
          <w:w w:val="100"/>
          <w:position w:val="0"/>
          <w:sz w:val="21"/>
          <w:sz w:val="21"/>
          <w:vertAlign w:val="baseline"/>
          <w:lang w:val="en-US"/>
        </w:rPr>
        <w:t>divided by the replacement cost of NFC tangible assets. This measure understates the return</w:t>
      </w:r>
    </w:p>
    <w:p>
      <w:pPr>
        <w:pStyle w:val="Normal"/>
        <w:spacing w:lineRule="auto" w:line="211"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w:t>
      </w:r>
    </w:p>
    <w:p>
      <w:pPr>
        <w:pStyle w:val="Normal"/>
        <w:spacing w:lineRule="auto" w:line="480" w:before="180" w:after="0"/>
        <w:ind w:left="0" w:right="0" w:hanging="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to NFC assets, however, because the NIPA remove property taxes, which are classified as an </w:t>
      </w:r>
      <w:r>
        <w:rPr>
          <w:rFonts w:ascii="Arial" w:hAnsi="Arial"/>
          <w:b/>
          <w:strike w:val="false"/>
          <w:dstrike w:val="false"/>
          <w:color w:val="000000"/>
          <w:spacing w:val="0"/>
          <w:w w:val="100"/>
          <w:position w:val="0"/>
          <w:sz w:val="20"/>
          <w:sz w:val="20"/>
          <w:vertAlign w:val="baseline"/>
          <w:lang w:val="en-US"/>
        </w:rPr>
        <w:t>indirect tax, from corporate earnings before defining profits. Feldstein, Poterba, and Dicks</w:t>
        <w:softHyphen/>
        <w:t xml:space="preserve">Mireaux (1983) explain that unless property taxes represent fees for services that are provided </w:t>
      </w:r>
      <w:r>
        <w:rPr>
          <w:rFonts w:ascii="Arial" w:hAnsi="Arial"/>
          <w:b/>
          <w:strike w:val="false"/>
          <w:dstrike w:val="false"/>
          <w:color w:val="000000"/>
          <w:spacing w:val="1"/>
          <w:w w:val="100"/>
          <w:position w:val="0"/>
          <w:sz w:val="20"/>
          <w:sz w:val="20"/>
          <w:vertAlign w:val="baseline"/>
          <w:lang w:val="en-US"/>
        </w:rPr>
        <w:t xml:space="preserve">by state and local governments and that the firm would have needed to purchase otherwise, </w:t>
      </w:r>
      <w:r>
        <w:rPr>
          <w:rFonts w:ascii="Arial" w:hAnsi="Arial"/>
          <w:b/>
          <w:strike w:val="false"/>
          <w:dstrike w:val="false"/>
          <w:color w:val="000000"/>
          <w:spacing w:val="6"/>
          <w:w w:val="100"/>
          <w:position w:val="0"/>
          <w:sz w:val="20"/>
          <w:sz w:val="20"/>
          <w:vertAlign w:val="baseline"/>
          <w:lang w:val="en-US"/>
        </w:rPr>
        <w:t xml:space="preserve">the pretax return on should include these taxes. NFC property taxes are estimated by </w:t>
      </w:r>
      <w:r>
        <w:rPr>
          <w:rFonts w:ascii="Arial" w:hAnsi="Arial"/>
          <w:b/>
          <w:strike w:val="false"/>
          <w:dstrike w:val="false"/>
          <w:color w:val="000000"/>
          <w:spacing w:val="-2"/>
          <w:w w:val="100"/>
          <w:position w:val="0"/>
          <w:sz w:val="20"/>
          <w:sz w:val="20"/>
          <w:vertAlign w:val="baseline"/>
          <w:lang w:val="en-US"/>
        </w:rPr>
        <w:t xml:space="preserve">multiplying the share of tangible assets held by the nonfinancial corporate sector by state and </w:t>
      </w:r>
      <w:r>
        <w:rPr>
          <w:rFonts w:ascii="Arial" w:hAnsi="Arial"/>
          <w:b/>
          <w:strike w:val="false"/>
          <w:dstrike w:val="false"/>
          <w:color w:val="000000"/>
          <w:spacing w:val="1"/>
          <w:w w:val="100"/>
          <w:position w:val="0"/>
          <w:sz w:val="20"/>
          <w:sz w:val="20"/>
          <w:vertAlign w:val="baseline"/>
          <w:lang w:val="en-US"/>
        </w:rPr>
        <w:t xml:space="preserve">local property tax receipts. This procedure implicitly assumes that the effective property tax </w:t>
      </w:r>
      <w:r>
        <w:rPr>
          <w:rFonts w:ascii="Arial" w:hAnsi="Arial"/>
          <w:b/>
          <w:strike w:val="false"/>
          <w:dstrike w:val="false"/>
          <w:color w:val="000000"/>
          <w:spacing w:val="2"/>
          <w:w w:val="100"/>
          <w:position w:val="0"/>
          <w:sz w:val="20"/>
          <w:sz w:val="20"/>
          <w:vertAlign w:val="baseline"/>
          <w:lang w:val="en-US"/>
        </w:rPr>
        <w:t>rate on property held by the NFCs is equal to that on property held by all other sectors.</w:t>
      </w:r>
    </w:p>
    <w:p>
      <w:pPr>
        <w:pStyle w:val="Normal"/>
        <w:spacing w:lineRule="auto" w:line="480" w:before="252" w:after="0"/>
        <w:ind w:left="0" w:right="0" w:firstLine="648"/>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Incorporating the foregoing modification for corporate property tax payments, the pretax rate of return on NFC assets equals:</w:t>
      </w:r>
    </w:p>
    <w:p>
      <w:pPr>
        <w:pStyle w:val="Normal"/>
        <w:spacing w:lineRule="auto" w:line="264" w:before="180" w:after="0"/>
        <w:ind w:left="648" w:right="0" w:hanging="0"/>
        <w:jc w:val="left"/>
        <w:rPr>
          <w:rFonts w:ascii="Verdana" w:hAnsi="Verdana"/>
          <w:b/>
          <w:b/>
          <w:strike w:val="false"/>
          <w:dstrike w:val="false"/>
          <w:color w:val="000000"/>
          <w:spacing w:val="7"/>
          <w:w w:val="100"/>
          <w:position w:val="0"/>
          <w:sz w:val="22"/>
          <w:sz w:val="12"/>
          <w:vertAlign w:val="baseline"/>
          <w:lang w:val="en-US"/>
        </w:rPr>
      </w:pPr>
      <w:r>
        <w:rPr>
          <w:rFonts w:ascii="Verdana" w:hAnsi="Verdana"/>
          <w:b/>
          <w:strike w:val="false"/>
          <w:dstrike w:val="false"/>
          <w:color w:val="000000"/>
          <w:spacing w:val="7"/>
          <w:w w:val="100"/>
          <w:position w:val="0"/>
          <w:sz w:val="12"/>
          <w:sz w:val="12"/>
          <w:vertAlign w:val="baseline"/>
          <w:lang w:val="en-US"/>
        </w:rPr>
        <w:t xml:space="preserve">rK,NFC = </w:t>
      </w:r>
      <w:r>
        <w:rPr>
          <w:rFonts w:ascii="Arial" w:hAnsi="Arial"/>
          <w:b/>
          <w:strike w:val="false"/>
          <w:dstrike w:val="false"/>
          <w:color w:val="000000"/>
          <w:spacing w:val="7"/>
          <w:w w:val="100"/>
          <w:position w:val="0"/>
          <w:sz w:val="20"/>
          <w:sz w:val="20"/>
          <w:vertAlign w:val="baseline"/>
          <w:lang w:val="en-US"/>
        </w:rPr>
        <w:t>(Profits Before Tax with IVA &amp; CCAdj + Net Interest Payments</w:t>
      </w:r>
    </w:p>
    <w:p>
      <w:pPr>
        <w:pStyle w:val="Normal"/>
        <w:tabs>
          <w:tab w:val="clear" w:pos="720"/>
          <w:tab w:val="left" w:pos="8298" w:leader="none"/>
        </w:tabs>
        <w:spacing w:lineRule="auto" w:line="480" w:before="252" w:after="360"/>
        <w:ind w:left="0" w:right="0" w:firstLine="1656"/>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Property Taxes)/Tangible Assets.</w:t>
        <w:tab/>
      </w:r>
      <w:r>
        <w:rPr>
          <w:rFonts w:ascii="Arial" w:hAnsi="Arial"/>
          <w:b/>
          <w:strike w:val="false"/>
          <w:dstrike w:val="false"/>
          <w:color w:val="000000"/>
          <w:spacing w:val="0"/>
          <w:w w:val="100"/>
          <w:position w:val="0"/>
          <w:sz w:val="20"/>
          <w:sz w:val="20"/>
          <w:vertAlign w:val="baseline"/>
          <w:lang w:val="en-US"/>
        </w:rPr>
        <w:t xml:space="preserve">(6) </w:t>
        <w:br/>
      </w:r>
      <w:r>
        <w:rPr>
          <w:rFonts w:ascii="Arial" w:hAnsi="Arial"/>
          <w:b/>
          <w:strike w:val="false"/>
          <w:dstrike w:val="false"/>
          <w:color w:val="000000"/>
          <w:spacing w:val="5"/>
          <w:w w:val="100"/>
          <w:position w:val="0"/>
          <w:sz w:val="20"/>
          <w:sz w:val="20"/>
          <w:vertAlign w:val="baseline"/>
          <w:lang w:val="en-US"/>
        </w:rPr>
        <w:t xml:space="preserve">Tangible assets include reproducible tangible assets, plant and equipment, as well as </w:t>
      </w:r>
      <w:r>
        <w:rPr>
          <w:rFonts w:ascii="Arial" w:hAnsi="Arial"/>
          <w:b/>
          <w:strike w:val="false"/>
          <w:dstrike w:val="false"/>
          <w:color w:val="000000"/>
          <w:spacing w:val="-3"/>
          <w:w w:val="100"/>
          <w:position w:val="0"/>
          <w:sz w:val="20"/>
          <w:sz w:val="20"/>
          <w:vertAlign w:val="baseline"/>
          <w:lang w:val="en-US"/>
        </w:rPr>
        <w:t xml:space="preserve">inventories and land. Data on NFC tangible assets are reported in the Federal Reserve Board's </w:t>
      </w:r>
      <w:r>
        <w:rPr>
          <w:rFonts w:ascii="Arial" w:hAnsi="Arial"/>
          <w:b/>
          <w:strike w:val="false"/>
          <w:dstrike w:val="false"/>
          <w:color w:val="000000"/>
          <w:spacing w:val="-1"/>
          <w:w w:val="100"/>
          <w:position w:val="0"/>
          <w:sz w:val="21"/>
          <w:sz w:val="21"/>
          <w:u w:val="single"/>
          <w:vertAlign w:val="baseline"/>
          <w:lang w:val="en-US"/>
        </w:rPr>
        <w:t>Balance Sheets of the U.S. Economy.</w:t>
      </w:r>
      <w:r>
        <w:rPr>
          <w:rFonts w:ascii="Arial" w:hAnsi="Arial"/>
          <w:b/>
          <w:strike w:val="false"/>
          <w:dstrike w:val="false"/>
          <w:color w:val="000000"/>
          <w:spacing w:val="-1"/>
          <w:w w:val="100"/>
          <w:position w:val="0"/>
          <w:sz w:val="20"/>
          <w:sz w:val="20"/>
          <w:vertAlign w:val="baseline"/>
          <w:lang w:val="en-US"/>
        </w:rPr>
        <w:t xml:space="preserve"> The data used in the tabulations below are from the </w:t>
      </w:r>
      <w:r>
        <w:rPr>
          <w:rFonts w:ascii="Arial" w:hAnsi="Arial"/>
          <w:b/>
          <w:strike w:val="false"/>
          <w:dstrike w:val="false"/>
          <w:color w:val="000000"/>
          <w:spacing w:val="2"/>
          <w:w w:val="100"/>
          <w:position w:val="0"/>
          <w:sz w:val="20"/>
          <w:sz w:val="20"/>
          <w:vertAlign w:val="baseline"/>
          <w:lang w:val="en-US"/>
        </w:rPr>
        <w:t xml:space="preserve">September 15, 1997, release of Table B.102 for the nonfarm nonfinancial corporate sector. </w:t>
      </w:r>
      <w:r>
        <w:rPr>
          <w:rFonts w:ascii="Arial" w:hAnsi="Arial"/>
          <w:b/>
          <w:strike w:val="false"/>
          <w:dstrike w:val="false"/>
          <w:color w:val="000000"/>
          <w:spacing w:val="-4"/>
          <w:w w:val="100"/>
          <w:position w:val="0"/>
          <w:sz w:val="20"/>
          <w:sz w:val="20"/>
          <w:vertAlign w:val="baseline"/>
          <w:lang w:val="en-US"/>
        </w:rPr>
        <w:t xml:space="preserve">Since the latest release of the </w:t>
      </w:r>
      <w:r>
        <w:rPr>
          <w:rFonts w:ascii="Arial" w:hAnsi="Arial"/>
          <w:b/>
          <w:strike w:val="false"/>
          <w:dstrike w:val="false"/>
          <w:color w:val="000000"/>
          <w:spacing w:val="-4"/>
          <w:w w:val="100"/>
          <w:position w:val="0"/>
          <w:sz w:val="21"/>
          <w:sz w:val="21"/>
          <w:u w:val="single"/>
          <w:vertAlign w:val="baseline"/>
          <w:lang w:val="en-US"/>
        </w:rPr>
        <w:t>Balance Sheet</w:t>
      </w:r>
      <w:r>
        <w:rPr>
          <w:rFonts w:ascii="Arial" w:hAnsi="Arial"/>
          <w:b/>
          <w:strike w:val="false"/>
          <w:dstrike w:val="false"/>
          <w:color w:val="000000"/>
          <w:spacing w:val="-4"/>
          <w:w w:val="100"/>
          <w:position w:val="0"/>
          <w:sz w:val="20"/>
          <w:sz w:val="20"/>
          <w:vertAlign w:val="baseline"/>
          <w:lang w:val="en-US"/>
        </w:rPr>
        <w:t xml:space="preserve"> tables for the entire corporate sector do not yet </w:t>
      </w:r>
      <w:r>
        <w:rPr>
          <w:rFonts w:ascii="Arial" w:hAnsi="Arial"/>
          <w:b/>
          <w:strike w:val="false"/>
          <w:dstrike w:val="false"/>
          <w:color w:val="000000"/>
          <w:spacing w:val="3"/>
          <w:w w:val="100"/>
          <w:position w:val="0"/>
          <w:sz w:val="20"/>
          <w:sz w:val="20"/>
          <w:vertAlign w:val="baseline"/>
          <w:lang w:val="en-US"/>
        </w:rPr>
        <w:t xml:space="preserve">incorporate the newly-revised BEA capital stocks, I have constructed my own estimates, </w:t>
      </w:r>
      <w:r>
        <w:rPr>
          <w:rFonts w:ascii="Arial" w:hAnsi="Arial"/>
          <w:b/>
          <w:strike w:val="false"/>
          <w:dstrike w:val="false"/>
          <w:color w:val="000000"/>
          <w:spacing w:val="2"/>
          <w:w w:val="100"/>
          <w:position w:val="0"/>
          <w:sz w:val="20"/>
          <w:sz w:val="20"/>
          <w:vertAlign w:val="baseline"/>
          <w:lang w:val="en-US"/>
        </w:rPr>
        <w:t xml:space="preserve">based on the </w:t>
      </w:r>
      <w:r>
        <w:rPr>
          <w:rFonts w:ascii="Arial" w:hAnsi="Arial"/>
          <w:b/>
          <w:strike w:val="false"/>
          <w:dstrike w:val="false"/>
          <w:color w:val="000000"/>
          <w:spacing w:val="2"/>
          <w:w w:val="100"/>
          <w:position w:val="0"/>
          <w:sz w:val="21"/>
          <w:sz w:val="21"/>
          <w:u w:val="single"/>
          <w:vertAlign w:val="baseline"/>
          <w:lang w:val="en-US"/>
        </w:rPr>
        <w:t>Balance Sheet</w:t>
      </w:r>
      <w:r>
        <w:rPr>
          <w:rFonts w:ascii="Arial" w:hAnsi="Arial"/>
          <w:b/>
          <w:strike w:val="false"/>
          <w:dstrike w:val="false"/>
          <w:color w:val="000000"/>
          <w:spacing w:val="2"/>
          <w:w w:val="100"/>
          <w:position w:val="0"/>
          <w:sz w:val="20"/>
          <w:sz w:val="20"/>
          <w:vertAlign w:val="baseline"/>
          <w:lang w:val="en-US"/>
        </w:rPr>
        <w:t xml:space="preserve"> data, of the tangible assets for the total corporate sector.' The</w:t>
      </w:r>
    </w:p>
    <w:p>
      <w:pPr>
        <w:sectPr>
          <w:type w:val="nextPage"/>
          <w:pgSz w:w="12240" w:h="15840"/>
          <w:pgMar w:left="3852" w:right="3788" w:header="0" w:top="5748" w:footer="0" w:bottom="6622" w:gutter="0"/>
          <w:pgNumType w:fmt="decimal"/>
          <w:formProt w:val="false"/>
          <w:textDirection w:val="lrTb"/>
          <w:docGrid w:type="default" w:linePitch="100" w:charSpace="4096"/>
        </w:sectPr>
        <w:pStyle w:val="Normal"/>
        <w:spacing w:lineRule="auto" w:line="240" w:before="180" w:after="0"/>
        <w:ind w:left="0" w:right="0" w:firstLine="360"/>
        <w:jc w:val="both"/>
        <w:rPr>
          <w:rFonts w:ascii="Arial" w:hAnsi="Arial"/>
          <w:b/>
          <w:b/>
          <w:strike w:val="false"/>
          <w:dstrike w:val="false"/>
          <w:color w:val="000000"/>
          <w:spacing w:val="1"/>
          <w:w w:val="100"/>
          <w:position w:val="0"/>
          <w:sz w:val="22"/>
          <w:sz w:val="20"/>
          <w:vertAlign w:val="baseline"/>
          <w:lang w:val="en-US"/>
        </w:rPr>
      </w:pPr>
      <w:r>
        <mc:AlternateContent>
          <mc:Choice Requires="wps">
            <w:drawing>
              <wp:anchor behindDoc="0" distT="0" distB="0" distL="114300" distR="114300" simplePos="0" locked="0" layoutInCell="1" allowOverlap="1" relativeHeight="6">
                <wp:simplePos x="0" y="0"/>
                <wp:positionH relativeFrom="column">
                  <wp:posOffset>0</wp:posOffset>
                </wp:positionH>
                <wp:positionV relativeFrom="paragraph">
                  <wp:posOffset>6350</wp:posOffset>
                </wp:positionV>
                <wp:extent cx="1239520" cy="1270"/>
                <wp:effectExtent l="0" t="0" r="0" b="0"/>
                <wp:wrapNone/>
                <wp:docPr id="3" name=""/>
                <a:graphic xmlns:a="http://schemas.openxmlformats.org/drawingml/2006/main">
                  <a:graphicData uri="http://schemas.microsoft.com/office/word/2010/wordprocessingShape">
                    <wps:wsp>
                      <wps:cNvSpPr/>
                      <wps:spPr>
                        <a:xfrm>
                          <a:off x="0" y="0"/>
                          <a:ext cx="176544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138.95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1"/>
          <w:w w:val="100"/>
          <w:position w:val="0"/>
          <w:sz w:val="20"/>
          <w:sz w:val="20"/>
          <w:vertAlign w:val="baseline"/>
          <w:lang w:val="en-US"/>
        </w:rPr>
        <w:t>"</w:t>
      </w:r>
      <w:r>
        <w:rPr>
          <w:rFonts w:ascii="Arial" w:hAnsi="Arial"/>
          <w:b/>
          <w:strike w:val="false"/>
          <w:dstrike w:val="false"/>
          <w:color w:val="000000"/>
          <w:spacing w:val="1"/>
          <w:w w:val="100"/>
          <w:position w:val="0"/>
          <w:sz w:val="20"/>
          <w:sz w:val="20"/>
          <w:vertAlign w:val="baseline"/>
          <w:lang w:val="en-US"/>
        </w:rPr>
        <w:t xml:space="preserve">Katz and Herman (1997) present new estimates of the aggregate stock of reproducible </w:t>
      </w:r>
      <w:r>
        <w:rPr>
          <w:rFonts w:ascii="Arial" w:hAnsi="Arial"/>
          <w:b/>
          <w:strike w:val="false"/>
          <w:dstrike w:val="false"/>
          <w:color w:val="000000"/>
          <w:spacing w:val="9"/>
          <w:w w:val="100"/>
          <w:position w:val="0"/>
          <w:sz w:val="20"/>
          <w:sz w:val="20"/>
          <w:vertAlign w:val="baseline"/>
          <w:lang w:val="en-US"/>
        </w:rPr>
        <w:t xml:space="preserve">assets at replacement cost, but they do not present disaggregate estimates for the </w:t>
      </w:r>
      <w:r>
        <w:rPr>
          <w:rFonts w:ascii="Arial" w:hAnsi="Arial"/>
          <w:b/>
          <w:strike w:val="false"/>
          <w:dstrike w:val="false"/>
          <w:color w:val="000000"/>
          <w:spacing w:val="-1"/>
          <w:w w:val="100"/>
          <w:position w:val="0"/>
          <w:sz w:val="20"/>
          <w:sz w:val="20"/>
          <w:vertAlign w:val="baseline"/>
          <w:lang w:val="en-US"/>
        </w:rPr>
        <w:t xml:space="preserve">nonfinancial corporate sector. I have therefore used the ratio of the newly-revised BEA capital </w:t>
      </w:r>
      <w:r>
        <w:rPr>
          <w:rFonts w:ascii="Arial" w:hAnsi="Arial"/>
          <w:b/>
          <w:strike w:val="false"/>
          <w:dstrike w:val="false"/>
          <w:color w:val="000000"/>
          <w:spacing w:val="2"/>
          <w:w w:val="100"/>
          <w:position w:val="0"/>
          <w:sz w:val="20"/>
          <w:sz w:val="20"/>
          <w:vertAlign w:val="baseline"/>
          <w:lang w:val="en-US"/>
        </w:rPr>
        <w:t xml:space="preserve">stock series from Katz and Herman (1997), to the older unrevised aggregate capital stocks </w:t>
      </w:r>
      <w:r>
        <w:rPr>
          <w:rFonts w:ascii="Arial" w:hAnsi="Arial"/>
          <w:b/>
          <w:strike w:val="false"/>
          <w:dstrike w:val="false"/>
          <w:color w:val="000000"/>
          <w:spacing w:val="1"/>
          <w:w w:val="100"/>
          <w:position w:val="0"/>
          <w:sz w:val="20"/>
          <w:sz w:val="20"/>
          <w:vertAlign w:val="baseline"/>
          <w:lang w:val="en-US"/>
        </w:rPr>
        <w:t xml:space="preserve">that were the basis for the </w:t>
      </w:r>
      <w:r>
        <w:rPr>
          <w:rFonts w:ascii="Arial" w:hAnsi="Arial"/>
          <w:b/>
          <w:strike w:val="false"/>
          <w:dstrike w:val="false"/>
          <w:color w:val="000000"/>
          <w:spacing w:val="1"/>
          <w:w w:val="100"/>
          <w:position w:val="0"/>
          <w:sz w:val="21"/>
          <w:sz w:val="21"/>
          <w:u w:val="single"/>
          <w:vertAlign w:val="baseline"/>
          <w:lang w:val="en-US"/>
        </w:rPr>
        <w:t>Balance Sheets</w:t>
      </w:r>
      <w:r>
        <w:rPr>
          <w:rFonts w:ascii="Arial" w:hAnsi="Arial"/>
          <w:b/>
          <w:strike w:val="false"/>
          <w:dstrike w:val="false"/>
          <w:color w:val="000000"/>
          <w:spacing w:val="1"/>
          <w:w w:val="100"/>
          <w:position w:val="0"/>
          <w:sz w:val="20"/>
          <w:sz w:val="20"/>
          <w:vertAlign w:val="baseline"/>
          <w:lang w:val="en-US"/>
        </w:rPr>
        <w:t xml:space="preserve"> data, to adjust the sectoral capital stocks reported </w:t>
      </w:r>
      <w:r>
        <w:rPr>
          <w:rFonts w:ascii="Arial" w:hAnsi="Arial"/>
          <w:b/>
          <w:strike w:val="false"/>
          <w:dstrike w:val="false"/>
          <w:color w:val="000000"/>
          <w:spacing w:val="4"/>
          <w:w w:val="100"/>
          <w:position w:val="0"/>
          <w:sz w:val="20"/>
          <w:sz w:val="20"/>
          <w:vertAlign w:val="baseline"/>
          <w:lang w:val="en-US"/>
        </w:rPr>
        <w:t xml:space="preserve">in the </w:t>
      </w:r>
      <w:r>
        <w:rPr>
          <w:rFonts w:ascii="Arial" w:hAnsi="Arial"/>
          <w:b/>
          <w:strike w:val="false"/>
          <w:dstrike w:val="false"/>
          <w:color w:val="000000"/>
          <w:spacing w:val="4"/>
          <w:w w:val="100"/>
          <w:position w:val="0"/>
          <w:sz w:val="21"/>
          <w:sz w:val="21"/>
          <w:u w:val="single"/>
          <w:vertAlign w:val="baseline"/>
          <w:lang w:val="en-US"/>
        </w:rPr>
        <w:t>Balance Sheets.</w:t>
      </w:r>
      <w:r>
        <w:rPr>
          <w:rFonts w:ascii="Arial" w:hAnsi="Arial"/>
          <w:b/>
          <w:strike w:val="false"/>
          <w:dstrike w:val="false"/>
          <w:color w:val="000000"/>
          <w:spacing w:val="4"/>
          <w:w w:val="100"/>
          <w:position w:val="0"/>
          <w:sz w:val="20"/>
          <w:sz w:val="20"/>
          <w:vertAlign w:val="baseline"/>
          <w:lang w:val="en-US"/>
        </w:rPr>
        <w:t xml:space="preserve"> The end-of-1995 value for tangible assets for the total corporate </w:t>
      </w:r>
      <w:r>
        <w:rPr>
          <w:rFonts w:ascii="Arial" w:hAnsi="Arial"/>
          <w:b/>
          <w:strike w:val="false"/>
          <w:dstrike w:val="false"/>
          <w:color w:val="000000"/>
          <w:spacing w:val="0"/>
          <w:w w:val="100"/>
          <w:position w:val="0"/>
          <w:sz w:val="20"/>
          <w:sz w:val="20"/>
          <w:vertAlign w:val="baseline"/>
          <w:lang w:val="en-US"/>
        </w:rPr>
        <w:t xml:space="preserve">sector is extrapolated from the 1994 value, which is the last value reported in the available </w:t>
      </w:r>
      <w:r>
        <w:rPr>
          <w:rFonts w:ascii="Arial" w:hAnsi="Arial"/>
          <w:b/>
          <w:strike w:val="false"/>
          <w:dstrike w:val="false"/>
          <w:color w:val="000000"/>
          <w:spacing w:val="-4"/>
          <w:w w:val="100"/>
          <w:position w:val="0"/>
          <w:sz w:val="21"/>
          <w:sz w:val="21"/>
          <w:u w:val="single"/>
          <w:vertAlign w:val="baseline"/>
          <w:lang w:val="en-US"/>
        </w:rPr>
        <w:t>Balance Sheets.</w:t>
      </w:r>
    </w:p>
    <w:p>
      <w:pPr>
        <w:pStyle w:val="Normal"/>
        <w:spacing w:lineRule="exact" w:line="337" w:before="0" w:after="36"/>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9 </w:t>
        <w:br/>
      </w:r>
      <w:r>
        <w:rPr>
          <w:rFonts w:ascii="Arial" w:hAnsi="Arial"/>
          <w:b/>
          <w:strike w:val="false"/>
          <w:dstrike w:val="false"/>
          <w:color w:val="000000"/>
          <w:spacing w:val="-1"/>
          <w:w w:val="100"/>
          <w:position w:val="0"/>
          <w:sz w:val="20"/>
          <w:sz w:val="20"/>
          <w:vertAlign w:val="baseline"/>
          <w:lang w:val="en-US"/>
        </w:rPr>
        <w:t>Federal Reserve Board reports tangible assets on a year-end basis, so the tangible asset value</w:t>
      </w:r>
    </w:p>
    <w:p>
      <w:pPr>
        <w:pStyle w:val="Normal"/>
        <w:spacing w:lineRule="auto" w:line="240" w:before="0" w:after="108"/>
        <w:ind w:left="1584" w:right="0" w:hanging="0"/>
        <w:jc w:val="left"/>
        <w:rPr>
          <w:rFonts w:ascii="Arial" w:hAnsi="Arial"/>
          <w:strike w:val="false"/>
          <w:dstrike w:val="false"/>
          <w:color w:val="000000"/>
          <w:spacing w:val="0"/>
          <w:w w:val="300"/>
          <w:position w:val="0"/>
          <w:sz w:val="22"/>
          <w:sz w:val="6"/>
          <w:vertAlign w:val="baseline"/>
          <w:lang w:val="en-US"/>
        </w:rPr>
      </w:pPr>
      <w:r>
        <w:rPr>
          <w:rFonts w:ascii="Arial" w:hAnsi="Arial"/>
          <w:strike w:val="false"/>
          <w:dstrike w:val="false"/>
          <w:color w:val="000000"/>
          <w:spacing w:val="0"/>
          <w:w w:val="300"/>
          <w:position w:val="0"/>
          <w:sz w:val="6"/>
          <w:sz w:val="6"/>
          <w:vertAlign w:val="baseline"/>
          <w:lang w:val="en-US"/>
        </w:rPr>
        <w:t>■</w:t>
      </w:r>
    </w:p>
    <w:p>
      <w:pPr>
        <w:pStyle w:val="Normal"/>
        <w:spacing w:lineRule="auto" w:line="240" w:before="0" w:after="0"/>
        <w:ind w:left="0" w:right="0" w:hanging="0"/>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for year t is the modified </w:t>
      </w:r>
      <w:r>
        <w:rPr>
          <w:rFonts w:ascii="Arial" w:hAnsi="Arial"/>
          <w:b/>
          <w:strike w:val="false"/>
          <w:dstrike w:val="false"/>
          <w:color w:val="000000"/>
          <w:spacing w:val="3"/>
          <w:w w:val="100"/>
          <w:position w:val="0"/>
          <w:sz w:val="21"/>
          <w:sz w:val="21"/>
          <w:u w:val="single"/>
          <w:vertAlign w:val="baseline"/>
          <w:lang w:val="en-US"/>
        </w:rPr>
        <w:t>Balance Sheet</w:t>
      </w:r>
      <w:r>
        <w:rPr>
          <w:rFonts w:ascii="Arial" w:hAnsi="Arial"/>
          <w:b/>
          <w:strike w:val="false"/>
          <w:dstrike w:val="false"/>
          <w:color w:val="000000"/>
          <w:spacing w:val="3"/>
          <w:w w:val="100"/>
          <w:position w:val="0"/>
          <w:sz w:val="20"/>
          <w:sz w:val="20"/>
          <w:vertAlign w:val="baseline"/>
          <w:lang w:val="en-US"/>
        </w:rPr>
        <w:t xml:space="preserve"> value for year t-1.</w:t>
      </w:r>
    </w:p>
    <w:p>
      <w:pPr>
        <w:pStyle w:val="Normal"/>
        <w:spacing w:lineRule="auto" w:line="480" w:before="216" w:after="0"/>
        <w:ind w:left="0" w:right="0" w:firstLine="648"/>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The recent data revisions substantially affect the estimates of tangible assets. The </w:t>
      </w:r>
      <w:r>
        <w:rPr>
          <w:rFonts w:ascii="Arial" w:hAnsi="Arial"/>
          <w:b/>
          <w:strike w:val="false"/>
          <w:dstrike w:val="false"/>
          <w:color w:val="000000"/>
          <w:spacing w:val="0"/>
          <w:w w:val="100"/>
          <w:position w:val="0"/>
          <w:sz w:val="20"/>
          <w:sz w:val="20"/>
          <w:vertAlign w:val="baseline"/>
          <w:lang w:val="en-US"/>
        </w:rPr>
        <w:t xml:space="preserve">ratio of the revised to the unrevised nonresidential capital stock for nonresidential capital is </w:t>
      </w:r>
      <w:r>
        <w:rPr>
          <w:rFonts w:ascii="Arial" w:hAnsi="Arial"/>
          <w:b/>
          <w:strike w:val="false"/>
          <w:dstrike w:val="false"/>
          <w:color w:val="000000"/>
          <w:spacing w:val="1"/>
          <w:w w:val="100"/>
          <w:position w:val="0"/>
          <w:sz w:val="20"/>
          <w:sz w:val="20"/>
          <w:vertAlign w:val="baseline"/>
          <w:lang w:val="en-US"/>
        </w:rPr>
        <w:t xml:space="preserve">greater than 1.4 in the 1950s, and it declines to a value slightly greater than 1.2 in the 1980s </w:t>
      </w:r>
      <w:r>
        <w:rPr>
          <w:rFonts w:ascii="Arial" w:hAnsi="Arial"/>
          <w:b/>
          <w:strike w:val="false"/>
          <w:dstrike w:val="false"/>
          <w:color w:val="000000"/>
          <w:spacing w:val="5"/>
          <w:w w:val="100"/>
          <w:position w:val="0"/>
          <w:sz w:val="20"/>
          <w:sz w:val="20"/>
          <w:vertAlign w:val="baseline"/>
          <w:lang w:val="en-US"/>
        </w:rPr>
        <w:t xml:space="preserve">and 1990s. For residential capital, the ratio declines from 1.3 in the 1950s to between 1.2 </w:t>
      </w:r>
      <w:r>
        <w:rPr>
          <w:rFonts w:ascii="Arial" w:hAnsi="Arial"/>
          <w:b/>
          <w:strike w:val="false"/>
          <w:dstrike w:val="false"/>
          <w:color w:val="000000"/>
          <w:spacing w:val="1"/>
          <w:w w:val="100"/>
          <w:position w:val="0"/>
          <w:sz w:val="20"/>
          <w:sz w:val="20"/>
          <w:vertAlign w:val="baseline"/>
          <w:lang w:val="en-US"/>
        </w:rPr>
        <w:t xml:space="preserve">and 1.25 in the 1980s and 1990s. Because the revised capital stocks are substantially larger </w:t>
      </w:r>
      <w:r>
        <w:rPr>
          <w:rFonts w:ascii="Arial" w:hAnsi="Arial"/>
          <w:b/>
          <w:strike w:val="false"/>
          <w:dstrike w:val="false"/>
          <w:color w:val="000000"/>
          <w:spacing w:val="-3"/>
          <w:w w:val="100"/>
          <w:position w:val="0"/>
          <w:sz w:val="20"/>
          <w:sz w:val="20"/>
          <w:vertAlign w:val="baseline"/>
          <w:lang w:val="en-US"/>
        </w:rPr>
        <w:t xml:space="preserve">than the unrevised stocks, rates of return calculated on the basis of these revised stocks will </w:t>
      </w:r>
      <w:r>
        <w:rPr>
          <w:rFonts w:ascii="Arial" w:hAnsi="Arial"/>
          <w:b/>
          <w:strike w:val="false"/>
          <w:dstrike w:val="false"/>
          <w:color w:val="000000"/>
          <w:spacing w:val="-1"/>
          <w:w w:val="100"/>
          <w:position w:val="0"/>
          <w:sz w:val="20"/>
          <w:sz w:val="20"/>
          <w:vertAlign w:val="baseline"/>
          <w:lang w:val="en-US"/>
        </w:rPr>
        <w:t xml:space="preserve">generally be lower than returns based on the unrevised capital stocks. In 1994, the unrevised </w:t>
      </w:r>
      <w:r>
        <w:rPr>
          <w:rFonts w:ascii="Arial" w:hAnsi="Arial"/>
          <w:b/>
          <w:strike w:val="false"/>
          <w:dstrike w:val="false"/>
          <w:color w:val="000000"/>
          <w:spacing w:val="3"/>
          <w:w w:val="100"/>
          <w:position w:val="0"/>
          <w:sz w:val="20"/>
          <w:sz w:val="20"/>
          <w:vertAlign w:val="baseline"/>
          <w:lang w:val="en-US"/>
        </w:rPr>
        <w:t xml:space="preserve">stock of nonresidential and residential capital accounted for 79.2 percent of the tangible </w:t>
      </w:r>
      <w:r>
        <w:rPr>
          <w:rFonts w:ascii="Arial" w:hAnsi="Arial"/>
          <w:b/>
          <w:strike w:val="false"/>
          <w:dstrike w:val="false"/>
          <w:color w:val="000000"/>
          <w:spacing w:val="-3"/>
          <w:w w:val="100"/>
          <w:position w:val="0"/>
          <w:sz w:val="20"/>
          <w:sz w:val="20"/>
          <w:vertAlign w:val="baseline"/>
          <w:lang w:val="en-US"/>
        </w:rPr>
        <w:t xml:space="preserve">assets held by nonfinancial corporations; land and inventories account for the remainder. The </w:t>
      </w:r>
      <w:r>
        <w:rPr>
          <w:rFonts w:ascii="Arial" w:hAnsi="Arial"/>
          <w:b/>
          <w:strike w:val="false"/>
          <w:dstrike w:val="false"/>
          <w:color w:val="000000"/>
          <w:spacing w:val="2"/>
          <w:w w:val="100"/>
          <w:position w:val="0"/>
          <w:sz w:val="20"/>
          <w:sz w:val="20"/>
          <w:vertAlign w:val="baseline"/>
          <w:lang w:val="en-US"/>
        </w:rPr>
        <w:t xml:space="preserve">upward revision of the capital stock values, holding constant profits and interest payouts, </w:t>
      </w:r>
      <w:r>
        <w:rPr>
          <w:rFonts w:ascii="Arial" w:hAnsi="Arial"/>
          <w:b/>
          <w:strike w:val="false"/>
          <w:dstrike w:val="false"/>
          <w:color w:val="000000"/>
          <w:spacing w:val="3"/>
          <w:w w:val="100"/>
          <w:position w:val="0"/>
          <w:sz w:val="20"/>
          <w:sz w:val="20"/>
          <w:vertAlign w:val="baseline"/>
          <w:lang w:val="en-US"/>
        </w:rPr>
        <w:t xml:space="preserve">would therefore lower rates of return by roughly fifteen percent. This effect is partly offset </w:t>
      </w:r>
      <w:r>
        <w:rPr>
          <w:rFonts w:ascii="Arial" w:hAnsi="Arial"/>
          <w:b/>
          <w:strike w:val="false"/>
          <w:dstrike w:val="false"/>
          <w:color w:val="000000"/>
          <w:spacing w:val="-2"/>
          <w:w w:val="100"/>
          <w:position w:val="0"/>
          <w:sz w:val="20"/>
          <w:sz w:val="20"/>
          <w:vertAlign w:val="baseline"/>
          <w:lang w:val="en-US"/>
        </w:rPr>
        <w:t xml:space="preserve">by the downward revision of depreciation flows, which raise corporate profits net of capital </w:t>
      </w:r>
      <w:r>
        <w:rPr>
          <w:rFonts w:ascii="Arial" w:hAnsi="Arial"/>
          <w:b/>
          <w:strike w:val="false"/>
          <w:dstrike w:val="false"/>
          <w:color w:val="000000"/>
          <w:spacing w:val="0"/>
          <w:w w:val="100"/>
          <w:position w:val="0"/>
          <w:sz w:val="20"/>
          <w:sz w:val="20"/>
          <w:vertAlign w:val="baseline"/>
          <w:lang w:val="en-US"/>
        </w:rPr>
        <w:t>consumption.</w:t>
      </w:r>
    </w:p>
    <w:p>
      <w:pPr>
        <w:pStyle w:val="Normal"/>
        <w:spacing w:lineRule="auto" w:line="208" w:before="432" w:after="0"/>
        <w:ind w:left="0" w:right="0" w:hanging="0"/>
        <w:jc w:val="left"/>
        <w:rPr>
          <w:rFonts w:ascii="Arial" w:hAnsi="Arial"/>
          <w:b/>
          <w:b/>
          <w:strike w:val="false"/>
          <w:dstrike w:val="false"/>
          <w:color w:val="000000"/>
          <w:spacing w:val="-6"/>
          <w:w w:val="100"/>
          <w:position w:val="0"/>
          <w:sz w:val="22"/>
          <w:sz w:val="21"/>
          <w:u w:val="single"/>
          <w:vertAlign w:val="baseline"/>
          <w:lang w:val="en-US"/>
        </w:rPr>
      </w:pPr>
      <w:r>
        <w:rPr>
          <w:rFonts w:ascii="Arial" w:hAnsi="Arial"/>
          <w:b/>
          <w:strike w:val="false"/>
          <w:dstrike w:val="false"/>
          <w:color w:val="000000"/>
          <w:spacing w:val="-6"/>
          <w:w w:val="100"/>
          <w:position w:val="0"/>
          <w:sz w:val="21"/>
          <w:sz w:val="21"/>
          <w:u w:val="single"/>
          <w:vertAlign w:val="baseline"/>
          <w:lang w:val="en-US"/>
        </w:rPr>
        <w:t xml:space="preserve">Rates of Return </w:t>
      </w:r>
    </w:p>
    <w:p>
      <w:pPr>
        <w:pStyle w:val="Normal"/>
        <w:spacing w:lineRule="auto" w:line="480" w:before="252" w:after="0"/>
        <w:ind w:left="0" w:right="0" w:firstLine="648"/>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The first column of Table 1 shows the NFC rate of return series including property tax </w:t>
      </w:r>
      <w:r>
        <w:rPr>
          <w:rFonts w:ascii="Arial" w:hAnsi="Arial"/>
          <w:b/>
          <w:strike w:val="false"/>
          <w:dstrike w:val="false"/>
          <w:color w:val="000000"/>
          <w:spacing w:val="0"/>
          <w:w w:val="100"/>
          <w:position w:val="0"/>
          <w:sz w:val="20"/>
          <w:sz w:val="20"/>
          <w:vertAlign w:val="baseline"/>
          <w:lang w:val="en-US"/>
        </w:rPr>
        <w:t xml:space="preserve">payments, and the second column shows the series excluding these payments. The property </w:t>
      </w:r>
      <w:r>
        <w:rPr>
          <w:rFonts w:ascii="Arial" w:hAnsi="Arial"/>
          <w:b/>
          <w:strike w:val="false"/>
          <w:dstrike w:val="false"/>
          <w:color w:val="000000"/>
          <w:spacing w:val="4"/>
          <w:w w:val="100"/>
          <w:position w:val="0"/>
          <w:sz w:val="20"/>
          <w:sz w:val="20"/>
          <w:vertAlign w:val="baseline"/>
          <w:lang w:val="en-US"/>
        </w:rPr>
        <w:t xml:space="preserve">tax adjustment raises the average return on corporate capital over the 1959-1996 period by </w:t>
      </w:r>
      <w:r>
        <w:rPr>
          <w:rFonts w:ascii="Arial" w:hAnsi="Arial"/>
          <w:b/>
          <w:strike w:val="false"/>
          <w:dstrike w:val="false"/>
          <w:color w:val="000000"/>
          <w:spacing w:val="6"/>
          <w:w w:val="100"/>
          <w:position w:val="0"/>
          <w:sz w:val="20"/>
          <w:sz w:val="20"/>
          <w:vertAlign w:val="baseline"/>
          <w:lang w:val="en-US"/>
        </w:rPr>
        <w:t xml:space="preserve">a full percentage point. The property tax declined in importance in the 1980s, and the </w:t>
      </w:r>
      <w:r>
        <w:rPr>
          <w:rFonts w:ascii="Arial" w:hAnsi="Arial"/>
          <w:b/>
          <w:strike w:val="false"/>
          <w:dstrike w:val="false"/>
          <w:color w:val="000000"/>
          <w:spacing w:val="1"/>
          <w:w w:val="100"/>
          <w:position w:val="0"/>
          <w:sz w:val="20"/>
          <w:sz w:val="20"/>
          <w:vertAlign w:val="baseline"/>
          <w:lang w:val="en-US"/>
        </w:rPr>
        <w:t xml:space="preserve">difference between the two return series correspondingly narrowed. Since 1990, however, </w:t>
      </w:r>
      <w:r>
        <w:rPr>
          <w:rFonts w:ascii="Arial" w:hAnsi="Arial"/>
          <w:b/>
          <w:strike w:val="false"/>
          <w:dstrike w:val="false"/>
          <w:color w:val="000000"/>
          <w:spacing w:val="3"/>
          <w:w w:val="100"/>
          <w:position w:val="0"/>
          <w:sz w:val="20"/>
          <w:sz w:val="20"/>
          <w:vertAlign w:val="baseline"/>
          <w:lang w:val="en-US"/>
        </w:rPr>
        <w:t xml:space="preserve">property taxes have increased, and the disparity between the two return series has also </w:t>
      </w:r>
      <w:r>
        <w:rPr>
          <w:rFonts w:ascii="Arial" w:hAnsi="Arial"/>
          <w:b/>
          <w:strike w:val="false"/>
          <w:dstrike w:val="false"/>
          <w:color w:val="000000"/>
          <w:spacing w:val="0"/>
          <w:w w:val="100"/>
          <w:position w:val="0"/>
          <w:sz w:val="20"/>
          <w:sz w:val="20"/>
          <w:vertAlign w:val="baseline"/>
          <w:lang w:val="en-US"/>
        </w:rPr>
        <w:t>widened.</w:t>
      </w:r>
    </w:p>
    <w:p>
      <w:pPr>
        <w:sectPr>
          <w:type w:val="nextPage"/>
          <w:pgSz w:w="12240" w:h="15840"/>
          <w:pgMar w:left="1420" w:right="1360" w:header="0" w:top="1400" w:footer="0" w:bottom="1510" w:gutter="0"/>
          <w:pgNumType w:fmt="decimal"/>
          <w:formProt w:val="false"/>
          <w:textDirection w:val="lrTb"/>
          <w:docGrid w:type="default" w:linePitch="100" w:charSpace="4096"/>
        </w:sectPr>
        <w:pStyle w:val="Normal"/>
        <w:spacing w:lineRule="auto" w:line="266" w:before="180" w:after="0"/>
        <w:ind w:left="0" w:right="36" w:hanging="0"/>
        <w:jc w:val="right"/>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The sample average pretax return for the 1959-1996 period is 8.5 percent, with a</w:t>
      </w:r>
    </w:p>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w:t>
      </w:r>
      <w:r>
        <w:rPr>
          <w:rFonts w:ascii="Arial" w:hAnsi="Arial"/>
          <w:b/>
          <w:strike w:val="false"/>
          <w:dstrike w:val="false"/>
          <w:color w:val="000000"/>
          <w:spacing w:val="0"/>
          <w:w w:val="100"/>
          <w:position w:val="0"/>
          <w:sz w:val="20"/>
          <w:sz w:val="20"/>
          <w:vertAlign w:val="baseline"/>
          <w:lang w:val="en-US"/>
        </w:rPr>
        <w:t>0</w:t>
      </w:r>
      <w:r>
        <mc:AlternateContent>
          <mc:Choice Requires="wps">
            <w:drawing>
              <wp:anchor behindDoc="1" distT="0" distB="0" distL="0" distR="0" simplePos="0" locked="0" layoutInCell="1" allowOverlap="1" relativeHeight="4">
                <wp:simplePos x="0" y="0"/>
                <wp:positionH relativeFrom="column">
                  <wp:posOffset>635</wp:posOffset>
                </wp:positionH>
                <wp:positionV relativeFrom="paragraph">
                  <wp:posOffset>7454900</wp:posOffset>
                </wp:positionV>
                <wp:extent cx="5715000" cy="321310"/>
                <wp:effectExtent l="0" t="0" r="0" b="0"/>
                <wp:wrapSquare wrapText="bothSides"/>
                <wp:docPr id="4" name="Frame1"/>
                <a:graphic xmlns:a="http://schemas.openxmlformats.org/drawingml/2006/main">
                  <a:graphicData uri="http://schemas.microsoft.com/office/word/2010/wordprocessingShape">
                    <wps:wsp>
                      <wps:cNvSpPr txBox="1"/>
                      <wps:spPr>
                        <a:xfrm>
                          <a:off x="0" y="0"/>
                          <a:ext cx="5715000" cy="321310"/>
                        </a:xfrm>
                        <a:prstGeom prst="rect"/>
                      </wps:spPr>
                      <wps:txbx>
                        <w:txbxContent>
                          <w:p>
                            <w:pPr>
                              <w:pStyle w:val="FrameContents"/>
                              <w:spacing w:lineRule="auto" w:line="240" w:before="0" w:after="36"/>
                              <w:ind w:left="0" w:right="0" w:firstLine="360"/>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'This equation is estimated with an AR(1) correction because the rate of return series is </w:t>
                            </w:r>
                            <w:r>
                              <w:rPr>
                                <w:rFonts w:ascii="Arial" w:hAnsi="Arial"/>
                                <w:b/>
                                <w:strike w:val="false"/>
                                <w:dstrike w:val="false"/>
                                <w:color w:val="000000"/>
                                <w:spacing w:val="0"/>
                                <w:w w:val="100"/>
                                <w:position w:val="0"/>
                                <w:sz w:val="20"/>
                                <w:sz w:val="20"/>
                                <w:vertAlign w:val="baseline"/>
                                <w:lang w:val="en-US"/>
                              </w:rPr>
                              <w:t>highly serially correlated.</w:t>
                            </w:r>
                          </w:p>
                        </w:txbxContent>
                      </wps:txbx>
                      <wps:bodyPr anchor="t" lIns="0" tIns="0" rIns="0" bIns="0">
                        <a:noAutofit/>
                      </wps:bodyPr>
                    </wps:wsp>
                  </a:graphicData>
                </a:graphic>
              </wp:anchor>
            </w:drawing>
          </mc:Choice>
          <mc:Fallback>
            <w:pict>
              <v:rect stroked="f" strokeweight="0pt" style="position:absolute;rotation:0;width:450pt;height:25.3pt;mso-wrap-distance-left:0pt;mso-wrap-distance-right:0pt;mso-wrap-distance-top:0pt;mso-wrap-distance-bottom:0pt;margin-top:587pt;mso-position-vertical-relative:text;margin-left:0.05pt;mso-position-horizontal-relative:text">
                <v:textbox inset="0in,0in,0in,0in">
                  <w:txbxContent>
                    <w:p>
                      <w:pPr>
                        <w:pStyle w:val="FrameContents"/>
                        <w:spacing w:lineRule="auto" w:line="240" w:before="0" w:after="36"/>
                        <w:ind w:left="0" w:right="0" w:firstLine="360"/>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'This equation is estimated with an AR(1) correction because the rate of return series is </w:t>
                      </w:r>
                      <w:r>
                        <w:rPr>
                          <w:rFonts w:ascii="Arial" w:hAnsi="Arial"/>
                          <w:b/>
                          <w:strike w:val="false"/>
                          <w:dstrike w:val="false"/>
                          <w:color w:val="000000"/>
                          <w:spacing w:val="0"/>
                          <w:w w:val="100"/>
                          <w:position w:val="0"/>
                          <w:sz w:val="20"/>
                          <w:sz w:val="20"/>
                          <w:vertAlign w:val="baseline"/>
                          <w:lang w:val="en-US"/>
                        </w:rPr>
                        <w:t>highly serially correlated.</w:t>
                      </w:r>
                    </w:p>
                  </w:txbxContent>
                </v:textbox>
                <w10:wrap type="square"/>
              </v:rect>
            </w:pict>
          </mc:Fallback>
        </mc:AlternateContent>
      </w:r>
    </w:p>
    <w:p>
      <w:pPr>
        <w:pStyle w:val="Normal"/>
        <w:spacing w:lineRule="auto" w:line="480" w:before="180" w:after="0"/>
        <w:ind w:left="0" w:right="0" w:hanging="0"/>
        <w:jc w:val="both"/>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 xml:space="preserve">time-series standard deviation of 1.0 percent. This is the rate of return estimate that </w:t>
      </w:r>
      <w:r>
        <w:rPr>
          <w:rFonts w:ascii="Arial" w:hAnsi="Arial"/>
          <w:b/>
          <w:strike w:val="false"/>
          <w:dstrike w:val="false"/>
          <w:color w:val="000000"/>
          <w:spacing w:val="1"/>
          <w:w w:val="100"/>
          <w:position w:val="0"/>
          <w:sz w:val="20"/>
          <w:sz w:val="20"/>
          <w:vertAlign w:val="baseline"/>
          <w:lang w:val="en-US"/>
        </w:rPr>
        <w:t xml:space="preserve">corresponds to the measure, in previous studies, of the social returns to capital investment. </w:t>
      </w:r>
      <w:r>
        <w:rPr>
          <w:rFonts w:ascii="Arial" w:hAnsi="Arial"/>
          <w:b/>
          <w:strike w:val="false"/>
          <w:dstrike w:val="false"/>
          <w:color w:val="000000"/>
          <w:spacing w:val="-1"/>
          <w:w w:val="100"/>
          <w:position w:val="0"/>
          <w:sz w:val="20"/>
          <w:sz w:val="20"/>
          <w:vertAlign w:val="baseline"/>
          <w:lang w:val="en-US"/>
        </w:rPr>
        <w:t xml:space="preserve">The subsample means presented at the bottom of Table 1 show substantial variation across </w:t>
      </w:r>
      <w:r>
        <w:rPr>
          <w:rFonts w:ascii="Arial" w:hAnsi="Arial"/>
          <w:b/>
          <w:strike w:val="false"/>
          <w:dstrike w:val="false"/>
          <w:color w:val="000000"/>
          <w:spacing w:val="3"/>
          <w:w w:val="100"/>
          <w:position w:val="0"/>
          <w:sz w:val="20"/>
          <w:sz w:val="20"/>
          <w:vertAlign w:val="baseline"/>
          <w:lang w:val="en-US"/>
        </w:rPr>
        <w:t xml:space="preserve">decades in the pretax return to NFC assets. The return in the 1960s averaged 10.2 percent, </w:t>
      </w:r>
      <w:r>
        <w:rPr>
          <w:rFonts w:ascii="Arial" w:hAnsi="Arial"/>
          <w:b/>
          <w:strike w:val="false"/>
          <w:dstrike w:val="false"/>
          <w:color w:val="000000"/>
          <w:spacing w:val="4"/>
          <w:w w:val="100"/>
          <w:position w:val="0"/>
          <w:sz w:val="20"/>
          <w:sz w:val="20"/>
          <w:vertAlign w:val="baseline"/>
          <w:lang w:val="en-US"/>
        </w:rPr>
        <w:t xml:space="preserve">as indicated by the property-tax inclusive return variable, while in the 1980s the return </w:t>
      </w:r>
      <w:r>
        <w:rPr>
          <w:rFonts w:ascii="Arial" w:hAnsi="Arial"/>
          <w:b/>
          <w:strike w:val="false"/>
          <w:dstrike w:val="false"/>
          <w:color w:val="000000"/>
          <w:spacing w:val="3"/>
          <w:w w:val="100"/>
          <w:position w:val="0"/>
          <w:sz w:val="20"/>
          <w:sz w:val="20"/>
          <w:vertAlign w:val="baseline"/>
          <w:lang w:val="en-US"/>
        </w:rPr>
        <w:t xml:space="preserve">averaged only 7.1 percent.' Thus far in the 1990s, the average return has been 8.6 percent, </w:t>
      </w:r>
      <w:r>
        <w:rPr>
          <w:rFonts w:ascii="Arial" w:hAnsi="Arial"/>
          <w:b/>
          <w:strike w:val="false"/>
          <w:dstrike w:val="false"/>
          <w:color w:val="000000"/>
          <w:spacing w:val="4"/>
          <w:w w:val="100"/>
          <w:position w:val="0"/>
          <w:sz w:val="20"/>
          <w:sz w:val="20"/>
          <w:vertAlign w:val="baseline"/>
          <w:lang w:val="en-US"/>
        </w:rPr>
        <w:t>but in the three most recent years, the return averages 9.6 percent.</w:t>
      </w:r>
    </w:p>
    <w:p>
      <w:pPr>
        <w:pStyle w:val="Normal"/>
        <w:spacing w:lineRule="auto" w:line="480" w:before="432" w:after="396"/>
        <w:ind w:left="0" w:right="0" w:firstLine="648"/>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average rate of return over the 1994-1996 period has been higher than that in any year since 1969. The recent increase in rates of return was not widely anticipated', but after </w:t>
      </w:r>
      <w:r>
        <w:rPr>
          <w:rFonts w:ascii="Arial" w:hAnsi="Arial"/>
          <w:b/>
          <w:strike w:val="false"/>
          <w:dstrike w:val="false"/>
          <w:color w:val="000000"/>
          <w:spacing w:val="5"/>
          <w:w w:val="100"/>
          <w:position w:val="0"/>
          <w:sz w:val="20"/>
          <w:sz w:val="20"/>
          <w:vertAlign w:val="baseline"/>
          <w:lang w:val="en-US"/>
        </w:rPr>
        <w:t xml:space="preserve">the fact, one can ask if recent years have, in some sense, been "unusual." One way to </w:t>
      </w:r>
      <w:r>
        <w:rPr>
          <w:rFonts w:ascii="Arial" w:hAnsi="Arial"/>
          <w:b/>
          <w:strike w:val="false"/>
          <w:dstrike w:val="false"/>
          <w:color w:val="000000"/>
          <w:spacing w:val="2"/>
          <w:w w:val="100"/>
          <w:position w:val="0"/>
          <w:sz w:val="20"/>
          <w:sz w:val="20"/>
          <w:vertAlign w:val="baseline"/>
          <w:lang w:val="en-US"/>
        </w:rPr>
        <w:t xml:space="preserve">address this question is simply by including an indicator variable for the 1994-1996 period in </w:t>
      </w:r>
      <w:r>
        <w:rPr>
          <w:rFonts w:ascii="Arial" w:hAnsi="Arial"/>
          <w:b/>
          <w:strike w:val="false"/>
          <w:dstrike w:val="false"/>
          <w:color w:val="000000"/>
          <w:spacing w:val="3"/>
          <w:w w:val="100"/>
          <w:position w:val="0"/>
          <w:sz w:val="20"/>
          <w:sz w:val="20"/>
          <w:vertAlign w:val="baseline"/>
          <w:lang w:val="en-US"/>
        </w:rPr>
        <w:t xml:space="preserve">a regression equation for the 1959-1996 period.' The coefficient estimate corresponding to </w:t>
      </w:r>
      <w:r>
        <w:rPr>
          <w:rFonts w:ascii="Arial" w:hAnsi="Arial"/>
          <w:b/>
          <w:strike w:val="false"/>
          <w:dstrike w:val="false"/>
          <w:color w:val="000000"/>
          <w:spacing w:val="0"/>
          <w:w w:val="100"/>
          <w:position w:val="0"/>
          <w:sz w:val="20"/>
          <w:sz w:val="20"/>
          <w:vertAlign w:val="baseline"/>
          <w:lang w:val="en-US"/>
        </w:rPr>
        <w:t xml:space="preserve">this variable is positive, 0.93 with a standard error of 0.72, so one would not reject the null hypothesis that the recent returns are drawn from the same distribution as the returns in the </w:t>
      </w:r>
      <w:r>
        <w:rPr>
          <w:rFonts w:ascii="Arial" w:hAnsi="Arial"/>
          <w:b/>
          <w:strike w:val="false"/>
          <w:dstrike w:val="false"/>
          <w:color w:val="000000"/>
          <w:spacing w:val="2"/>
          <w:w w:val="100"/>
          <w:position w:val="0"/>
          <w:sz w:val="20"/>
          <w:sz w:val="20"/>
          <w:vertAlign w:val="baseline"/>
          <w:lang w:val="en-US"/>
        </w:rPr>
        <w:t xml:space="preserve">1959-1993 period. Controlling for the civilian unemployment rate reduces this estimated </w:t>
      </w:r>
      <w:r>
        <w:rPr>
          <w:rFonts w:ascii="Arial" w:hAnsi="Arial"/>
          <w:b/>
          <w:strike w:val="false"/>
          <w:dstrike w:val="false"/>
          <w:color w:val="000000"/>
          <w:spacing w:val="6"/>
          <w:w w:val="100"/>
          <w:position w:val="0"/>
          <w:sz w:val="20"/>
          <w:sz w:val="20"/>
          <w:vertAlign w:val="baseline"/>
          <w:lang w:val="en-US"/>
        </w:rPr>
        <w:t>coefficient to 0.65 (0.63). Thus it does not seem as though there is any evidence, at this</w:t>
      </w:r>
    </w:p>
    <w:p>
      <w:pPr>
        <w:pStyle w:val="Normal"/>
        <w:spacing w:lineRule="auto" w:line="240" w:before="180" w:after="0"/>
        <w:ind w:left="0" w:right="0" w:firstLine="360"/>
        <w:jc w:val="both"/>
        <w:rPr>
          <w:rFonts w:ascii="Arial" w:hAnsi="Arial"/>
          <w:b/>
          <w:b/>
          <w:strike w:val="false"/>
          <w:dstrike w:val="false"/>
          <w:color w:val="000000"/>
          <w:spacing w:val="1"/>
          <w:w w:val="100"/>
          <w:position w:val="0"/>
          <w:sz w:val="22"/>
          <w:sz w:val="20"/>
          <w:vertAlign w:val="baseline"/>
          <w:lang w:val="en-US"/>
        </w:rPr>
      </w:pPr>
      <w:r>
        <mc:AlternateContent>
          <mc:Choice Requires="wps">
            <w:drawing>
              <wp:anchor behindDoc="0" distT="0" distB="0" distL="114300" distR="114300" simplePos="0" locked="0" layoutInCell="1" allowOverlap="1" relativeHeight="7">
                <wp:simplePos x="0" y="0"/>
                <wp:positionH relativeFrom="column">
                  <wp:posOffset>0</wp:posOffset>
                </wp:positionH>
                <wp:positionV relativeFrom="paragraph">
                  <wp:posOffset>6350</wp:posOffset>
                </wp:positionV>
                <wp:extent cx="1246505" cy="1270"/>
                <wp:effectExtent l="0" t="0" r="0" b="0"/>
                <wp:wrapNone/>
                <wp:docPr id="5" name=""/>
                <a:graphic xmlns:a="http://schemas.openxmlformats.org/drawingml/2006/main">
                  <a:graphicData uri="http://schemas.microsoft.com/office/word/2010/wordprocessingShape">
                    <wps:wsp>
                      <wps:cNvSpPr/>
                      <wps:spPr>
                        <a:xfrm>
                          <a:off x="0" y="0"/>
                          <a:ext cx="177552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139.75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1"/>
          <w:w w:val="100"/>
          <w:position w:val="0"/>
          <w:sz w:val="20"/>
          <w:sz w:val="20"/>
          <w:vertAlign w:val="baseline"/>
          <w:lang w:val="en-US"/>
        </w:rPr>
        <w:t>'</w:t>
      </w:r>
      <w:r>
        <w:rPr>
          <w:rFonts w:ascii="Arial" w:hAnsi="Arial"/>
          <w:b/>
          <w:strike w:val="false"/>
          <w:dstrike w:val="false"/>
          <w:color w:val="000000"/>
          <w:spacing w:val="1"/>
          <w:w w:val="100"/>
          <w:position w:val="0"/>
          <w:sz w:val="20"/>
          <w:sz w:val="20"/>
          <w:vertAlign w:val="baseline"/>
          <w:lang w:val="en-US"/>
        </w:rPr>
        <w:t>Feldstein, Poterba, and Dicks-Mireaux (1983) use an earlier set of NIPA data to compute rates of return for the period 1947-1979, and report that the mean pretax return for the 1950</w:t>
        <w:softHyphen/>
      </w:r>
      <w:r>
        <w:rPr>
          <w:rFonts w:ascii="Arial" w:hAnsi="Arial"/>
          <w:b/>
          <w:strike w:val="false"/>
          <w:dstrike w:val="false"/>
          <w:color w:val="000000"/>
          <w:spacing w:val="2"/>
          <w:w w:val="100"/>
          <w:position w:val="0"/>
          <w:sz w:val="20"/>
          <w:sz w:val="20"/>
          <w:vertAlign w:val="baseline"/>
          <w:lang w:val="en-US"/>
        </w:rPr>
        <w:t xml:space="preserve">1959 period was 11.7 percent. This supports the notion that the currently observed rate of </w:t>
      </w:r>
      <w:r>
        <w:rPr>
          <w:rFonts w:ascii="Arial" w:hAnsi="Arial"/>
          <w:b/>
          <w:strike w:val="false"/>
          <w:dstrike w:val="false"/>
          <w:color w:val="000000"/>
          <w:spacing w:val="1"/>
          <w:w w:val="100"/>
          <w:position w:val="0"/>
          <w:sz w:val="20"/>
          <w:sz w:val="20"/>
          <w:vertAlign w:val="baseline"/>
          <w:lang w:val="en-US"/>
        </w:rPr>
        <w:t>return is not historically unusual.</w:t>
      </w:r>
    </w:p>
    <w:p>
      <w:pPr>
        <w:sectPr>
          <w:type w:val="nextPage"/>
          <w:pgSz w:w="12240" w:h="15840"/>
          <w:pgMar w:left="1402" w:right="1342" w:header="0" w:top="1418" w:footer="0" w:bottom="1912" w:gutter="0"/>
          <w:pgNumType w:fmt="decimal"/>
          <w:formProt w:val="false"/>
          <w:textDirection w:val="lrTb"/>
          <w:docGrid w:type="default" w:linePitch="100" w:charSpace="4096"/>
        </w:sectPr>
        <w:pStyle w:val="Normal"/>
        <w:spacing w:lineRule="auto" w:line="240" w:before="324" w:after="0"/>
        <w:ind w:left="0" w:right="0" w:firstLine="36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"One indication of the surprise in recent returns can be obtained from federal corporate </w:t>
      </w:r>
      <w:r>
        <w:rPr>
          <w:rFonts w:ascii="Arial" w:hAnsi="Arial"/>
          <w:b/>
          <w:strike w:val="false"/>
          <w:dstrike w:val="false"/>
          <w:color w:val="000000"/>
          <w:spacing w:val="8"/>
          <w:w w:val="100"/>
          <w:position w:val="0"/>
          <w:sz w:val="20"/>
          <w:sz w:val="20"/>
          <w:vertAlign w:val="baseline"/>
          <w:lang w:val="en-US"/>
        </w:rPr>
        <w:t xml:space="preserve">income tax forecasts. In 1991, the Congressional Budget Office (1991) forecast that </w:t>
      </w:r>
      <w:r>
        <w:rPr>
          <w:rFonts w:ascii="Arial" w:hAnsi="Arial"/>
          <w:b/>
          <w:strike w:val="false"/>
          <w:dstrike w:val="false"/>
          <w:color w:val="000000"/>
          <w:spacing w:val="1"/>
          <w:w w:val="100"/>
          <w:position w:val="0"/>
          <w:sz w:val="20"/>
          <w:sz w:val="20"/>
          <w:vertAlign w:val="baseline"/>
          <w:lang w:val="en-US"/>
        </w:rPr>
        <w:t xml:space="preserve">corporate income tax revenues over the 1993-1996 period would average 1.6 percent of GDP. </w:t>
      </w:r>
      <w:r>
        <w:rPr>
          <w:rFonts w:ascii="Arial" w:hAnsi="Arial"/>
          <w:b/>
          <w:strike w:val="false"/>
          <w:dstrike w:val="false"/>
          <w:color w:val="000000"/>
          <w:spacing w:val="4"/>
          <w:w w:val="100"/>
          <w:position w:val="0"/>
          <w:sz w:val="20"/>
          <w:sz w:val="20"/>
          <w:vertAlign w:val="baseline"/>
          <w:lang w:val="en-US"/>
        </w:rPr>
        <w:t xml:space="preserve">By 1993, this forecast had been revised upward to 1.8 percent of GDP. Actual corporate </w:t>
      </w:r>
      <w:r>
        <w:rPr>
          <w:rFonts w:ascii="Arial" w:hAnsi="Arial"/>
          <w:b/>
          <w:strike w:val="false"/>
          <w:dstrike w:val="false"/>
          <w:color w:val="000000"/>
          <w:spacing w:val="1"/>
          <w:w w:val="100"/>
          <w:position w:val="0"/>
          <w:sz w:val="20"/>
          <w:sz w:val="20"/>
          <w:vertAlign w:val="baseline"/>
          <w:lang w:val="en-US"/>
        </w:rPr>
        <w:t xml:space="preserve">income taxes over this period have averaged 2.1 percent of GDP, largely on the strength of </w:t>
      </w:r>
      <w:r>
        <w:rPr>
          <w:rFonts w:ascii="Arial" w:hAnsi="Arial"/>
          <w:b/>
          <w:strike w:val="false"/>
          <w:dstrike w:val="false"/>
          <w:color w:val="000000"/>
          <w:spacing w:val="0"/>
          <w:w w:val="100"/>
          <w:position w:val="0"/>
          <w:sz w:val="20"/>
          <w:sz w:val="20"/>
          <w:vertAlign w:val="baseline"/>
          <w:lang w:val="en-US"/>
        </w:rPr>
        <w:t>higher corporate earnings.</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w:t>
      </w:r>
    </w:p>
    <w:p>
      <w:pPr>
        <w:pStyle w:val="Normal"/>
        <w:spacing w:lineRule="auto" w:line="240" w:before="216" w:after="0"/>
        <w:ind w:left="0" w:right="0" w:hanging="0"/>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stage, that recent experience is extraordinary.</w:t>
      </w:r>
    </w:p>
    <w:p>
      <w:pPr>
        <w:pStyle w:val="Normal"/>
        <w:spacing w:lineRule="auto" w:line="480" w:before="252" w:after="0"/>
        <w:ind w:left="0" w:right="0" w:firstLine="648"/>
        <w:jc w:val="both"/>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 xml:space="preserve">The pretax return on nonfinancial corporate capital is the relevant variable for </w:t>
      </w:r>
      <w:r>
        <w:rPr>
          <w:rFonts w:ascii="Arial" w:hAnsi="Arial"/>
          <w:b/>
          <w:strike w:val="false"/>
          <w:dstrike w:val="false"/>
          <w:color w:val="000000"/>
          <w:spacing w:val="-2"/>
          <w:w w:val="100"/>
          <w:position w:val="0"/>
          <w:sz w:val="20"/>
          <w:sz w:val="20"/>
          <w:vertAlign w:val="baseline"/>
          <w:lang w:val="en-US"/>
        </w:rPr>
        <w:t xml:space="preserve">discussions of the additional national income that would be generated by additional capital </w:t>
      </w:r>
      <w:r>
        <w:rPr>
          <w:rFonts w:ascii="Arial" w:hAnsi="Arial"/>
          <w:b/>
          <w:strike w:val="false"/>
          <w:dstrike w:val="false"/>
          <w:color w:val="000000"/>
          <w:spacing w:val="4"/>
          <w:w w:val="100"/>
          <w:position w:val="0"/>
          <w:sz w:val="20"/>
          <w:sz w:val="20"/>
          <w:vertAlign w:val="baseline"/>
          <w:lang w:val="en-US"/>
        </w:rPr>
        <w:t xml:space="preserve">investment. From the standpoint of investors who might provide the financial capital to </w:t>
      </w:r>
      <w:r>
        <w:rPr>
          <w:rFonts w:ascii="Arial" w:hAnsi="Arial"/>
          <w:b/>
          <w:strike w:val="false"/>
          <w:dstrike w:val="false"/>
          <w:color w:val="000000"/>
          <w:spacing w:val="7"/>
          <w:w w:val="100"/>
          <w:position w:val="0"/>
          <w:sz w:val="20"/>
          <w:sz w:val="20"/>
          <w:vertAlign w:val="baseline"/>
          <w:lang w:val="en-US"/>
        </w:rPr>
        <w:t xml:space="preserve">expand the capital stock, however, the after-tax return is of substantial interest. The </w:t>
      </w:r>
      <w:r>
        <w:rPr>
          <w:rFonts w:ascii="Arial" w:hAnsi="Arial"/>
          <w:b/>
          <w:strike w:val="false"/>
          <w:dstrike w:val="false"/>
          <w:color w:val="000000"/>
          <w:spacing w:val="1"/>
          <w:w w:val="100"/>
          <w:position w:val="0"/>
          <w:sz w:val="20"/>
          <w:sz w:val="20"/>
          <w:vertAlign w:val="baseline"/>
          <w:lang w:val="en-US"/>
        </w:rPr>
        <w:t xml:space="preserve">difference between the pretax and after-tax returns is important as well, since it determines </w:t>
      </w:r>
      <w:r>
        <w:rPr>
          <w:rFonts w:ascii="Arial" w:hAnsi="Arial"/>
          <w:b/>
          <w:strike w:val="false"/>
          <w:dstrike w:val="false"/>
          <w:color w:val="000000"/>
          <w:spacing w:val="2"/>
          <w:w w:val="100"/>
          <w:position w:val="0"/>
          <w:sz w:val="20"/>
          <w:sz w:val="20"/>
          <w:vertAlign w:val="baseline"/>
          <w:lang w:val="en-US"/>
        </w:rPr>
        <w:t>the deadweight burdens associated with the taxation of corporate capital income.</w:t>
      </w:r>
    </w:p>
    <w:p>
      <w:pPr>
        <w:pStyle w:val="Normal"/>
        <w:spacing w:lineRule="auto" w:line="480" w:before="180" w:after="0"/>
        <w:ind w:left="0" w:right="0" w:firstLine="648"/>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The third column of Table 1 presents the after-corporate-tax return on NFC assets. </w:t>
      </w:r>
      <w:r>
        <w:rPr>
          <w:rFonts w:ascii="Arial" w:hAnsi="Arial"/>
          <w:b/>
          <w:strike w:val="false"/>
          <w:dstrike w:val="false"/>
          <w:color w:val="000000"/>
          <w:spacing w:val="0"/>
          <w:w w:val="100"/>
          <w:position w:val="0"/>
          <w:sz w:val="20"/>
          <w:sz w:val="20"/>
          <w:vertAlign w:val="baseline"/>
          <w:lang w:val="en-US"/>
        </w:rPr>
        <w:t xml:space="preserve">This series subtracts the two taxes levied at the corporate level, the corporate income tax and the property tax, from pretax profits and interest payments. This return series describes the </w:t>
      </w:r>
      <w:r>
        <w:rPr>
          <w:rFonts w:ascii="Arial" w:hAnsi="Arial"/>
          <w:b/>
          <w:strike w:val="false"/>
          <w:dstrike w:val="false"/>
          <w:color w:val="000000"/>
          <w:spacing w:val="-1"/>
          <w:w w:val="100"/>
          <w:position w:val="0"/>
          <w:sz w:val="20"/>
          <w:sz w:val="20"/>
          <w:vertAlign w:val="baseline"/>
          <w:lang w:val="en-US"/>
        </w:rPr>
        <w:t xml:space="preserve">pretax return available to investors before the payment of any investor-level taxes on capital </w:t>
      </w:r>
      <w:r>
        <w:rPr>
          <w:rFonts w:ascii="Arial" w:hAnsi="Arial"/>
          <w:b/>
          <w:strike w:val="false"/>
          <w:dstrike w:val="false"/>
          <w:color w:val="000000"/>
          <w:spacing w:val="5"/>
          <w:w w:val="100"/>
          <w:position w:val="0"/>
          <w:sz w:val="20"/>
          <w:sz w:val="20"/>
          <w:vertAlign w:val="baseline"/>
          <w:lang w:val="en-US"/>
        </w:rPr>
        <w:t xml:space="preserve">income. It would correspond to the return available to a non-taxed investor, such as a </w:t>
      </w:r>
      <w:r>
        <w:rPr>
          <w:rFonts w:ascii="Arial" w:hAnsi="Arial"/>
          <w:b/>
          <w:strike w:val="false"/>
          <w:dstrike w:val="false"/>
          <w:color w:val="000000"/>
          <w:spacing w:val="1"/>
          <w:w w:val="100"/>
          <w:position w:val="0"/>
          <w:sz w:val="20"/>
          <w:sz w:val="20"/>
          <w:vertAlign w:val="baseline"/>
          <w:lang w:val="en-US"/>
        </w:rPr>
        <w:t xml:space="preserve">foundation or a pension fund. This return series averages 5.1 percent, or more than three percentage points less than the pretax return, for the 1959-1996 period. For the most recent </w:t>
      </w:r>
      <w:r>
        <w:rPr>
          <w:rFonts w:ascii="Arial" w:hAnsi="Arial"/>
          <w:b/>
          <w:strike w:val="false"/>
          <w:dstrike w:val="false"/>
          <w:color w:val="000000"/>
          <w:spacing w:val="4"/>
          <w:w w:val="100"/>
          <w:position w:val="0"/>
          <w:sz w:val="20"/>
          <w:sz w:val="20"/>
          <w:vertAlign w:val="baseline"/>
          <w:lang w:val="en-US"/>
        </w:rPr>
        <w:t>six years, the after-corporate-tax return averages 5.9 percent.</w:t>
      </w:r>
    </w:p>
    <w:p>
      <w:pPr>
        <w:sectPr>
          <w:type w:val="nextPage"/>
          <w:pgSz w:w="12240" w:h="15840"/>
          <w:pgMar w:left="1395" w:right="1335" w:header="0" w:top="1440" w:footer="0" w:bottom="1430" w:gutter="0"/>
          <w:pgNumType w:fmt="decimal"/>
          <w:formProt w:val="false"/>
          <w:textDirection w:val="lrTb"/>
          <w:docGrid w:type="default" w:linePitch="100" w:charSpace="4096"/>
        </w:sectPr>
        <w:pStyle w:val="Normal"/>
        <w:spacing w:lineRule="auto" w:line="480" w:before="360" w:after="0"/>
        <w:ind w:left="0" w:right="0" w:hanging="0"/>
        <w:jc w:val="righ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after-corporate-tax return has been substantially higher in the last four years than </w:t>
        <w:br/>
      </w:r>
      <w:r>
        <w:rPr>
          <w:rFonts w:ascii="Arial" w:hAnsi="Arial"/>
          <w:b/>
          <w:strike w:val="false"/>
          <w:dstrike w:val="false"/>
          <w:color w:val="000000"/>
          <w:spacing w:val="2"/>
          <w:w w:val="100"/>
          <w:position w:val="0"/>
          <w:sz w:val="20"/>
          <w:sz w:val="20"/>
          <w:vertAlign w:val="baseline"/>
          <w:lang w:val="en-US"/>
        </w:rPr>
        <w:t xml:space="preserve">in previous years because of an increase in pretax profits. When pretax returns were last at </w:t>
        <w:br/>
      </w:r>
      <w:r>
        <w:rPr>
          <w:rFonts w:ascii="Arial" w:hAnsi="Arial"/>
          <w:b/>
          <w:strike w:val="false"/>
          <w:dstrike w:val="false"/>
          <w:color w:val="000000"/>
          <w:spacing w:val="1"/>
          <w:w w:val="100"/>
          <w:position w:val="0"/>
          <w:sz w:val="20"/>
          <w:sz w:val="20"/>
          <w:vertAlign w:val="baseline"/>
          <w:lang w:val="en-US"/>
        </w:rPr>
        <w:t xml:space="preserve">their current levels, during the late 1960s, average corporate tax burdens were substantially </w:t>
        <w:br/>
      </w:r>
      <w:r>
        <w:rPr>
          <w:rFonts w:ascii="Arial" w:hAnsi="Arial"/>
          <w:b/>
          <w:strike w:val="false"/>
          <w:dstrike w:val="false"/>
          <w:color w:val="000000"/>
          <w:spacing w:val="3"/>
          <w:w w:val="100"/>
          <w:position w:val="0"/>
          <w:sz w:val="20"/>
          <w:sz w:val="20"/>
          <w:vertAlign w:val="baseline"/>
          <w:lang w:val="en-US"/>
        </w:rPr>
        <w:t xml:space="preserve">higher. For the 1965-1969 period, for example, the average pre-property-tax return on NFC </w:t>
        <w:br/>
        <w:t xml:space="preserve">assets was 11.2 percent, 2.6 percentage points above the 1990-1996 level, but the average </w:t>
        <w:br/>
      </w:r>
      <w:r>
        <w:rPr>
          <w:rFonts w:ascii="Arial" w:hAnsi="Arial"/>
          <w:b/>
          <w:strike w:val="false"/>
          <w:dstrike w:val="false"/>
          <w:color w:val="000000"/>
          <w:spacing w:val="1"/>
          <w:w w:val="100"/>
          <w:position w:val="0"/>
          <w:sz w:val="20"/>
          <w:sz w:val="20"/>
          <w:vertAlign w:val="baseline"/>
          <w:lang w:val="en-US"/>
        </w:rPr>
        <w:t xml:space="preserve">after-corporate-tax return was 6.3 percent, only 0.4 percentage points above the recent level. </w:t>
        <w:br/>
        <w:t xml:space="preserve">The data in the third column of Table 1 describe the after-tax return to an investor who </w:t>
        <w:br/>
      </w:r>
      <w:r>
        <w:rPr>
          <w:rFonts w:ascii="Arial" w:hAnsi="Arial"/>
          <w:b/>
          <w:strike w:val="false"/>
          <w:dstrike w:val="false"/>
          <w:color w:val="000000"/>
          <w:spacing w:val="0"/>
          <w:w w:val="100"/>
          <w:position w:val="0"/>
          <w:sz w:val="20"/>
          <w:sz w:val="20"/>
          <w:vertAlign w:val="baseline"/>
          <w:lang w:val="en-US"/>
        </w:rPr>
        <w:t xml:space="preserve">does not face any taxes on capital income, but many investors </w:t>
      </w:r>
      <w:r>
        <w:rPr>
          <w:rFonts w:ascii="Arial" w:hAnsi="Arial"/>
          <w:b/>
          <w:strike w:val="false"/>
          <w:dstrike w:val="false"/>
          <w:color w:val="000000"/>
          <w:spacing w:val="0"/>
          <w:w w:val="100"/>
          <w:position w:val="0"/>
          <w:sz w:val="18"/>
          <w:sz w:val="18"/>
          <w:vertAlign w:val="baseline"/>
          <w:lang w:val="en-US"/>
        </w:rPr>
        <w:t xml:space="preserve">j_Q </w:t>
      </w:r>
      <w:r>
        <w:rPr>
          <w:rFonts w:ascii="Arial" w:hAnsi="Arial"/>
          <w:b/>
          <w:strike w:val="false"/>
          <w:dstrike w:val="false"/>
          <w:color w:val="000000"/>
          <w:spacing w:val="0"/>
          <w:w w:val="100"/>
          <w:position w:val="0"/>
          <w:sz w:val="20"/>
          <w:sz w:val="20"/>
          <w:vertAlign w:val="baseline"/>
          <w:lang w:val="en-US"/>
        </w:rPr>
        <w:t xml:space="preserve">face such taxes on interest </w:t>
        <w:br/>
      </w:r>
      <w:r>
        <w:rPr>
          <w:rFonts w:ascii="Arial" w:hAnsi="Arial"/>
          <w:b/>
          <w:strike w:val="false"/>
          <w:dstrike w:val="false"/>
          <w:color w:val="000000"/>
          <w:spacing w:val="9"/>
          <w:w w:val="100"/>
          <w:position w:val="0"/>
          <w:sz w:val="20"/>
          <w:sz w:val="20"/>
          <w:vertAlign w:val="baseline"/>
          <w:lang w:val="en-US"/>
        </w:rPr>
        <w:t>income, dividends, and capital gains. A more complete measure of the tax burden on</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w:t>
      </w:r>
    </w:p>
    <w:p>
      <w:pPr>
        <w:pStyle w:val="Normal"/>
        <w:spacing w:lineRule="auto" w:line="480" w:before="216" w:after="0"/>
        <w:ind w:left="0" w:right="0" w:hanging="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corporate capital income must consider these taxes. To estimate these taxes, it is necessary </w:t>
      </w:r>
      <w:r>
        <w:rPr>
          <w:rFonts w:ascii="Arial" w:hAnsi="Arial"/>
          <w:b/>
          <w:strike w:val="false"/>
          <w:dstrike w:val="false"/>
          <w:color w:val="000000"/>
          <w:spacing w:val="0"/>
          <w:w w:val="100"/>
          <w:position w:val="0"/>
          <w:sz w:val="20"/>
          <w:sz w:val="20"/>
          <w:vertAlign w:val="baseline"/>
          <w:lang w:val="en-US"/>
        </w:rPr>
        <w:t xml:space="preserve">to aggregate across different types of investors and to make some strong assumptions about </w:t>
      </w:r>
      <w:r>
        <w:rPr>
          <w:rFonts w:ascii="Arial" w:hAnsi="Arial"/>
          <w:b/>
          <w:strike w:val="false"/>
          <w:dstrike w:val="false"/>
          <w:color w:val="000000"/>
          <w:spacing w:val="3"/>
          <w:w w:val="100"/>
          <w:position w:val="0"/>
          <w:sz w:val="20"/>
          <w:sz w:val="20"/>
          <w:vertAlign w:val="baseline"/>
          <w:lang w:val="en-US"/>
        </w:rPr>
        <w:t xml:space="preserve">the tax treatment of different types of capital income flows. I follow a procedure suggested in Feldstein </w:t>
      </w:r>
      <w:r>
        <w:rPr>
          <w:rFonts w:ascii="Arial" w:hAnsi="Arial"/>
          <w:b/>
          <w:strike w:val="false"/>
          <w:dstrike w:val="false"/>
          <w:color w:val="000000"/>
          <w:spacing w:val="3"/>
          <w:w w:val="95"/>
          <w:position w:val="0"/>
          <w:sz w:val="21"/>
          <w:sz w:val="21"/>
          <w:vertAlign w:val="baseline"/>
          <w:lang w:val="en-US"/>
        </w:rPr>
        <w:t xml:space="preserve">and </w:t>
      </w:r>
      <w:r>
        <w:rPr>
          <w:rFonts w:ascii="Arial" w:hAnsi="Arial"/>
          <w:b/>
          <w:strike w:val="false"/>
          <w:dstrike w:val="false"/>
          <w:color w:val="000000"/>
          <w:spacing w:val="3"/>
          <w:w w:val="100"/>
          <w:position w:val="0"/>
          <w:sz w:val="20"/>
          <w:sz w:val="20"/>
          <w:vertAlign w:val="baseline"/>
          <w:lang w:val="en-US"/>
        </w:rPr>
        <w:t xml:space="preserve">Summers (1979), and extended in Feldstein, Poterba, and Dicks-Mireaux </w:t>
      </w:r>
      <w:r>
        <w:rPr>
          <w:rFonts w:ascii="Arial" w:hAnsi="Arial"/>
          <w:b/>
          <w:strike w:val="false"/>
          <w:dstrike w:val="false"/>
          <w:color w:val="000000"/>
          <w:spacing w:val="-3"/>
          <w:w w:val="100"/>
          <w:position w:val="0"/>
          <w:sz w:val="20"/>
          <w:sz w:val="20"/>
          <w:vertAlign w:val="baseline"/>
          <w:lang w:val="en-US"/>
        </w:rPr>
        <w:t xml:space="preserve">(1983), by computing a "weighted average marginal tax rate" on corporate interest payments, </w:t>
      </w:r>
      <w:r>
        <w:rPr>
          <w:rFonts w:ascii="Arial" w:hAnsi="Arial"/>
          <w:b/>
          <w:strike w:val="false"/>
          <w:dstrike w:val="false"/>
          <w:color w:val="000000"/>
          <w:spacing w:val="-2"/>
          <w:w w:val="100"/>
          <w:position w:val="0"/>
          <w:sz w:val="20"/>
          <w:sz w:val="20"/>
          <w:vertAlign w:val="baseline"/>
          <w:lang w:val="en-US"/>
        </w:rPr>
        <w:t xml:space="preserve">dividend payments, and on the capital gains that are associated with corporate shares. This procedure assumes that nominal capital gains on equities arise from three sources: retained </w:t>
      </w:r>
      <w:r>
        <w:rPr>
          <w:rFonts w:ascii="Arial" w:hAnsi="Arial"/>
          <w:b/>
          <w:strike w:val="false"/>
          <w:dstrike w:val="false"/>
          <w:color w:val="000000"/>
          <w:spacing w:val="0"/>
          <w:w w:val="100"/>
          <w:position w:val="0"/>
          <w:sz w:val="20"/>
          <w:sz w:val="20"/>
          <w:vertAlign w:val="baseline"/>
          <w:lang w:val="en-US"/>
        </w:rPr>
        <w:t xml:space="preserve">earnings, inflation-induced gains to stockholders as the real value of outstanding bonds is </w:t>
      </w:r>
      <w:r>
        <w:rPr>
          <w:rFonts w:ascii="Arial" w:hAnsi="Arial"/>
          <w:b/>
          <w:strike w:val="false"/>
          <w:dstrike w:val="false"/>
          <w:color w:val="000000"/>
          <w:spacing w:val="-1"/>
          <w:w w:val="100"/>
          <w:position w:val="0"/>
          <w:sz w:val="20"/>
          <w:sz w:val="20"/>
          <w:vertAlign w:val="baseline"/>
          <w:lang w:val="en-US"/>
        </w:rPr>
        <w:t xml:space="preserve">eroded, and nominal appreciation of corporate tangible assets. The second and third factors depend on the rate of inflation, and make the total tax burden on corporate capital income a </w:t>
      </w:r>
      <w:r>
        <w:rPr>
          <w:rFonts w:ascii="Arial" w:hAnsi="Arial"/>
          <w:b/>
          <w:strike w:val="false"/>
          <w:dstrike w:val="false"/>
          <w:color w:val="000000"/>
          <w:spacing w:val="3"/>
          <w:w w:val="100"/>
          <w:position w:val="0"/>
          <w:sz w:val="20"/>
          <w:sz w:val="20"/>
          <w:vertAlign w:val="baseline"/>
          <w:lang w:val="en-US"/>
        </w:rPr>
        <w:t xml:space="preserve">function of the aggregate inflation rate. The appendix describes the tax rate algorithm in </w:t>
      </w:r>
      <w:r>
        <w:rPr>
          <w:rFonts w:ascii="Arial" w:hAnsi="Arial"/>
          <w:b/>
          <w:strike w:val="false"/>
          <w:dstrike w:val="false"/>
          <w:color w:val="000000"/>
          <w:spacing w:val="0"/>
          <w:w w:val="100"/>
          <w:position w:val="0"/>
          <w:sz w:val="20"/>
          <w:sz w:val="20"/>
          <w:vertAlign w:val="baseline"/>
          <w:lang w:val="en-US"/>
        </w:rPr>
        <w:t>further detail.</w:t>
      </w:r>
    </w:p>
    <w:p>
      <w:pPr>
        <w:pStyle w:val="Normal"/>
        <w:spacing w:lineRule="auto" w:line="480" w:before="360" w:after="0"/>
        <w:ind w:left="0" w:right="0" w:firstLine="72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last column of Table 1 shows the after-tax return to investors after corporation </w:t>
      </w:r>
      <w:r>
        <w:rPr>
          <w:rFonts w:ascii="Arial" w:hAnsi="Arial"/>
          <w:b/>
          <w:strike w:val="false"/>
          <w:dstrike w:val="false"/>
          <w:color w:val="000000"/>
          <w:spacing w:val="4"/>
          <w:w w:val="100"/>
          <w:position w:val="0"/>
          <w:sz w:val="20"/>
          <w:sz w:val="20"/>
          <w:vertAlign w:val="baseline"/>
          <w:lang w:val="en-US"/>
        </w:rPr>
        <w:t xml:space="preserve">income taxes, property taxes, and investor-level taxes on corporate capital income. The average after-tax return over the 1959-1996 period equals 3.9 percent. For the 1990s, the </w:t>
      </w:r>
      <w:r>
        <w:rPr>
          <w:rFonts w:ascii="Arial" w:hAnsi="Arial"/>
          <w:b/>
          <w:strike w:val="false"/>
          <w:dstrike w:val="false"/>
          <w:color w:val="000000"/>
          <w:spacing w:val="-3"/>
          <w:w w:val="100"/>
          <w:position w:val="0"/>
          <w:sz w:val="20"/>
          <w:sz w:val="20"/>
          <w:vertAlign w:val="baseline"/>
          <w:lang w:val="en-US"/>
        </w:rPr>
        <w:t xml:space="preserve">after-tax return averages 5.0 percent, which is more than sixty basis points higher than in any </w:t>
      </w:r>
      <w:r>
        <w:rPr>
          <w:rFonts w:ascii="Arial" w:hAnsi="Arial"/>
          <w:b/>
          <w:strike w:val="false"/>
          <w:dstrike w:val="false"/>
          <w:color w:val="000000"/>
          <w:spacing w:val="1"/>
          <w:w w:val="100"/>
          <w:position w:val="0"/>
          <w:sz w:val="20"/>
          <w:sz w:val="20"/>
          <w:vertAlign w:val="baseline"/>
          <w:lang w:val="en-US"/>
        </w:rPr>
        <w:t xml:space="preserve">previous decade. The high after-tax returns of the </w:t>
      </w:r>
      <w:r>
        <w:rPr>
          <w:rFonts w:ascii="Arial" w:hAnsi="Arial"/>
          <w:b/>
          <w:strike w:val="false"/>
          <w:dstrike w:val="false"/>
          <w:color w:val="000000"/>
          <w:spacing w:val="1"/>
          <w:w w:val="95"/>
          <w:position w:val="0"/>
          <w:sz w:val="21"/>
          <w:sz w:val="21"/>
          <w:vertAlign w:val="baseline"/>
          <w:lang w:val="en-US"/>
        </w:rPr>
        <w:t xml:space="preserve">1 </w:t>
      </w:r>
      <w:r>
        <w:rPr>
          <w:rFonts w:ascii="Arial" w:hAnsi="Arial"/>
          <w:b/>
          <w:strike w:val="false"/>
          <w:dstrike w:val="false"/>
          <w:color w:val="000000"/>
          <w:spacing w:val="1"/>
          <w:w w:val="100"/>
          <w:position w:val="0"/>
          <w:sz w:val="20"/>
          <w:sz w:val="20"/>
          <w:vertAlign w:val="baseline"/>
          <w:lang w:val="en-US"/>
        </w:rPr>
        <w:t xml:space="preserve">990s reflect both an increase in pretax </w:t>
      </w:r>
      <w:r>
        <w:rPr>
          <w:rFonts w:ascii="Arial" w:hAnsi="Arial"/>
          <w:b/>
          <w:strike w:val="false"/>
          <w:dstrike w:val="false"/>
          <w:color w:val="000000"/>
          <w:spacing w:val="4"/>
          <w:w w:val="100"/>
          <w:position w:val="0"/>
          <w:sz w:val="20"/>
          <w:sz w:val="20"/>
          <w:vertAlign w:val="baseline"/>
          <w:lang w:val="en-US"/>
        </w:rPr>
        <w:t>returns relative to the 1970s and 1980s, and a decline in the total tax rate on corporate earnings relative to the 1960s.</w:t>
      </w:r>
    </w:p>
    <w:p>
      <w:pPr>
        <w:pStyle w:val="Normal"/>
        <w:spacing w:lineRule="auto" w:line="240" w:before="180" w:after="0"/>
        <w:ind w:left="0" w:right="0" w:hanging="0"/>
        <w:jc w:val="left"/>
        <w:rPr>
          <w:rFonts w:ascii="Tahoma" w:hAnsi="Tahoma"/>
          <w:b/>
          <w:b/>
          <w:strike w:val="false"/>
          <w:dstrike w:val="false"/>
          <w:color w:val="000000"/>
          <w:spacing w:val="0"/>
          <w:w w:val="100"/>
          <w:position w:val="0"/>
          <w:sz w:val="22"/>
          <w:sz w:val="19"/>
          <w:u w:val="single"/>
          <w:vertAlign w:val="baseline"/>
          <w:lang w:val="en-US"/>
        </w:rPr>
      </w:pPr>
      <w:r>
        <w:rPr>
          <w:rFonts w:ascii="Tahoma" w:hAnsi="Tahoma"/>
          <w:b/>
          <w:strike w:val="false"/>
          <w:dstrike w:val="false"/>
          <w:color w:val="000000"/>
          <w:spacing w:val="0"/>
          <w:w w:val="100"/>
          <w:position w:val="0"/>
          <w:sz w:val="19"/>
          <w:sz w:val="19"/>
          <w:u w:val="single"/>
          <w:vertAlign w:val="baseline"/>
          <w:lang w:val="en-US"/>
        </w:rPr>
        <w:t xml:space="preserve">Average Tax Burdens </w:t>
      </w:r>
    </w:p>
    <w:p>
      <w:pPr>
        <w:sectPr>
          <w:type w:val="nextPage"/>
          <w:pgSz w:w="12240" w:h="15840"/>
          <w:pgMar w:left="1585" w:right="1145" w:header="0" w:top="1420" w:footer="0" w:bottom="1530" w:gutter="0"/>
          <w:pgNumType w:fmt="decimal"/>
          <w:formProt w:val="false"/>
          <w:textDirection w:val="lrTb"/>
          <w:docGrid w:type="default" w:linePitch="100" w:charSpace="4096"/>
        </w:sectPr>
        <w:pStyle w:val="Normal"/>
        <w:spacing w:lineRule="auto" w:line="480" w:before="216" w:after="0"/>
        <w:ind w:left="0" w:right="0" w:firstLine="720"/>
        <w:jc w:val="both"/>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 xml:space="preserve">Table 2 provides more detailed information on the total tax burden that falls on </w:t>
      </w:r>
      <w:r>
        <w:rPr>
          <w:rFonts w:ascii="Arial" w:hAnsi="Arial"/>
          <w:b/>
          <w:strike w:val="false"/>
          <w:dstrike w:val="false"/>
          <w:color w:val="000000"/>
          <w:spacing w:val="0"/>
          <w:w w:val="100"/>
          <w:position w:val="0"/>
          <w:sz w:val="20"/>
          <w:sz w:val="20"/>
          <w:vertAlign w:val="baseline"/>
          <w:lang w:val="en-US"/>
        </w:rPr>
        <w:t xml:space="preserve">corporate capital income. The first column shows the corporate income tax burden on the </w:t>
      </w:r>
      <w:r>
        <w:rPr>
          <w:rFonts w:ascii="Arial" w:hAnsi="Arial"/>
          <w:b/>
          <w:strike w:val="false"/>
          <w:dstrike w:val="false"/>
          <w:color w:val="000000"/>
          <w:spacing w:val="4"/>
          <w:w w:val="100"/>
          <w:position w:val="0"/>
          <w:sz w:val="20"/>
          <w:sz w:val="20"/>
          <w:vertAlign w:val="baseline"/>
          <w:lang w:val="en-US"/>
        </w:rPr>
        <w:t xml:space="preserve">nonfinancial corporate sector. For the 1990-1996 period, the average corporate tax burden </w:t>
      </w:r>
      <w:r>
        <w:rPr>
          <w:rFonts w:ascii="Arial" w:hAnsi="Arial"/>
          <w:b/>
          <w:strike w:val="false"/>
          <w:dstrike w:val="false"/>
          <w:color w:val="000000"/>
          <w:spacing w:val="3"/>
          <w:w w:val="100"/>
          <w:position w:val="0"/>
          <w:sz w:val="20"/>
          <w:sz w:val="20"/>
          <w:vertAlign w:val="baseline"/>
          <w:lang w:val="en-US"/>
        </w:rPr>
        <w:t>is 21.5 percent on the average pretax return of 8.6 percent. This is lower than the statutory</w:t>
      </w:r>
    </w:p>
    <w:p>
      <w:pPr>
        <w:pStyle w:val="Normal"/>
        <w:spacing w:lineRule="auto" w:line="208"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w:t>
      </w:r>
      <w:r>
        <w:rPr>
          <w:rFonts w:ascii="Arial" w:hAnsi="Arial"/>
          <w:b/>
          <w:strike w:val="false"/>
          <w:dstrike w:val="false"/>
          <w:color w:val="000000"/>
          <w:spacing w:val="0"/>
          <w:w w:val="100"/>
          <w:position w:val="0"/>
          <w:sz w:val="20"/>
          <w:sz w:val="20"/>
          <w:vertAlign w:val="baseline"/>
          <w:lang w:val="en-US"/>
        </w:rPr>
        <w:t>3</w:t>
      </w:r>
      <w:r>
        <mc:AlternateContent>
          <mc:Choice Requires="wps">
            <w:drawing>
              <wp:anchor behindDoc="1" distT="0" distB="0" distL="0" distR="0" simplePos="0" locked="0" layoutInCell="1" allowOverlap="1" relativeHeight="5">
                <wp:simplePos x="0" y="0"/>
                <wp:positionH relativeFrom="column">
                  <wp:posOffset>635</wp:posOffset>
                </wp:positionH>
                <wp:positionV relativeFrom="paragraph">
                  <wp:posOffset>7452360</wp:posOffset>
                </wp:positionV>
                <wp:extent cx="5715000" cy="323850"/>
                <wp:effectExtent l="0" t="0" r="0" b="0"/>
                <wp:wrapSquare wrapText="bothSides"/>
                <wp:docPr id="6" name="Frame2"/>
                <a:graphic xmlns:a="http://schemas.openxmlformats.org/drawingml/2006/main">
                  <a:graphicData uri="http://schemas.microsoft.com/office/word/2010/wordprocessingShape">
                    <wps:wsp>
                      <wps:cNvSpPr txBox="1"/>
                      <wps:spPr>
                        <a:xfrm>
                          <a:off x="0" y="0"/>
                          <a:ext cx="5715000" cy="323850"/>
                        </a:xfrm>
                        <a:prstGeom prst="rect"/>
                      </wps:spPr>
                      <wps:txbx>
                        <w:txbxContent>
                          <w:p>
                            <w:pPr>
                              <w:pStyle w:val="FrameContents"/>
                              <w:spacing w:lineRule="auto" w:line="240" w:before="0" w:after="36"/>
                              <w:ind w:left="0" w:right="0" w:firstLine="360"/>
                              <w:jc w:val="left"/>
                              <w:rPr>
                                <w:rFonts w:ascii="Verdana" w:hAnsi="Verdana"/>
                                <w:b/>
                                <w:b/>
                                <w:strike w:val="false"/>
                                <w:dstrike w:val="false"/>
                                <w:color w:val="000000"/>
                                <w:spacing w:val="-1"/>
                                <w:w w:val="105"/>
                                <w:sz w:val="11"/>
                                <w:vertAlign w:val="superscript"/>
                                <w:lang w:val="en-US"/>
                              </w:rPr>
                            </w:pPr>
                            <w:r>
                              <w:rPr>
                                <w:rFonts w:ascii="Verdana" w:hAnsi="Verdana"/>
                                <w:b/>
                                <w:strike w:val="false"/>
                                <w:dstrike w:val="false"/>
                                <w:color w:val="000000"/>
                                <w:spacing w:val="-1"/>
                                <w:w w:val="105"/>
                                <w:sz w:val="11"/>
                                <w:vertAlign w:val="superscript"/>
                                <w:lang w:val="en-US"/>
                              </w:rPr>
                              <w:t>8</w:t>
                            </w:r>
                            <w:r>
                              <w:rPr>
                                <w:rFonts w:ascii="Arial" w:hAnsi="Arial"/>
                                <w:b/>
                                <w:strike w:val="false"/>
                                <w:dstrike w:val="false"/>
                                <w:color w:val="000000"/>
                                <w:spacing w:val="-1"/>
                                <w:w w:val="100"/>
                                <w:position w:val="0"/>
                                <w:sz w:val="20"/>
                                <w:sz w:val="20"/>
                                <w:vertAlign w:val="baseline"/>
                                <w:lang w:val="en-US"/>
                              </w:rPr>
                              <w:t xml:space="preserve">1n 1996, my estimates suggest that 64 percent of corporate equity was held by taxable </w:t>
                            </w:r>
                            <w:r>
                              <w:rPr>
                                <w:rFonts w:ascii="Arial" w:hAnsi="Arial"/>
                                <w:b/>
                                <w:strike w:val="false"/>
                                <w:dstrike w:val="false"/>
                                <w:color w:val="000000"/>
                                <w:spacing w:val="1"/>
                                <w:w w:val="100"/>
                                <w:position w:val="0"/>
                                <w:sz w:val="20"/>
                                <w:sz w:val="20"/>
                                <w:vertAlign w:val="baseline"/>
                                <w:lang w:val="en-US"/>
                              </w:rPr>
                              <w:t>investors, as was 60 percent of the interest-bearing debt stock of nonfinancial corporations.</w:t>
                            </w:r>
                          </w:p>
                        </w:txbxContent>
                      </wps:txbx>
                      <wps:bodyPr anchor="t" lIns="0" tIns="0" rIns="0" bIns="0">
                        <a:noAutofit/>
                      </wps:bodyPr>
                    </wps:wsp>
                  </a:graphicData>
                </a:graphic>
              </wp:anchor>
            </w:drawing>
          </mc:Choice>
          <mc:Fallback>
            <w:pict>
              <v:rect stroked="f" strokeweight="0pt" style="position:absolute;rotation:0;width:450pt;height:25.5pt;mso-wrap-distance-left:0pt;mso-wrap-distance-right:0pt;mso-wrap-distance-top:0pt;mso-wrap-distance-bottom:0pt;margin-top:586.8pt;mso-position-vertical-relative:text;margin-left:0.05pt;mso-position-horizontal-relative:text">
                <v:textbox inset="0in,0in,0in,0in">
                  <w:txbxContent>
                    <w:p>
                      <w:pPr>
                        <w:pStyle w:val="FrameContents"/>
                        <w:spacing w:lineRule="auto" w:line="240" w:before="0" w:after="36"/>
                        <w:ind w:left="0" w:right="0" w:firstLine="360"/>
                        <w:jc w:val="left"/>
                        <w:rPr>
                          <w:rFonts w:ascii="Verdana" w:hAnsi="Verdana"/>
                          <w:b/>
                          <w:b/>
                          <w:strike w:val="false"/>
                          <w:dstrike w:val="false"/>
                          <w:color w:val="000000"/>
                          <w:spacing w:val="-1"/>
                          <w:w w:val="105"/>
                          <w:sz w:val="11"/>
                          <w:vertAlign w:val="superscript"/>
                          <w:lang w:val="en-US"/>
                        </w:rPr>
                      </w:pPr>
                      <w:r>
                        <w:rPr>
                          <w:rFonts w:ascii="Verdana" w:hAnsi="Verdana"/>
                          <w:b/>
                          <w:strike w:val="false"/>
                          <w:dstrike w:val="false"/>
                          <w:color w:val="000000"/>
                          <w:spacing w:val="-1"/>
                          <w:w w:val="105"/>
                          <w:sz w:val="11"/>
                          <w:vertAlign w:val="superscript"/>
                          <w:lang w:val="en-US"/>
                        </w:rPr>
                        <w:t>8</w:t>
                      </w:r>
                      <w:r>
                        <w:rPr>
                          <w:rFonts w:ascii="Arial" w:hAnsi="Arial"/>
                          <w:b/>
                          <w:strike w:val="false"/>
                          <w:dstrike w:val="false"/>
                          <w:color w:val="000000"/>
                          <w:spacing w:val="-1"/>
                          <w:w w:val="100"/>
                          <w:position w:val="0"/>
                          <w:sz w:val="20"/>
                          <w:sz w:val="20"/>
                          <w:vertAlign w:val="baseline"/>
                          <w:lang w:val="en-US"/>
                        </w:rPr>
                        <w:t xml:space="preserve">1n 1996, my estimates suggest that 64 percent of corporate equity was held by taxable </w:t>
                      </w:r>
                      <w:r>
                        <w:rPr>
                          <w:rFonts w:ascii="Arial" w:hAnsi="Arial"/>
                          <w:b/>
                          <w:strike w:val="false"/>
                          <w:dstrike w:val="false"/>
                          <w:color w:val="000000"/>
                          <w:spacing w:val="1"/>
                          <w:w w:val="100"/>
                          <w:position w:val="0"/>
                          <w:sz w:val="20"/>
                          <w:sz w:val="20"/>
                          <w:vertAlign w:val="baseline"/>
                          <w:lang w:val="en-US"/>
                        </w:rPr>
                        <w:t>investors, as was 60 percent of the interest-bearing debt stock of nonfinancial corporations.</w:t>
                      </w:r>
                    </w:p>
                  </w:txbxContent>
                </v:textbox>
                <w10:wrap type="square"/>
              </v:rect>
            </w:pict>
          </mc:Fallback>
        </mc:AlternateContent>
      </w:r>
    </w:p>
    <w:p>
      <w:pPr>
        <w:pStyle w:val="Normal"/>
        <w:spacing w:lineRule="auto" w:line="480" w:before="180" w:after="0"/>
        <w:ind w:left="0" w:right="0" w:hanging="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corporate tax rates of 34 and 35 percent that prevailed during this period because interest </w:t>
      </w:r>
      <w:r>
        <w:rPr>
          <w:rFonts w:ascii="Arial" w:hAnsi="Arial"/>
          <w:b/>
          <w:strike w:val="false"/>
          <w:dstrike w:val="false"/>
          <w:color w:val="000000"/>
          <w:spacing w:val="3"/>
          <w:w w:val="100"/>
          <w:position w:val="0"/>
          <w:sz w:val="20"/>
          <w:sz w:val="20"/>
          <w:vertAlign w:val="baseline"/>
          <w:lang w:val="en-US"/>
        </w:rPr>
        <w:t xml:space="preserve">payments are included in the pretax return measure, but are not part of the corporate tax </w:t>
      </w:r>
      <w:r>
        <w:rPr>
          <w:rFonts w:ascii="Arial" w:hAnsi="Arial"/>
          <w:b/>
          <w:strike w:val="false"/>
          <w:dstrike w:val="false"/>
          <w:color w:val="000000"/>
          <w:spacing w:val="0"/>
          <w:w w:val="100"/>
          <w:position w:val="0"/>
          <w:sz w:val="20"/>
          <w:sz w:val="20"/>
          <w:vertAlign w:val="baseline"/>
          <w:lang w:val="en-US"/>
        </w:rPr>
        <w:t xml:space="preserve">base, and because various tax provisions such as accelerated depreciation reduce the size of </w:t>
      </w:r>
      <w:r>
        <w:rPr>
          <w:rFonts w:ascii="Arial" w:hAnsi="Arial"/>
          <w:b/>
          <w:strike w:val="false"/>
          <w:dstrike w:val="false"/>
          <w:color w:val="000000"/>
          <w:spacing w:val="3"/>
          <w:w w:val="100"/>
          <w:position w:val="0"/>
          <w:sz w:val="20"/>
          <w:sz w:val="20"/>
          <w:vertAlign w:val="baseline"/>
          <w:lang w:val="en-US"/>
        </w:rPr>
        <w:t xml:space="preserve">the corporate tax base relative to equity earnings in the NIPA. There has been little change </w:t>
      </w:r>
      <w:r>
        <w:rPr>
          <w:rFonts w:ascii="Arial" w:hAnsi="Arial"/>
          <w:b/>
          <w:strike w:val="false"/>
          <w:dstrike w:val="false"/>
          <w:color w:val="000000"/>
          <w:spacing w:val="-2"/>
          <w:w w:val="100"/>
          <w:position w:val="0"/>
          <w:sz w:val="20"/>
          <w:sz w:val="20"/>
          <w:vertAlign w:val="baseline"/>
          <w:lang w:val="en-US"/>
        </w:rPr>
        <w:t xml:space="preserve">in the average corporate income tax burden in the last fifteen years; this tax rate averaged 23 </w:t>
      </w:r>
      <w:r>
        <w:rPr>
          <w:rFonts w:ascii="Arial" w:hAnsi="Arial"/>
          <w:b/>
          <w:strike w:val="false"/>
          <w:dstrike w:val="false"/>
          <w:color w:val="000000"/>
          <w:spacing w:val="6"/>
          <w:w w:val="100"/>
          <w:position w:val="0"/>
          <w:sz w:val="20"/>
          <w:sz w:val="20"/>
          <w:vertAlign w:val="baseline"/>
          <w:lang w:val="en-US"/>
        </w:rPr>
        <w:t xml:space="preserve">percent in the 1980s, and 21.5 percent in the 1990s. The corporation tax burden declined </w:t>
      </w:r>
      <w:r>
        <w:rPr>
          <w:rFonts w:ascii="Arial" w:hAnsi="Arial"/>
          <w:b/>
          <w:strike w:val="false"/>
          <w:dstrike w:val="false"/>
          <w:color w:val="000000"/>
          <w:spacing w:val="3"/>
          <w:w w:val="100"/>
          <w:position w:val="0"/>
          <w:sz w:val="20"/>
          <w:sz w:val="20"/>
          <w:vertAlign w:val="baseline"/>
          <w:lang w:val="en-US"/>
        </w:rPr>
        <w:t xml:space="preserve">in the early 1980s as a result of the Economic Recovery Tax Act of 1981. The average rate was 33.5 percent in the 1970s. The data do not support claims that the recent increase in </w:t>
      </w:r>
      <w:r>
        <w:rPr>
          <w:rFonts w:ascii="Arial" w:hAnsi="Arial"/>
          <w:b/>
          <w:strike w:val="false"/>
          <w:dstrike w:val="false"/>
          <w:color w:val="000000"/>
          <w:spacing w:val="2"/>
          <w:w w:val="100"/>
          <w:position w:val="0"/>
          <w:sz w:val="20"/>
          <w:sz w:val="20"/>
          <w:vertAlign w:val="baseline"/>
          <w:lang w:val="en-US"/>
        </w:rPr>
        <w:t>after-tax profitability is due to a decline in corporate income taxation.</w:t>
      </w:r>
    </w:p>
    <w:p>
      <w:pPr>
        <w:pStyle w:val="Normal"/>
        <w:spacing w:lineRule="auto" w:line="480" w:before="288" w:after="0"/>
        <w:ind w:left="0" w:right="0" w:firstLine="72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The second column in Table 2 reports the property tax burden on corporate tangible </w:t>
      </w:r>
      <w:r>
        <w:rPr>
          <w:rFonts w:ascii="Arial" w:hAnsi="Arial"/>
          <w:b/>
          <w:strike w:val="false"/>
          <w:dstrike w:val="false"/>
          <w:color w:val="000000"/>
          <w:spacing w:val="-1"/>
          <w:w w:val="100"/>
          <w:position w:val="0"/>
          <w:sz w:val="20"/>
          <w:sz w:val="20"/>
          <w:vertAlign w:val="baseline"/>
          <w:lang w:val="en-US"/>
        </w:rPr>
        <w:t xml:space="preserve">assets as a fraction of the pretax return. The table shows that this tax leads to a substantial </w:t>
      </w:r>
      <w:r>
        <w:rPr>
          <w:rFonts w:ascii="Arial" w:hAnsi="Arial"/>
          <w:b/>
          <w:strike w:val="false"/>
          <w:dstrike w:val="false"/>
          <w:color w:val="000000"/>
          <w:spacing w:val="0"/>
          <w:w w:val="100"/>
          <w:position w:val="0"/>
          <w:sz w:val="20"/>
          <w:sz w:val="20"/>
          <w:vertAlign w:val="baseline"/>
          <w:lang w:val="en-US"/>
        </w:rPr>
        <w:t xml:space="preserve">reduction in the after-tax return on nonfinancial corporate assets. The average property tax </w:t>
      </w:r>
      <w:r>
        <w:rPr>
          <w:rFonts w:ascii="Arial" w:hAnsi="Arial"/>
          <w:b/>
          <w:strike w:val="false"/>
          <w:dstrike w:val="false"/>
          <w:color w:val="000000"/>
          <w:spacing w:val="5"/>
          <w:w w:val="100"/>
          <w:position w:val="0"/>
          <w:sz w:val="20"/>
          <w:sz w:val="20"/>
          <w:vertAlign w:val="baseline"/>
          <w:lang w:val="en-US"/>
        </w:rPr>
        <w:t xml:space="preserve">burden over the 1959-1996 period is 10.3 percent, with the highest burden in the 1970s, </w:t>
      </w:r>
      <w:r>
        <w:rPr>
          <w:rFonts w:ascii="Arial" w:hAnsi="Arial"/>
          <w:b/>
          <w:strike w:val="false"/>
          <w:dstrike w:val="false"/>
          <w:color w:val="000000"/>
          <w:spacing w:val="1"/>
          <w:w w:val="100"/>
          <w:position w:val="0"/>
          <w:sz w:val="20"/>
          <w:sz w:val="20"/>
          <w:vertAlign w:val="baseline"/>
          <w:lang w:val="en-US"/>
        </w:rPr>
        <w:t xml:space="preserve">when property taxes averaged 12.2 of pretax profits plus interest. Property taxes tend to be </w:t>
      </w:r>
      <w:r>
        <w:rPr>
          <w:rFonts w:ascii="Arial" w:hAnsi="Arial"/>
          <w:b/>
          <w:strike w:val="false"/>
          <w:dstrike w:val="false"/>
          <w:color w:val="000000"/>
          <w:spacing w:val="2"/>
          <w:w w:val="100"/>
          <w:position w:val="0"/>
          <w:sz w:val="20"/>
          <w:sz w:val="20"/>
          <w:vertAlign w:val="baseline"/>
          <w:lang w:val="en-US"/>
        </w:rPr>
        <w:t>set in proportion to asset values, so the average property tax burden on corporate capital income rises when the rate of return on corporate assets declines.</w:t>
      </w:r>
    </w:p>
    <w:p>
      <w:pPr>
        <w:sectPr>
          <w:type w:val="nextPage"/>
          <w:pgSz w:w="12240" w:h="15840"/>
          <w:pgMar w:left="1394" w:right="1336" w:header="0" w:top="1422" w:footer="0" w:bottom="1548" w:gutter="0"/>
          <w:pgNumType w:fmt="decimal"/>
          <w:formProt w:val="false"/>
          <w:textDirection w:val="lrTb"/>
          <w:docGrid w:type="default" w:linePitch="100" w:charSpace="4096"/>
        </w:sectPr>
        <w:pStyle w:val="Normal"/>
        <w:spacing w:lineRule="auto" w:line="480" w:before="360" w:after="0"/>
        <w:ind w:left="0" w:right="0" w:firstLine="720"/>
        <w:jc w:val="both"/>
        <w:rPr>
          <w:rFonts w:ascii="Arial" w:hAnsi="Arial"/>
          <w:b/>
          <w:b/>
          <w:strike w:val="false"/>
          <w:dstrike w:val="false"/>
          <w:color w:val="000000"/>
          <w:spacing w:val="-4"/>
          <w:w w:val="100"/>
          <w:position w:val="0"/>
          <w:sz w:val="22"/>
          <w:sz w:val="20"/>
          <w:vertAlign w:val="baseline"/>
          <w:lang w:val="en-US"/>
        </w:rPr>
      </w:pPr>
      <w:r>
        <mc:AlternateContent>
          <mc:Choice Requires="wps">
            <w:drawing>
              <wp:anchor behindDoc="0" distT="0" distB="0" distL="114300" distR="114300" simplePos="0" locked="0" layoutInCell="1" allowOverlap="1" relativeHeight="8">
                <wp:simplePos x="0" y="0"/>
                <wp:positionH relativeFrom="column">
                  <wp:posOffset>0</wp:posOffset>
                </wp:positionH>
                <wp:positionV relativeFrom="paragraph">
                  <wp:posOffset>2314575</wp:posOffset>
                </wp:positionV>
                <wp:extent cx="1241425" cy="1270"/>
                <wp:effectExtent l="0" t="0" r="0" b="0"/>
                <wp:wrapNone/>
                <wp:docPr id="7" name=""/>
                <a:graphic xmlns:a="http://schemas.openxmlformats.org/drawingml/2006/main">
                  <a:graphicData uri="http://schemas.microsoft.com/office/word/2010/wordprocessingShape">
                    <wps:wsp>
                      <wps:cNvSpPr/>
                      <wps:spPr>
                        <a:xfrm>
                          <a:off x="0" y="0"/>
                          <a:ext cx="1767960" cy="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0pt,182.25pt" to="139.15pt,182.25pt" stroked="t" style="position:absolute">
                <v:stroke color="black" weight="14040" joinstyle="round" endcap="flat"/>
                <v:fill o:detectmouseclick="t" on="false"/>
              </v:line>
            </w:pict>
          </mc:Fallback>
        </mc:AlternateContent>
      </w:r>
      <w:r>
        <w:rPr>
          <w:rFonts w:ascii="Arial" w:hAnsi="Arial"/>
          <w:b/>
          <w:strike w:val="false"/>
          <w:dstrike w:val="false"/>
          <w:color w:val="000000"/>
          <w:spacing w:val="-4"/>
          <w:w w:val="100"/>
          <w:position w:val="0"/>
          <w:sz w:val="20"/>
          <w:sz w:val="20"/>
          <w:vertAlign w:val="baseline"/>
          <w:lang w:val="en-US"/>
        </w:rPr>
        <w:t>T</w:t>
      </w:r>
      <w:r>
        <w:rPr>
          <w:rFonts w:ascii="Arial" w:hAnsi="Arial"/>
          <w:b/>
          <w:strike w:val="false"/>
          <w:dstrike w:val="false"/>
          <w:color w:val="000000"/>
          <w:spacing w:val="-4"/>
          <w:w w:val="100"/>
          <w:position w:val="0"/>
          <w:sz w:val="20"/>
          <w:sz w:val="20"/>
          <w:vertAlign w:val="baseline"/>
          <w:lang w:val="en-US"/>
        </w:rPr>
        <w:t xml:space="preserve">he third column of Table 2 reports the average tax burden on the investors who hold </w:t>
      </w:r>
      <w:r>
        <w:rPr>
          <w:rFonts w:ascii="Arial" w:hAnsi="Arial"/>
          <w:b/>
          <w:strike w:val="false"/>
          <w:dstrike w:val="false"/>
          <w:color w:val="000000"/>
          <w:spacing w:val="6"/>
          <w:w w:val="100"/>
          <w:position w:val="0"/>
          <w:sz w:val="20"/>
          <w:sz w:val="20"/>
          <w:vertAlign w:val="baseline"/>
          <w:lang w:val="en-US"/>
        </w:rPr>
        <w:t xml:space="preserve">corporate debt and equity. Although untaxed institutions such as pension funds and </w:t>
      </w:r>
      <w:r>
        <w:rPr>
          <w:rFonts w:ascii="Arial" w:hAnsi="Arial"/>
          <w:b/>
          <w:strike w:val="false"/>
          <w:dstrike w:val="false"/>
          <w:color w:val="000000"/>
          <w:spacing w:val="-1"/>
          <w:w w:val="100"/>
          <w:position w:val="0"/>
          <w:sz w:val="20"/>
          <w:sz w:val="20"/>
          <w:vertAlign w:val="baseline"/>
          <w:lang w:val="en-US"/>
        </w:rPr>
        <w:t xml:space="preserve">foundations account for substantial and growing shares of both debt and equity ownership, </w:t>
      </w:r>
      <w:r>
        <w:rPr>
          <w:rFonts w:ascii="Arial" w:hAnsi="Arial"/>
          <w:b/>
          <w:strike w:val="false"/>
          <w:dstrike w:val="false"/>
          <w:color w:val="000000"/>
          <w:spacing w:val="4"/>
          <w:w w:val="100"/>
          <w:position w:val="0"/>
          <w:sz w:val="20"/>
          <w:sz w:val="20"/>
          <w:vertAlign w:val="baseline"/>
          <w:lang w:val="en-US"/>
        </w:rPr>
        <w:t xml:space="preserve">investor-level taxes still contribute to a substantial increase in the total tax burden on </w:t>
      </w:r>
      <w:r>
        <w:rPr>
          <w:rFonts w:ascii="Arial" w:hAnsi="Arial"/>
          <w:b/>
          <w:strike w:val="false"/>
          <w:dstrike w:val="false"/>
          <w:color w:val="000000"/>
          <w:spacing w:val="3"/>
          <w:w w:val="100"/>
          <w:position w:val="0"/>
          <w:sz w:val="20"/>
          <w:sz w:val="20"/>
          <w:vertAlign w:val="baseline"/>
          <w:lang w:val="en-US"/>
        </w:rPr>
        <w:t xml:space="preserve">corporate capital income.' The average tax burden at the investor level, for the 1959-1996 </w:t>
      </w:r>
      <w:r>
        <w:rPr>
          <w:rFonts w:ascii="Arial" w:hAnsi="Arial"/>
          <w:b/>
          <w:strike w:val="false"/>
          <w:dstrike w:val="false"/>
          <w:color w:val="000000"/>
          <w:spacing w:val="8"/>
          <w:w w:val="100"/>
          <w:position w:val="0"/>
          <w:sz w:val="20"/>
          <w:sz w:val="20"/>
          <w:vertAlign w:val="baseline"/>
          <w:lang w:val="en-US"/>
        </w:rPr>
        <w:t>period, is 14.3 percent, with some fluctuation over time. The tax burden peaked in the</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w:t>
      </w:r>
    </w:p>
    <w:p>
      <w:pPr>
        <w:pStyle w:val="Normal"/>
        <w:spacing w:lineRule="auto" w:line="480" w:before="180" w:after="0"/>
        <w:ind w:left="0" w:right="0" w:hanging="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1970s, when marginal tax rates on individuals reached 70 percent on unearned income, and </w:t>
      </w:r>
      <w:r>
        <w:rPr>
          <w:rFonts w:ascii="Arial" w:hAnsi="Arial"/>
          <w:b/>
          <w:strike w:val="false"/>
          <w:dstrike w:val="false"/>
          <w:color w:val="000000"/>
          <w:spacing w:val="0"/>
          <w:w w:val="100"/>
          <w:position w:val="0"/>
          <w:sz w:val="20"/>
          <w:sz w:val="20"/>
          <w:vertAlign w:val="baseline"/>
          <w:lang w:val="en-US"/>
        </w:rPr>
        <w:t xml:space="preserve">inflation generate substantial spurious capital gains and their associated tax liabilities. The decline in marginal tax rates in the 1980s, along with falling inflation, has contributed to an investor level tax burden for the 1990-1996 period that averages 10.8 percent, less than two </w:t>
      </w:r>
      <w:r>
        <w:rPr>
          <w:rFonts w:ascii="Arial" w:hAnsi="Arial"/>
          <w:b/>
          <w:strike w:val="false"/>
          <w:dstrike w:val="false"/>
          <w:color w:val="000000"/>
          <w:spacing w:val="6"/>
          <w:w w:val="100"/>
          <w:position w:val="0"/>
          <w:sz w:val="20"/>
          <w:sz w:val="20"/>
          <w:vertAlign w:val="baseline"/>
          <w:lang w:val="en-US"/>
        </w:rPr>
        <w:t>thirds of the rate in the 1970s.</w:t>
      </w:r>
    </w:p>
    <w:p>
      <w:pPr>
        <w:pStyle w:val="Normal"/>
        <w:spacing w:lineRule="auto" w:line="480" w:before="216" w:after="0"/>
        <w:ind w:left="0" w:right="0" w:firstLine="648"/>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The final column of Table 2 reports the total tax rate that applies to corporate capital </w:t>
      </w:r>
      <w:r>
        <w:rPr>
          <w:rFonts w:ascii="Arial" w:hAnsi="Arial"/>
          <w:b/>
          <w:strike w:val="false"/>
          <w:dstrike w:val="false"/>
          <w:color w:val="000000"/>
          <w:spacing w:val="4"/>
          <w:w w:val="100"/>
          <w:position w:val="0"/>
          <w:sz w:val="20"/>
          <w:sz w:val="20"/>
          <w:vertAlign w:val="baseline"/>
          <w:lang w:val="en-US"/>
        </w:rPr>
        <w:t xml:space="preserve">income. This rate averages 54.1 percent over the 1959-1996 period, and it is roughly twice </w:t>
      </w:r>
      <w:r>
        <w:rPr>
          <w:rFonts w:ascii="Arial" w:hAnsi="Arial"/>
          <w:b/>
          <w:strike w:val="false"/>
          <w:dstrike w:val="false"/>
          <w:color w:val="000000"/>
          <w:spacing w:val="9"/>
          <w:w w:val="100"/>
          <w:position w:val="0"/>
          <w:sz w:val="20"/>
          <w:sz w:val="20"/>
          <w:vertAlign w:val="baseline"/>
          <w:lang w:val="en-US"/>
        </w:rPr>
        <w:t xml:space="preserve">as great as the corporation income tax burden alone. The total tax burden shows a </w:t>
      </w:r>
      <w:r>
        <w:rPr>
          <w:rFonts w:ascii="Arial" w:hAnsi="Arial"/>
          <w:b/>
          <w:strike w:val="false"/>
          <w:dstrike w:val="false"/>
          <w:color w:val="000000"/>
          <w:spacing w:val="2"/>
          <w:w w:val="100"/>
          <w:position w:val="0"/>
          <w:sz w:val="20"/>
          <w:sz w:val="20"/>
          <w:vertAlign w:val="baseline"/>
          <w:lang w:val="en-US"/>
        </w:rPr>
        <w:t xml:space="preserve">substantial decline between the 1970s and the 1990s, from an average of 64 percent to 42 </w:t>
      </w:r>
      <w:r>
        <w:rPr>
          <w:rFonts w:ascii="Arial" w:hAnsi="Arial"/>
          <w:b/>
          <w:strike w:val="false"/>
          <w:dstrike w:val="false"/>
          <w:color w:val="000000"/>
          <w:spacing w:val="3"/>
          <w:w w:val="100"/>
          <w:position w:val="0"/>
          <w:sz w:val="20"/>
          <w:sz w:val="20"/>
          <w:vertAlign w:val="baseline"/>
          <w:lang w:val="en-US"/>
        </w:rPr>
        <w:t xml:space="preserve">percent. Most of the decline during the 1980s was due to changes in the corporate income </w:t>
      </w:r>
      <w:r>
        <w:rPr>
          <w:rFonts w:ascii="Arial" w:hAnsi="Arial"/>
          <w:b/>
          <w:strike w:val="false"/>
          <w:dstrike w:val="false"/>
          <w:color w:val="000000"/>
          <w:spacing w:val="5"/>
          <w:w w:val="100"/>
          <w:position w:val="0"/>
          <w:sz w:val="20"/>
          <w:sz w:val="20"/>
          <w:vertAlign w:val="baseline"/>
          <w:lang w:val="en-US"/>
        </w:rPr>
        <w:t xml:space="preserve">tax, while most of the decline between the 1980s and the 1990s has been the result of </w:t>
      </w:r>
      <w:r>
        <w:rPr>
          <w:rFonts w:ascii="Arial" w:hAnsi="Arial"/>
          <w:b/>
          <w:strike w:val="false"/>
          <w:dstrike w:val="false"/>
          <w:color w:val="000000"/>
          <w:spacing w:val="2"/>
          <w:w w:val="100"/>
          <w:position w:val="0"/>
          <w:sz w:val="20"/>
          <w:sz w:val="20"/>
          <w:vertAlign w:val="baseline"/>
          <w:lang w:val="en-US"/>
        </w:rPr>
        <w:t>declining tax burdens at the investor level.</w:t>
      </w:r>
    </w:p>
    <w:p>
      <w:pPr>
        <w:pStyle w:val="Normal"/>
        <w:spacing w:lineRule="auto" w:line="240" w:before="180" w:after="0"/>
        <w:ind w:left="0" w:right="0" w:hanging="0"/>
        <w:jc w:val="left"/>
        <w:rPr>
          <w:rFonts w:ascii="Arial" w:hAnsi="Arial"/>
          <w:b/>
          <w:b/>
          <w:strike w:val="false"/>
          <w:dstrike w:val="false"/>
          <w:color w:val="000000"/>
          <w:spacing w:val="0"/>
          <w:w w:val="100"/>
          <w:position w:val="0"/>
          <w:sz w:val="22"/>
          <w:sz w:val="20"/>
          <w:u w:val="single"/>
          <w:vertAlign w:val="baseline"/>
          <w:lang w:val="en-US"/>
        </w:rPr>
      </w:pPr>
      <w:r>
        <w:rPr>
          <w:rFonts w:ascii="Arial" w:hAnsi="Arial"/>
          <w:b/>
          <w:strike w:val="false"/>
          <w:dstrike w:val="false"/>
          <w:color w:val="000000"/>
          <w:spacing w:val="0"/>
          <w:w w:val="100"/>
          <w:position w:val="0"/>
          <w:sz w:val="20"/>
          <w:sz w:val="20"/>
          <w:u w:val="single"/>
          <w:vertAlign w:val="baseline"/>
          <w:lang w:val="en-US"/>
        </w:rPr>
        <w:t xml:space="preserve">Issues of Interpretation </w:t>
      </w:r>
    </w:p>
    <w:p>
      <w:pPr>
        <w:pStyle w:val="Normal"/>
        <w:spacing w:lineRule="auto" w:line="480" w:before="468" w:after="108"/>
        <w:ind w:left="0" w:right="0" w:firstLine="720"/>
        <w:jc w:val="both"/>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One difficulty with the rate of return as measured in equation (5), and the tax burden </w:t>
      </w:r>
      <w:r>
        <w:rPr>
          <w:rFonts w:ascii="Arial" w:hAnsi="Arial"/>
          <w:b/>
          <w:strike w:val="false"/>
          <w:dstrike w:val="false"/>
          <w:color w:val="000000"/>
          <w:spacing w:val="-1"/>
          <w:w w:val="100"/>
          <w:position w:val="0"/>
          <w:sz w:val="20"/>
          <w:sz w:val="20"/>
          <w:vertAlign w:val="baseline"/>
          <w:lang w:val="en-US"/>
        </w:rPr>
        <w:t xml:space="preserve">as reported in Table 2, is that these are </w:t>
      </w:r>
      <w:r>
        <w:rPr>
          <w:rFonts w:ascii="Arial" w:hAnsi="Arial"/>
          <w:b/>
          <w:strike w:val="false"/>
          <w:dstrike w:val="false"/>
          <w:color w:val="000000"/>
          <w:spacing w:val="-1"/>
          <w:w w:val="100"/>
          <w:position w:val="0"/>
          <w:sz w:val="20"/>
          <w:sz w:val="20"/>
          <w:u w:val="single"/>
          <w:vertAlign w:val="baseline"/>
          <w:lang w:val="en-US"/>
        </w:rPr>
        <w:t>average</w:t>
      </w:r>
      <w:r>
        <w:rPr>
          <w:rFonts w:ascii="Arial" w:hAnsi="Arial"/>
          <w:b/>
          <w:strike w:val="false"/>
          <w:dstrike w:val="false"/>
          <w:color w:val="000000"/>
          <w:spacing w:val="-1"/>
          <w:w w:val="100"/>
          <w:position w:val="0"/>
          <w:sz w:val="20"/>
          <w:sz w:val="20"/>
          <w:vertAlign w:val="baseline"/>
          <w:lang w:val="en-US"/>
        </w:rPr>
        <w:t xml:space="preserve"> returns and tax rates, not the </w:t>
      </w:r>
      <w:r>
        <w:rPr>
          <w:rFonts w:ascii="Arial" w:hAnsi="Arial"/>
          <w:b/>
          <w:strike w:val="false"/>
          <w:dstrike w:val="false"/>
          <w:color w:val="000000"/>
          <w:spacing w:val="-1"/>
          <w:w w:val="100"/>
          <w:position w:val="0"/>
          <w:sz w:val="20"/>
          <w:sz w:val="20"/>
          <w:u w:val="single"/>
          <w:vertAlign w:val="baseline"/>
          <w:lang w:val="en-US"/>
        </w:rPr>
        <w:t>marginal</w:t>
      </w:r>
      <w:r>
        <w:rPr>
          <w:rFonts w:ascii="Arial" w:hAnsi="Arial"/>
          <w:b/>
          <w:strike w:val="false"/>
          <w:dstrike w:val="false"/>
          <w:color w:val="000000"/>
          <w:spacing w:val="-1"/>
          <w:w w:val="100"/>
          <w:position w:val="0"/>
          <w:sz w:val="20"/>
          <w:sz w:val="20"/>
          <w:vertAlign w:val="baseline"/>
          <w:lang w:val="en-US"/>
        </w:rPr>
        <w:t xml:space="preserve"> returns </w:t>
      </w:r>
      <w:r>
        <w:rPr>
          <w:rFonts w:ascii="Arial" w:hAnsi="Arial"/>
          <w:b/>
          <w:strike w:val="false"/>
          <w:dstrike w:val="false"/>
          <w:color w:val="000000"/>
          <w:spacing w:val="3"/>
          <w:w w:val="100"/>
          <w:position w:val="0"/>
          <w:sz w:val="20"/>
          <w:sz w:val="20"/>
          <w:vertAlign w:val="baseline"/>
          <w:lang w:val="en-US"/>
        </w:rPr>
        <w:t xml:space="preserve">and taxes that are likely to drive behavior.' Average and marginal returns may diverge for </w:t>
      </w:r>
      <w:r>
        <w:rPr>
          <w:rFonts w:ascii="Arial" w:hAnsi="Arial"/>
          <w:b/>
          <w:strike w:val="false"/>
          <w:dstrike w:val="false"/>
          <w:color w:val="000000"/>
          <w:spacing w:val="1"/>
          <w:w w:val="100"/>
          <w:position w:val="0"/>
          <w:sz w:val="20"/>
          <w:sz w:val="20"/>
          <w:vertAlign w:val="baseline"/>
          <w:lang w:val="en-US"/>
        </w:rPr>
        <w:t xml:space="preserve">well-known reasons; this makes it problematic to use average return values to evaluate the social return from additional capital accumulation. If firms earn returns on intangible assets </w:t>
      </w:r>
      <w:r>
        <w:rPr>
          <w:rFonts w:ascii="Arial" w:hAnsi="Arial"/>
          <w:b/>
          <w:strike w:val="false"/>
          <w:dstrike w:val="false"/>
          <w:color w:val="000000"/>
          <w:spacing w:val="-2"/>
          <w:w w:val="100"/>
          <w:position w:val="0"/>
          <w:sz w:val="20"/>
          <w:sz w:val="20"/>
          <w:vertAlign w:val="baseline"/>
          <w:lang w:val="en-US"/>
        </w:rPr>
        <w:t xml:space="preserve">that are not included in the measured capital stock, such as patents or trade secrets, then the </w:t>
      </w:r>
      <w:r>
        <w:rPr>
          <w:rFonts w:ascii="Arial" w:hAnsi="Arial"/>
          <w:b/>
          <w:strike w:val="false"/>
          <w:dstrike w:val="false"/>
          <w:color w:val="000000"/>
          <w:spacing w:val="-1"/>
          <w:w w:val="100"/>
          <w:position w:val="0"/>
          <w:sz w:val="20"/>
          <w:sz w:val="20"/>
          <w:vertAlign w:val="baseline"/>
          <w:lang w:val="en-US"/>
        </w:rPr>
        <w:t xml:space="preserve">average return will not equal the marginal return. There is anecdotal evidence that intangible </w:t>
      </w:r>
      <w:r>
        <w:rPr>
          <w:rFonts w:ascii="Arial" w:hAnsi="Arial"/>
          <w:b/>
          <w:strike w:val="false"/>
          <w:dstrike w:val="false"/>
          <w:color w:val="000000"/>
          <w:spacing w:val="1"/>
          <w:w w:val="100"/>
          <w:position w:val="0"/>
          <w:sz w:val="20"/>
          <w:sz w:val="20"/>
          <w:vertAlign w:val="baseline"/>
          <w:lang w:val="en-US"/>
        </w:rPr>
        <w:t>assets, such as software, are an increasingly important share of the total "capital" stock, so the magnitude of this bias may be growing. The share of information processing equipment</w:t>
      </w:r>
    </w:p>
    <w:p>
      <w:pPr>
        <w:sectPr>
          <w:type w:val="nextPage"/>
          <w:pgSz w:w="12240" w:h="15840"/>
          <w:pgMar w:left="1394" w:right="1336" w:header="0" w:top="1440" w:footer="0" w:bottom="1250" w:gutter="0"/>
          <w:pgNumType w:fmt="decimal"/>
          <w:formProt w:val="false"/>
          <w:textDirection w:val="lrTb"/>
          <w:docGrid w:type="default" w:linePitch="100" w:charSpace="4096"/>
        </w:sectPr>
        <w:pStyle w:val="Normal"/>
        <w:spacing w:lineRule="auto" w:line="240" w:before="180" w:after="0"/>
        <w:ind w:left="0" w:right="0" w:firstLine="360"/>
        <w:jc w:val="both"/>
        <w:rPr>
          <w:rFonts w:ascii="Verdana" w:hAnsi="Verdana"/>
          <w:b/>
          <w:b/>
          <w:strike w:val="false"/>
          <w:dstrike w:val="false"/>
          <w:color w:val="000000"/>
          <w:spacing w:val="1"/>
          <w:w w:val="100"/>
          <w:sz w:val="12"/>
          <w:vertAlign w:val="superscript"/>
          <w:lang w:val="en-US"/>
        </w:rPr>
      </w:pPr>
      <w:r>
        <mc:AlternateContent>
          <mc:Choice Requires="wps">
            <w:drawing>
              <wp:anchor behindDoc="0" distT="0" distB="0" distL="114300" distR="114300" simplePos="0" locked="0" layoutInCell="1" allowOverlap="1" relativeHeight="9">
                <wp:simplePos x="0" y="0"/>
                <wp:positionH relativeFrom="column">
                  <wp:posOffset>0</wp:posOffset>
                </wp:positionH>
                <wp:positionV relativeFrom="paragraph">
                  <wp:posOffset>7620</wp:posOffset>
                </wp:positionV>
                <wp:extent cx="1243965" cy="1270"/>
                <wp:effectExtent l="0" t="0" r="0" b="0"/>
                <wp:wrapNone/>
                <wp:docPr id="8" name=""/>
                <a:graphic xmlns:a="http://schemas.openxmlformats.org/drawingml/2006/main">
                  <a:graphicData uri="http://schemas.microsoft.com/office/word/2010/wordprocessingShape">
                    <wps:wsp>
                      <wps:cNvSpPr/>
                      <wps:spPr>
                        <a:xfrm>
                          <a:off x="0" y="0"/>
                          <a:ext cx="1771560" cy="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0pt,0.6pt" to="139.45pt,0.6pt" stroked="t" style="position:absolute">
                <v:stroke color="black" weight="14040" joinstyle="round" endcap="flat"/>
                <v:fill o:detectmouseclick="t" on="false"/>
              </v:line>
            </w:pict>
          </mc:Fallback>
        </mc:AlternateContent>
      </w:r>
      <w:r>
        <w:rPr>
          <w:rFonts w:ascii="Verdana" w:hAnsi="Verdana"/>
          <w:b/>
          <w:strike w:val="false"/>
          <w:dstrike w:val="false"/>
          <w:color w:val="000000"/>
          <w:spacing w:val="1"/>
          <w:w w:val="100"/>
          <w:sz w:val="12"/>
          <w:vertAlign w:val="superscript"/>
          <w:lang w:val="en-US"/>
        </w:rPr>
        <w:t>9</w:t>
      </w:r>
      <w:r>
        <w:rPr>
          <w:rFonts w:ascii="Arial" w:hAnsi="Arial"/>
          <w:b/>
          <w:strike w:val="false"/>
          <w:dstrike w:val="false"/>
          <w:color w:val="000000"/>
          <w:spacing w:val="1"/>
          <w:w w:val="100"/>
          <w:position w:val="0"/>
          <w:sz w:val="20"/>
          <w:sz w:val="20"/>
          <w:vertAlign w:val="baseline"/>
          <w:lang w:val="en-US"/>
        </w:rPr>
        <w:t xml:space="preserve">1f the production function is homogeneous of degree one and capital is homogeneous, </w:t>
      </w:r>
      <w:r>
        <w:rPr>
          <w:rFonts w:ascii="Arial" w:hAnsi="Arial"/>
          <w:b/>
          <w:strike w:val="false"/>
          <w:dstrike w:val="false"/>
          <w:color w:val="000000"/>
          <w:spacing w:val="-1"/>
          <w:w w:val="100"/>
          <w:position w:val="0"/>
          <w:sz w:val="20"/>
          <w:sz w:val="20"/>
          <w:vertAlign w:val="baseline"/>
          <w:lang w:val="en-US"/>
        </w:rPr>
        <w:t>then the marginal return on corporate capital, FK, will equal the average return, r</w:t>
      </w:r>
      <w:r>
        <w:rPr>
          <w:rFonts w:ascii="Arial" w:hAnsi="Arial"/>
          <w:b/>
          <w:strike w:val="false"/>
          <w:dstrike w:val="false"/>
          <w:color w:val="000000"/>
          <w:spacing w:val="-1"/>
          <w:w w:val="85"/>
          <w:sz w:val="20"/>
          <w:vertAlign w:val="subscript"/>
          <w:lang w:val="en-US"/>
        </w:rPr>
        <w:t>x</w:t>
      </w:r>
      <w:r>
        <w:rPr>
          <w:rFonts w:ascii="Arial" w:hAnsi="Arial"/>
          <w:b/>
          <w:strike w:val="false"/>
          <w:dstrike w:val="false"/>
          <w:color w:val="000000"/>
          <w:spacing w:val="-1"/>
          <w:w w:val="100"/>
          <w:position w:val="0"/>
          <w:sz w:val="20"/>
          <w:sz w:val="20"/>
          <w:vertAlign w:val="baseline"/>
          <w:lang w:val="en-US"/>
        </w:rPr>
        <w:t xml:space="preserve"> above, times </w:t>
      </w:r>
      <w:r>
        <w:rPr>
          <w:rFonts w:ascii="Arial" w:hAnsi="Arial"/>
          <w:b/>
          <w:strike w:val="false"/>
          <w:dstrike w:val="false"/>
          <w:color w:val="000000"/>
          <w:spacing w:val="1"/>
          <w:w w:val="100"/>
          <w:position w:val="0"/>
          <w:sz w:val="20"/>
          <w:sz w:val="20"/>
          <w:vertAlign w:val="baseline"/>
          <w:lang w:val="en-US"/>
        </w:rPr>
        <w:t>the relative price of capital goods (pK/p).</w:t>
      </w:r>
    </w:p>
    <w:p>
      <w:pPr>
        <w:pStyle w:val="Normal"/>
        <w:spacing w:lineRule="auto" w:line="208"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w:t>
      </w:r>
    </w:p>
    <w:p>
      <w:pPr>
        <w:pStyle w:val="Normal"/>
        <w:spacing w:lineRule="auto" w:line="480" w:before="216" w:after="0"/>
        <w:ind w:left="0" w:right="0" w:hanging="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in nonresidential fixed investment was 28.2 percent in 1995, up from 19.9 percent five years earlier, and 9.9 percent in 1980. Since software and intangible assets are used in conjunction </w:t>
      </w:r>
      <w:r>
        <w:rPr>
          <w:rFonts w:ascii="Arial" w:hAnsi="Arial"/>
          <w:b/>
          <w:strike w:val="false"/>
          <w:dstrike w:val="false"/>
          <w:color w:val="000000"/>
          <w:spacing w:val="-1"/>
          <w:w w:val="100"/>
          <w:position w:val="0"/>
          <w:sz w:val="20"/>
          <w:sz w:val="20"/>
          <w:vertAlign w:val="baseline"/>
          <w:lang w:val="en-US"/>
        </w:rPr>
        <w:t xml:space="preserve">with this equipment, the importance of these intangibles may also have increased. In addition, </w:t>
      </w:r>
      <w:r>
        <w:rPr>
          <w:rFonts w:ascii="Arial" w:hAnsi="Arial"/>
          <w:b/>
          <w:strike w:val="false"/>
          <w:dstrike w:val="false"/>
          <w:color w:val="000000"/>
          <w:spacing w:val="0"/>
          <w:w w:val="100"/>
          <w:position w:val="0"/>
          <w:sz w:val="20"/>
          <w:sz w:val="20"/>
          <w:vertAlign w:val="baseline"/>
          <w:lang w:val="en-US"/>
        </w:rPr>
        <w:t xml:space="preserve">the type of capital goods that are the subject of new investment may differ from those in the current capital stock, leading to divergence between average and marginal returns.' Some </w:t>
      </w:r>
      <w:r>
        <w:rPr>
          <w:rFonts w:ascii="Arial" w:hAnsi="Arial"/>
          <w:b/>
          <w:strike w:val="false"/>
          <w:dstrike w:val="false"/>
          <w:color w:val="000000"/>
          <w:spacing w:val="-1"/>
          <w:w w:val="100"/>
          <w:position w:val="0"/>
          <w:sz w:val="20"/>
          <w:sz w:val="20"/>
          <w:vertAlign w:val="baseline"/>
          <w:lang w:val="en-US"/>
        </w:rPr>
        <w:t xml:space="preserve">economic shocks, such as a change in factor prices that renders existing capital relatively unproductive while raising the return to new investments. Although average returns are often </w:t>
      </w:r>
      <w:r>
        <w:rPr>
          <w:rFonts w:ascii="Arial" w:hAnsi="Arial"/>
          <w:b/>
          <w:strike w:val="false"/>
          <w:dstrike w:val="false"/>
          <w:color w:val="000000"/>
          <w:spacing w:val="6"/>
          <w:w w:val="100"/>
          <w:position w:val="0"/>
          <w:sz w:val="20"/>
          <w:sz w:val="20"/>
          <w:vertAlign w:val="baseline"/>
          <w:lang w:val="en-US"/>
        </w:rPr>
        <w:t xml:space="preserve">used as an indication of the potential returns from additional capital investment, it is </w:t>
      </w:r>
      <w:r>
        <w:rPr>
          <w:rFonts w:ascii="Arial" w:hAnsi="Arial"/>
          <w:b/>
          <w:strike w:val="false"/>
          <w:dstrike w:val="false"/>
          <w:color w:val="000000"/>
          <w:spacing w:val="2"/>
          <w:w w:val="100"/>
          <w:position w:val="0"/>
          <w:sz w:val="20"/>
          <w:sz w:val="20"/>
          <w:vertAlign w:val="baseline"/>
          <w:lang w:val="en-US"/>
        </w:rPr>
        <w:t>nevertheless important to remember their limitations.</w:t>
      </w:r>
    </w:p>
    <w:p>
      <w:pPr>
        <w:pStyle w:val="Normal"/>
        <w:spacing w:lineRule="auto" w:line="480" w:before="252" w:after="0"/>
        <w:ind w:left="0" w:right="0" w:firstLine="648"/>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A similar caveat applies with respect to tax burdens. While the tax rate calculations </w:t>
      </w:r>
      <w:r>
        <w:rPr>
          <w:rFonts w:ascii="Arial" w:hAnsi="Arial"/>
          <w:b/>
          <w:strike w:val="false"/>
          <w:dstrike w:val="false"/>
          <w:color w:val="000000"/>
          <w:spacing w:val="0"/>
          <w:w w:val="100"/>
          <w:position w:val="0"/>
          <w:sz w:val="20"/>
          <w:sz w:val="20"/>
          <w:vertAlign w:val="baseline"/>
          <w:lang w:val="en-US"/>
        </w:rPr>
        <w:t xml:space="preserve">embody estimates of weighted average marginal tax rates where possible, for example with respect to individual interest and dividend tax burdens, at several stages they assume that </w:t>
      </w:r>
      <w:r>
        <w:rPr>
          <w:rFonts w:ascii="Arial" w:hAnsi="Arial"/>
          <w:b/>
          <w:strike w:val="false"/>
          <w:dstrike w:val="false"/>
          <w:color w:val="000000"/>
          <w:spacing w:val="2"/>
          <w:w w:val="100"/>
          <w:position w:val="0"/>
          <w:sz w:val="20"/>
          <w:sz w:val="20"/>
          <w:vertAlign w:val="baseline"/>
          <w:lang w:val="en-US"/>
        </w:rPr>
        <w:t xml:space="preserve">marginal corporate projects will be financed in the same fashion as the existing stock of </w:t>
      </w:r>
      <w:r>
        <w:rPr>
          <w:rFonts w:ascii="Arial" w:hAnsi="Arial"/>
          <w:b/>
          <w:strike w:val="false"/>
          <w:dstrike w:val="false"/>
          <w:color w:val="000000"/>
          <w:spacing w:val="0"/>
          <w:w w:val="100"/>
          <w:position w:val="0"/>
          <w:sz w:val="20"/>
          <w:sz w:val="20"/>
          <w:vertAlign w:val="baseline"/>
          <w:lang w:val="en-US"/>
        </w:rPr>
        <w:t xml:space="preserve">projects. While there is no academic consensus on what determines corporate dividend and debt policies, which makes it difficult to improve upon the current "average financial mix" </w:t>
      </w:r>
      <w:r>
        <w:rPr>
          <w:rFonts w:ascii="Arial" w:hAnsi="Arial"/>
          <w:b/>
          <w:strike w:val="false"/>
          <w:dstrike w:val="false"/>
          <w:color w:val="000000"/>
          <w:spacing w:val="-3"/>
          <w:w w:val="100"/>
          <w:position w:val="0"/>
          <w:sz w:val="20"/>
          <w:sz w:val="20"/>
          <w:vertAlign w:val="baseline"/>
          <w:lang w:val="en-US"/>
        </w:rPr>
        <w:t xml:space="preserve">algorithm, it is nevertheless important to flag the average rather than marginal nature of this </w:t>
      </w:r>
      <w:r>
        <w:rPr>
          <w:rFonts w:ascii="Arial" w:hAnsi="Arial"/>
          <w:b/>
          <w:strike w:val="false"/>
          <w:dstrike w:val="false"/>
          <w:color w:val="000000"/>
          <w:spacing w:val="0"/>
          <w:w w:val="100"/>
          <w:position w:val="0"/>
          <w:sz w:val="20"/>
          <w:sz w:val="20"/>
          <w:vertAlign w:val="baseline"/>
          <w:lang w:val="en-US"/>
        </w:rPr>
        <w:t>calculation.</w:t>
      </w:r>
    </w:p>
    <w:p>
      <w:pPr>
        <w:pStyle w:val="Normal"/>
        <w:spacing w:lineRule="auto" w:line="216" w:before="288" w:after="0"/>
        <w:ind w:left="0" w:right="0" w:hanging="0"/>
        <w:jc w:val="center"/>
        <w:rPr>
          <w:rFonts w:ascii="Arial" w:hAnsi="Arial"/>
          <w:b/>
          <w:b/>
          <w:strike w:val="false"/>
          <w:dstrike w:val="false"/>
          <w:color w:val="000000"/>
          <w:spacing w:val="0"/>
          <w:w w:val="100"/>
          <w:position w:val="0"/>
          <w:sz w:val="22"/>
          <w:sz w:val="20"/>
          <w:u w:val="single"/>
          <w:vertAlign w:val="baseline"/>
          <w:lang w:val="en-US"/>
        </w:rPr>
      </w:pPr>
      <w:r>
        <w:rPr>
          <w:rFonts w:ascii="Arial" w:hAnsi="Arial"/>
          <w:b/>
          <w:strike w:val="false"/>
          <w:dstrike w:val="false"/>
          <w:color w:val="000000"/>
          <w:spacing w:val="0"/>
          <w:w w:val="100"/>
          <w:position w:val="0"/>
          <w:sz w:val="20"/>
          <w:sz w:val="20"/>
          <w:u w:val="single"/>
          <w:vertAlign w:val="baseline"/>
          <w:lang w:val="en-US"/>
        </w:rPr>
        <w:t xml:space="preserve">National Income Shares </w:t>
      </w:r>
    </w:p>
    <w:p>
      <w:pPr>
        <w:pStyle w:val="Normal"/>
        <w:spacing w:lineRule="auto" w:line="480" w:before="324" w:after="108"/>
        <w:ind w:left="0" w:right="0" w:firstLine="720"/>
        <w:jc w:val="both"/>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The foregoing discussion has centered on the rate of return to corporate capital, rather </w:t>
      </w:r>
      <w:r>
        <w:rPr>
          <w:rFonts w:ascii="Arial" w:hAnsi="Arial"/>
          <w:b/>
          <w:strike w:val="false"/>
          <w:dstrike w:val="false"/>
          <w:color w:val="000000"/>
          <w:spacing w:val="5"/>
          <w:w w:val="100"/>
          <w:position w:val="0"/>
          <w:sz w:val="20"/>
          <w:sz w:val="20"/>
          <w:vertAlign w:val="baseline"/>
          <w:lang w:val="en-US"/>
        </w:rPr>
        <w:t xml:space="preserve">than the share of corporate capital income in national income. As noted at the outset, </w:t>
      </w:r>
      <w:r>
        <w:rPr>
          <w:rFonts w:ascii="Arial" w:hAnsi="Arial"/>
          <w:b/>
          <w:strike w:val="false"/>
          <w:dstrike w:val="false"/>
          <w:color w:val="000000"/>
          <w:spacing w:val="-1"/>
          <w:w w:val="100"/>
          <w:position w:val="0"/>
          <w:sz w:val="20"/>
          <w:sz w:val="20"/>
          <w:vertAlign w:val="baseline"/>
          <w:lang w:val="en-US"/>
        </w:rPr>
        <w:t>however, the income share and the rate of return are closely related. We now present basic information on the history of profits, corporate capital income, and labor compensation relative</w:t>
      </w:r>
    </w:p>
    <w:p>
      <w:pPr>
        <w:sectPr>
          <w:type w:val="nextPage"/>
          <w:pgSz w:w="12240" w:h="15840"/>
          <w:pgMar w:left="1395" w:right="1335" w:header="0" w:top="1496" w:footer="0" w:bottom="1134" w:gutter="0"/>
          <w:pgNumType w:fmt="decimal"/>
          <w:formProt w:val="false"/>
          <w:textDirection w:val="lrTb"/>
          <w:docGrid w:type="default" w:linePitch="100" w:charSpace="4096"/>
        </w:sectPr>
        <w:pStyle w:val="Normal"/>
        <w:spacing w:lineRule="auto" w:line="240" w:before="180" w:after="0"/>
        <w:ind w:left="0" w:right="0" w:firstLine="360"/>
        <w:jc w:val="both"/>
        <w:rPr>
          <w:rFonts w:ascii="Arial" w:hAnsi="Arial"/>
          <w:b/>
          <w:b/>
          <w:strike w:val="false"/>
          <w:dstrike w:val="false"/>
          <w:color w:val="000000"/>
          <w:spacing w:val="1"/>
          <w:w w:val="100"/>
          <w:position w:val="0"/>
          <w:sz w:val="22"/>
          <w:sz w:val="20"/>
          <w:vertAlign w:val="baseline"/>
          <w:lang w:val="en-US"/>
        </w:rPr>
      </w:pPr>
      <w:r>
        <mc:AlternateContent>
          <mc:Choice Requires="wps">
            <w:drawing>
              <wp:anchor behindDoc="0" distT="0" distB="0" distL="114300" distR="114300" simplePos="0" locked="0" layoutInCell="1" allowOverlap="1" relativeHeight="10">
                <wp:simplePos x="0" y="0"/>
                <wp:positionH relativeFrom="column">
                  <wp:posOffset>0</wp:posOffset>
                </wp:positionH>
                <wp:positionV relativeFrom="paragraph">
                  <wp:posOffset>7620</wp:posOffset>
                </wp:positionV>
                <wp:extent cx="1245870" cy="1270"/>
                <wp:effectExtent l="0" t="0" r="0" b="0"/>
                <wp:wrapNone/>
                <wp:docPr id="9" name=""/>
                <a:graphic xmlns:a="http://schemas.openxmlformats.org/drawingml/2006/main">
                  <a:graphicData uri="http://schemas.microsoft.com/office/word/2010/wordprocessingShape">
                    <wps:wsp>
                      <wps:cNvSpPr/>
                      <wps:spPr>
                        <a:xfrm>
                          <a:off x="0" y="0"/>
                          <a:ext cx="1774080" cy="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0pt,0.6pt" to="139.65pt,0.6pt" stroked="t" style="position:absolute">
                <v:stroke color="black" weight="14040" joinstyle="round" endcap="flat"/>
                <v:fill o:detectmouseclick="t" on="false"/>
              </v:line>
            </w:pict>
          </mc:Fallback>
        </mc:AlternateContent>
      </w:r>
      <w:r>
        <w:rPr>
          <w:rFonts w:ascii="Arial" w:hAnsi="Arial"/>
          <w:b/>
          <w:strike w:val="false"/>
          <w:dstrike w:val="false"/>
          <w:color w:val="000000"/>
          <w:spacing w:val="1"/>
          <w:w w:val="100"/>
          <w:position w:val="0"/>
          <w:sz w:val="20"/>
          <w:sz w:val="20"/>
          <w:vertAlign w:val="baseline"/>
          <w:lang w:val="en-US"/>
        </w:rPr>
        <w:t>'</w:t>
      </w:r>
      <w:r>
        <w:rPr>
          <w:rFonts w:ascii="Arial" w:hAnsi="Arial"/>
          <w:b/>
          <w:strike w:val="false"/>
          <w:dstrike w:val="false"/>
          <w:color w:val="000000"/>
          <w:spacing w:val="1"/>
          <w:w w:val="80"/>
          <w:sz w:val="20"/>
          <w:vertAlign w:val="superscript"/>
          <w:lang w:val="en-US"/>
        </w:rPr>
        <w:t>°</w:t>
      </w:r>
      <w:r>
        <w:rPr>
          <w:rFonts w:ascii="Arial" w:hAnsi="Arial"/>
          <w:b/>
          <w:strike w:val="false"/>
          <w:dstrike w:val="false"/>
          <w:color w:val="000000"/>
          <w:spacing w:val="1"/>
          <w:w w:val="100"/>
          <w:position w:val="0"/>
          <w:sz w:val="20"/>
          <w:sz w:val="20"/>
          <w:vertAlign w:val="baseline"/>
          <w:lang w:val="en-US"/>
        </w:rPr>
        <w:t xml:space="preserve">The "putty-clay" nature of capital goods is a key feature of the models developed by Blanchard (1997) and Caballero and Hammour (1997) to explain recent fluctuations in the rate </w:t>
      </w:r>
      <w:r>
        <w:rPr>
          <w:rFonts w:ascii="Arial" w:hAnsi="Arial"/>
          <w:b/>
          <w:strike w:val="false"/>
          <w:dstrike w:val="false"/>
          <w:color w:val="000000"/>
          <w:spacing w:val="0"/>
          <w:w w:val="100"/>
          <w:position w:val="0"/>
          <w:sz w:val="20"/>
          <w:sz w:val="20"/>
          <w:vertAlign w:val="baseline"/>
          <w:lang w:val="en-US"/>
        </w:rPr>
        <w:t>of return in Europe.</w:t>
      </w:r>
    </w:p>
    <w:p>
      <w:pPr>
        <w:pStyle w:val="Normal"/>
        <w:spacing w:lineRule="auto" w:line="211"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w:t>
      </w:r>
    </w:p>
    <w:p>
      <w:pPr>
        <w:pStyle w:val="Normal"/>
        <w:spacing w:lineRule="auto" w:line="480" w:before="216" w:after="0"/>
        <w:ind w:left="0" w:right="0" w:hanging="0"/>
        <w:jc w:val="both"/>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 xml:space="preserve">to national income." The first column of Table 3 presents time series data on pretax </w:t>
      </w:r>
      <w:r>
        <w:rPr>
          <w:rFonts w:ascii="Arial" w:hAnsi="Arial"/>
          <w:b/>
          <w:strike w:val="false"/>
          <w:dstrike w:val="false"/>
          <w:color w:val="000000"/>
          <w:spacing w:val="2"/>
          <w:w w:val="100"/>
          <w:position w:val="0"/>
          <w:sz w:val="20"/>
          <w:sz w:val="20"/>
          <w:vertAlign w:val="baseline"/>
          <w:lang w:val="en-US"/>
        </w:rPr>
        <w:t xml:space="preserve">corporate profits, including the capital consumption and inventory valuation adjustments, as a percentage of national income. This is the sum of profits from financial and nonfinancial </w:t>
      </w:r>
      <w:r>
        <w:rPr>
          <w:rFonts w:ascii="Arial" w:hAnsi="Arial"/>
          <w:b/>
          <w:strike w:val="false"/>
          <w:dstrike w:val="false"/>
          <w:color w:val="000000"/>
          <w:spacing w:val="-2"/>
          <w:w w:val="100"/>
          <w:position w:val="0"/>
          <w:sz w:val="20"/>
          <w:sz w:val="20"/>
          <w:vertAlign w:val="baseline"/>
          <w:lang w:val="en-US"/>
        </w:rPr>
        <w:t xml:space="preserve">firms, but seignorage earnings of the Federal Reserve Board, which are included in the NIPA </w:t>
      </w:r>
      <w:r>
        <w:rPr>
          <w:rFonts w:ascii="Arial" w:hAnsi="Arial"/>
          <w:b/>
          <w:strike w:val="false"/>
          <w:dstrike w:val="false"/>
          <w:color w:val="000000"/>
          <w:spacing w:val="1"/>
          <w:w w:val="100"/>
          <w:position w:val="0"/>
          <w:sz w:val="20"/>
          <w:sz w:val="20"/>
          <w:vertAlign w:val="baseline"/>
          <w:lang w:val="en-US"/>
        </w:rPr>
        <w:t xml:space="preserve">aggregate for "corporate profits," are excluded from profits in tables in this paper. The data </w:t>
      </w:r>
      <w:r>
        <w:rPr>
          <w:rFonts w:ascii="Arial" w:hAnsi="Arial"/>
          <w:b/>
          <w:strike w:val="false"/>
          <w:dstrike w:val="false"/>
          <w:color w:val="000000"/>
          <w:spacing w:val="0"/>
          <w:w w:val="100"/>
          <w:position w:val="0"/>
          <w:sz w:val="20"/>
          <w:sz w:val="20"/>
          <w:vertAlign w:val="baseline"/>
          <w:lang w:val="en-US"/>
        </w:rPr>
        <w:t xml:space="preserve">show the recent increase in the national income share of corporate profits, as well as the low </w:t>
      </w:r>
      <w:r>
        <w:rPr>
          <w:rFonts w:ascii="Arial" w:hAnsi="Arial"/>
          <w:b/>
          <w:strike w:val="false"/>
          <w:dstrike w:val="false"/>
          <w:color w:val="000000"/>
          <w:spacing w:val="2"/>
          <w:w w:val="100"/>
          <w:position w:val="0"/>
          <w:sz w:val="20"/>
          <w:sz w:val="20"/>
          <w:vertAlign w:val="baseline"/>
          <w:lang w:val="en-US"/>
        </w:rPr>
        <w:t xml:space="preserve">level of profits in the 1980s by comparison to other decades. The national income share of </w:t>
      </w:r>
      <w:r>
        <w:rPr>
          <w:rFonts w:ascii="Arial" w:hAnsi="Arial"/>
          <w:b/>
          <w:strike w:val="false"/>
          <w:dstrike w:val="false"/>
          <w:color w:val="000000"/>
          <w:spacing w:val="6"/>
          <w:w w:val="100"/>
          <w:position w:val="0"/>
          <w:sz w:val="20"/>
          <w:sz w:val="20"/>
          <w:vertAlign w:val="baseline"/>
          <w:lang w:val="en-US"/>
        </w:rPr>
        <w:t xml:space="preserve">profits averaged 12.5 percent in the 1960s, 9.9 percent in the 1970s, 8.0 percent in the </w:t>
      </w:r>
      <w:r>
        <w:rPr>
          <w:rFonts w:ascii="Arial" w:hAnsi="Arial"/>
          <w:b/>
          <w:strike w:val="false"/>
          <w:dstrike w:val="false"/>
          <w:color w:val="000000"/>
          <w:spacing w:val="5"/>
          <w:w w:val="100"/>
          <w:position w:val="0"/>
          <w:sz w:val="20"/>
          <w:sz w:val="20"/>
          <w:vertAlign w:val="baseline"/>
          <w:lang w:val="en-US"/>
        </w:rPr>
        <w:t xml:space="preserve">1980s, and 9.1 percent for the 1990s (1990-1996). This series displays substantial change in the last half decade, with an increase from 8.2 percent in 1992 to 10.5 percent in 1996. </w:t>
      </w:r>
      <w:r>
        <w:rPr>
          <w:rFonts w:ascii="Arial" w:hAnsi="Arial"/>
          <w:b/>
          <w:strike w:val="false"/>
          <w:dstrike w:val="false"/>
          <w:color w:val="000000"/>
          <w:spacing w:val="2"/>
          <w:w w:val="100"/>
          <w:position w:val="0"/>
          <w:sz w:val="20"/>
          <w:sz w:val="20"/>
          <w:vertAlign w:val="baseline"/>
          <w:lang w:val="en-US"/>
        </w:rPr>
        <w:t xml:space="preserve">The lowest ratio of corporate profits to national income for this sample period was observed </w:t>
      </w:r>
      <w:r>
        <w:rPr>
          <w:rFonts w:ascii="Arial" w:hAnsi="Arial"/>
          <w:b/>
          <w:strike w:val="false"/>
          <w:dstrike w:val="false"/>
          <w:color w:val="000000"/>
          <w:spacing w:val="8"/>
          <w:w w:val="100"/>
          <w:position w:val="0"/>
          <w:sz w:val="20"/>
          <w:sz w:val="20"/>
          <w:vertAlign w:val="baseline"/>
          <w:lang w:val="en-US"/>
        </w:rPr>
        <w:t>in 1982 (6.4 percent).</w:t>
      </w:r>
    </w:p>
    <w:p>
      <w:pPr>
        <w:pStyle w:val="Normal"/>
        <w:spacing w:lineRule="auto" w:line="480" w:before="432" w:after="396"/>
        <w:ind w:left="0" w:right="0" w:firstLine="72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second column of Table 3 reports the ratio of profits plus interest payments to </w:t>
      </w:r>
      <w:r>
        <w:rPr>
          <w:rFonts w:ascii="Arial" w:hAnsi="Arial"/>
          <w:b/>
          <w:strike w:val="false"/>
          <w:dstrike w:val="false"/>
          <w:color w:val="000000"/>
          <w:spacing w:val="3"/>
          <w:w w:val="100"/>
          <w:position w:val="0"/>
          <w:sz w:val="20"/>
          <w:sz w:val="20"/>
          <w:vertAlign w:val="baseline"/>
          <w:lang w:val="en-US"/>
        </w:rPr>
        <w:t xml:space="preserve">national income, because this ratio is robust to changes in the mix of corporate payouts </w:t>
      </w:r>
      <w:r>
        <w:rPr>
          <w:rFonts w:ascii="Arial" w:hAnsi="Arial"/>
          <w:b/>
          <w:strike w:val="false"/>
          <w:dstrike w:val="false"/>
          <w:color w:val="000000"/>
          <w:spacing w:val="4"/>
          <w:w w:val="100"/>
          <w:position w:val="0"/>
          <w:sz w:val="20"/>
          <w:sz w:val="20"/>
          <w:vertAlign w:val="baseline"/>
          <w:lang w:val="en-US"/>
        </w:rPr>
        <w:t xml:space="preserve">between debt and equity claimants, and to fluctuations in the nominal interest rate." The </w:t>
      </w:r>
      <w:r>
        <w:rPr>
          <w:rFonts w:ascii="Arial" w:hAnsi="Arial"/>
          <w:b/>
          <w:strike w:val="false"/>
          <w:dstrike w:val="false"/>
          <w:color w:val="000000"/>
          <w:spacing w:val="-4"/>
          <w:w w:val="100"/>
          <w:position w:val="0"/>
          <w:sz w:val="20"/>
          <w:sz w:val="20"/>
          <w:vertAlign w:val="baseline"/>
          <w:lang w:val="en-US"/>
        </w:rPr>
        <w:t xml:space="preserve">profit share of national income and the corporate capital income share move together, but the </w:t>
      </w:r>
      <w:r>
        <w:rPr>
          <w:rFonts w:ascii="Arial" w:hAnsi="Arial"/>
          <w:b/>
          <w:strike w:val="false"/>
          <w:dstrike w:val="false"/>
          <w:color w:val="000000"/>
          <w:spacing w:val="9"/>
          <w:w w:val="100"/>
          <w:position w:val="0"/>
          <w:sz w:val="20"/>
          <w:sz w:val="20"/>
          <w:vertAlign w:val="baseline"/>
          <w:lang w:val="en-US"/>
        </w:rPr>
        <w:t>movements in the latter series are more muted. Between 1992 and 1996, for example,</w:t>
      </w:r>
    </w:p>
    <w:p>
      <w:pPr>
        <w:pStyle w:val="Normal"/>
        <w:spacing w:lineRule="auto" w:line="240" w:before="180" w:after="0"/>
        <w:ind w:left="0" w:right="0" w:firstLine="360"/>
        <w:jc w:val="both"/>
        <w:rPr>
          <w:rFonts w:ascii="Arial" w:hAnsi="Arial"/>
          <w:b/>
          <w:b/>
          <w:strike w:val="false"/>
          <w:dstrike w:val="false"/>
          <w:color w:val="000000"/>
          <w:spacing w:val="5"/>
          <w:w w:val="100"/>
          <w:position w:val="0"/>
          <w:sz w:val="22"/>
          <w:sz w:val="20"/>
          <w:vertAlign w:val="baseline"/>
          <w:lang w:val="en-US"/>
        </w:rPr>
      </w:pPr>
      <w:r>
        <mc:AlternateContent>
          <mc:Choice Requires="wps">
            <w:drawing>
              <wp:anchor behindDoc="0" distT="0" distB="0" distL="114300" distR="114300" simplePos="0" locked="0" layoutInCell="1" allowOverlap="1" relativeHeight="11">
                <wp:simplePos x="0" y="0"/>
                <wp:positionH relativeFrom="column">
                  <wp:posOffset>0</wp:posOffset>
                </wp:positionH>
                <wp:positionV relativeFrom="paragraph">
                  <wp:posOffset>6350</wp:posOffset>
                </wp:positionV>
                <wp:extent cx="1254760" cy="1270"/>
                <wp:effectExtent l="0" t="0" r="0" b="0"/>
                <wp:wrapNone/>
                <wp:docPr id="10" name=""/>
                <a:graphic xmlns:a="http://schemas.openxmlformats.org/drawingml/2006/main">
                  <a:graphicData uri="http://schemas.microsoft.com/office/word/2010/wordprocessingShape">
                    <wps:wsp>
                      <wps:cNvSpPr/>
                      <wps:spPr>
                        <a:xfrm>
                          <a:off x="0" y="0"/>
                          <a:ext cx="178740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140.7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5"/>
          <w:w w:val="100"/>
          <w:position w:val="0"/>
          <w:sz w:val="20"/>
          <w:sz w:val="20"/>
          <w:vertAlign w:val="baseline"/>
          <w:lang w:val="en-US"/>
        </w:rPr>
        <w:t>"</w:t>
      </w:r>
      <w:r>
        <w:rPr>
          <w:rFonts w:ascii="Arial" w:hAnsi="Arial"/>
          <w:b/>
          <w:strike w:val="false"/>
          <w:dstrike w:val="false"/>
          <w:color w:val="000000"/>
          <w:spacing w:val="5"/>
          <w:w w:val="100"/>
          <w:position w:val="0"/>
          <w:sz w:val="20"/>
          <w:sz w:val="20"/>
          <w:vertAlign w:val="baseline"/>
          <w:lang w:val="en-US"/>
        </w:rPr>
        <w:t xml:space="preserve">The year 1959 is the start date for a number of data series in the recently-revised </w:t>
      </w:r>
      <w:r>
        <w:rPr>
          <w:rFonts w:ascii="Arial" w:hAnsi="Arial"/>
          <w:b/>
          <w:strike w:val="false"/>
          <w:dstrike w:val="false"/>
          <w:color w:val="000000"/>
          <w:spacing w:val="1"/>
          <w:w w:val="100"/>
          <w:position w:val="0"/>
          <w:sz w:val="20"/>
          <w:sz w:val="20"/>
          <w:vertAlign w:val="baseline"/>
          <w:lang w:val="en-US"/>
        </w:rPr>
        <w:t xml:space="preserve">national income and product accounts, so it is the beginning of the current paper's sample. </w:t>
      </w:r>
      <w:r>
        <w:rPr>
          <w:rFonts w:ascii="Arial" w:hAnsi="Arial"/>
          <w:b/>
          <w:strike w:val="false"/>
          <w:dstrike w:val="false"/>
          <w:color w:val="000000"/>
          <w:spacing w:val="0"/>
          <w:w w:val="100"/>
          <w:position w:val="0"/>
          <w:sz w:val="20"/>
          <w:sz w:val="20"/>
          <w:vertAlign w:val="baseline"/>
          <w:lang w:val="en-US"/>
        </w:rPr>
        <w:t xml:space="preserve">While the calculations reported here divide profits and corporate capital income by national </w:t>
      </w:r>
      <w:r>
        <w:rPr>
          <w:rFonts w:ascii="Arial" w:hAnsi="Arial"/>
          <w:b/>
          <w:strike w:val="false"/>
          <w:dstrike w:val="false"/>
          <w:color w:val="000000"/>
          <w:spacing w:val="1"/>
          <w:w w:val="100"/>
          <w:position w:val="0"/>
          <w:sz w:val="20"/>
          <w:sz w:val="20"/>
          <w:vertAlign w:val="baseline"/>
          <w:lang w:val="en-US"/>
        </w:rPr>
        <w:t xml:space="preserve">income, the patterns would be similar if these series were divided by GDP. National income </w:t>
      </w:r>
      <w:r>
        <w:rPr>
          <w:rFonts w:ascii="Arial" w:hAnsi="Arial"/>
          <w:b/>
          <w:strike w:val="false"/>
          <w:dstrike w:val="false"/>
          <w:color w:val="000000"/>
          <w:spacing w:val="2"/>
          <w:w w:val="100"/>
          <w:position w:val="0"/>
          <w:sz w:val="20"/>
          <w:sz w:val="20"/>
          <w:vertAlign w:val="baseline"/>
          <w:lang w:val="en-US"/>
        </w:rPr>
        <w:t xml:space="preserve">($6164 billion in 1996) equals GDP ($7576 billion) less capital consumption ($846 billion), </w:t>
      </w:r>
      <w:r>
        <w:rPr>
          <w:rFonts w:ascii="Arial" w:hAnsi="Arial"/>
          <w:b/>
          <w:strike w:val="false"/>
          <w:dstrike w:val="false"/>
          <w:color w:val="000000"/>
          <w:spacing w:val="0"/>
          <w:w w:val="100"/>
          <w:position w:val="0"/>
          <w:sz w:val="20"/>
          <w:sz w:val="20"/>
          <w:vertAlign w:val="baseline"/>
          <w:lang w:val="en-US"/>
        </w:rPr>
        <w:t xml:space="preserve">indirect business taxes ($618 billion), and small adjustments for the net international flow of </w:t>
      </w:r>
      <w:r>
        <w:rPr>
          <w:rFonts w:ascii="Arial" w:hAnsi="Arial"/>
          <w:b/>
          <w:strike w:val="false"/>
          <w:dstrike w:val="false"/>
          <w:color w:val="000000"/>
          <w:spacing w:val="2"/>
          <w:w w:val="100"/>
          <w:position w:val="0"/>
          <w:sz w:val="20"/>
          <w:sz w:val="20"/>
          <w:vertAlign w:val="baseline"/>
          <w:lang w:val="en-US"/>
        </w:rPr>
        <w:t>factor income and for the subsidies of government enterprises.</w:t>
      </w:r>
    </w:p>
    <w:p>
      <w:pPr>
        <w:sectPr>
          <w:type w:val="nextPage"/>
          <w:pgSz w:w="12240" w:h="15840"/>
          <w:pgMar w:left="1395" w:right="1335" w:header="0" w:top="1518" w:footer="0" w:bottom="1452" w:gutter="0"/>
          <w:pgNumType w:fmt="decimal"/>
          <w:formProt w:val="false"/>
          <w:textDirection w:val="lrTb"/>
          <w:docGrid w:type="default" w:linePitch="100" w:charSpace="4096"/>
        </w:sectPr>
        <w:pStyle w:val="Normal"/>
        <w:spacing w:lineRule="auto" w:line="240" w:before="324" w:after="0"/>
        <w:ind w:left="0" w:right="0" w:firstLine="360"/>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"Property taxes, which are considered an indirect tax in the NIPA, are not included in </w:t>
      </w:r>
      <w:r>
        <w:rPr>
          <w:rFonts w:ascii="Arial" w:hAnsi="Arial"/>
          <w:b/>
          <w:strike w:val="false"/>
          <w:dstrike w:val="false"/>
          <w:color w:val="000000"/>
          <w:spacing w:val="1"/>
          <w:w w:val="100"/>
          <w:position w:val="0"/>
          <w:sz w:val="20"/>
          <w:sz w:val="20"/>
          <w:vertAlign w:val="baseline"/>
          <w:lang w:val="en-US"/>
        </w:rPr>
        <w:t xml:space="preserve">national income. They are therefore excluded from the capital income share calculations in </w:t>
      </w:r>
      <w:r>
        <w:rPr>
          <w:rFonts w:ascii="Arial" w:hAnsi="Arial"/>
          <w:b/>
          <w:strike w:val="false"/>
          <w:dstrike w:val="false"/>
          <w:color w:val="000000"/>
          <w:spacing w:val="4"/>
          <w:w w:val="100"/>
          <w:position w:val="0"/>
          <w:sz w:val="20"/>
          <w:sz w:val="20"/>
          <w:vertAlign w:val="baseline"/>
          <w:lang w:val="en-US"/>
        </w:rPr>
        <w:t xml:space="preserve">Table 3. The results would not be substantially different if national income were expanded </w:t>
      </w:r>
      <w:r>
        <w:rPr>
          <w:rFonts w:ascii="Arial" w:hAnsi="Arial"/>
          <w:b/>
          <w:strike w:val="false"/>
          <w:dstrike w:val="false"/>
          <w:color w:val="000000"/>
          <w:spacing w:val="2"/>
          <w:w w:val="100"/>
          <w:position w:val="0"/>
          <w:sz w:val="20"/>
          <w:sz w:val="20"/>
          <w:vertAlign w:val="baseline"/>
          <w:lang w:val="en-US"/>
        </w:rPr>
        <w:t>to include property taxes, and these taxes were added to pre-tax corporate capital income.</w:t>
      </w:r>
    </w:p>
    <w:p>
      <w:pPr>
        <w:pStyle w:val="Normal"/>
        <w:spacing w:lineRule="exact" w:line="201"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w:t>
      </w:r>
    </w:p>
    <w:p>
      <w:pPr>
        <w:pStyle w:val="Normal"/>
        <w:spacing w:lineRule="exact" w:line="431" w:before="144" w:after="0"/>
        <w:ind w:left="0" w:right="0" w:hanging="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corporate capital income as a share of national income rose 2.0 percentage points, compared </w:t>
      </w:r>
      <w:r>
        <w:rPr>
          <w:rFonts w:ascii="Arial" w:hAnsi="Arial"/>
          <w:b/>
          <w:strike w:val="false"/>
          <w:dstrike w:val="false"/>
          <w:color w:val="000000"/>
          <w:spacing w:val="3"/>
          <w:w w:val="100"/>
          <w:position w:val="0"/>
          <w:sz w:val="20"/>
          <w:sz w:val="20"/>
          <w:vertAlign w:val="baseline"/>
          <w:lang w:val="en-US"/>
        </w:rPr>
        <w:t xml:space="preserve">with a 2.3 percentage point rise for the profit-to-national income ratio. In 1992, corporate </w:t>
      </w:r>
      <w:r>
        <w:rPr>
          <w:rFonts w:ascii="Arial" w:hAnsi="Arial"/>
          <w:b/>
          <w:strike w:val="false"/>
          <w:dstrike w:val="false"/>
          <w:color w:val="000000"/>
          <w:spacing w:val="-1"/>
          <w:w w:val="100"/>
          <w:position w:val="0"/>
          <w:sz w:val="20"/>
          <w:sz w:val="20"/>
          <w:vertAlign w:val="baseline"/>
          <w:lang w:val="en-US"/>
        </w:rPr>
        <w:t xml:space="preserve">capital income as a share of national income declined by more than the coincident decline in </w:t>
      </w:r>
      <w:r>
        <w:rPr>
          <w:rFonts w:ascii="Arial" w:hAnsi="Arial"/>
          <w:b/>
          <w:strike w:val="false"/>
          <w:dstrike w:val="false"/>
          <w:color w:val="000000"/>
          <w:spacing w:val="2"/>
          <w:w w:val="100"/>
          <w:position w:val="0"/>
          <w:sz w:val="20"/>
          <w:sz w:val="20"/>
          <w:vertAlign w:val="baseline"/>
          <w:lang w:val="en-US"/>
        </w:rPr>
        <w:t>profits as a share of national income.</w:t>
      </w:r>
    </w:p>
    <w:p>
      <w:pPr>
        <w:pStyle w:val="Normal"/>
        <w:spacing w:lineRule="exact" w:line="468" w:before="180" w:after="0"/>
        <w:ind w:left="0" w:right="0" w:firstLine="648"/>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comparison of the first and second columns shows that part of the increase in </w:t>
      </w:r>
      <w:r>
        <w:rPr>
          <w:rFonts w:ascii="Arial" w:hAnsi="Arial"/>
          <w:b/>
          <w:strike w:val="false"/>
          <w:dstrike w:val="false"/>
          <w:color w:val="000000"/>
          <w:spacing w:val="0"/>
          <w:w w:val="100"/>
          <w:position w:val="0"/>
          <w:sz w:val="20"/>
          <w:sz w:val="20"/>
          <w:vertAlign w:val="baseline"/>
          <w:lang w:val="en-US"/>
        </w:rPr>
        <w:t xml:space="preserve">corporate profits during the last half decade reflects a shift in the allocation of corporate cash </w:t>
      </w:r>
      <w:r>
        <w:rPr>
          <w:rFonts w:ascii="Arial" w:hAnsi="Arial"/>
          <w:b/>
          <w:strike w:val="false"/>
          <w:dstrike w:val="false"/>
          <w:color w:val="000000"/>
          <w:spacing w:val="5"/>
          <w:w w:val="100"/>
          <w:position w:val="0"/>
          <w:sz w:val="20"/>
          <w:sz w:val="20"/>
          <w:vertAlign w:val="baseline"/>
          <w:lang w:val="en-US"/>
        </w:rPr>
        <w:t xml:space="preserve">flow from interest payouts to dividends and retained earnings. In 1990, the ratio of net </w:t>
      </w:r>
      <w:r>
        <w:rPr>
          <w:rFonts w:ascii="Arial" w:hAnsi="Arial"/>
          <w:b/>
          <w:strike w:val="false"/>
          <w:dstrike w:val="false"/>
          <w:color w:val="000000"/>
          <w:spacing w:val="2"/>
          <w:w w:val="100"/>
          <w:position w:val="0"/>
          <w:sz w:val="20"/>
          <w:sz w:val="20"/>
          <w:vertAlign w:val="baseline"/>
          <w:lang w:val="en-US"/>
        </w:rPr>
        <w:t xml:space="preserve">interest payments by domestic corporations to dividend payments by these firms equalled </w:t>
      </w:r>
      <w:r>
        <w:rPr>
          <w:rFonts w:ascii="Arial" w:hAnsi="Arial"/>
          <w:b/>
          <w:strike w:val="false"/>
          <w:dstrike w:val="false"/>
          <w:color w:val="000000"/>
          <w:spacing w:val="6"/>
          <w:w w:val="100"/>
          <w:position w:val="0"/>
          <w:sz w:val="20"/>
          <w:sz w:val="20"/>
          <w:vertAlign w:val="baseline"/>
          <w:lang w:val="en-US"/>
        </w:rPr>
        <w:t xml:space="preserve">113.5 percent. By 1996, this ratio had declined to 56.2 percent. The decline of interest </w:t>
      </w:r>
      <w:r>
        <w:rPr>
          <w:rFonts w:ascii="Arial" w:hAnsi="Arial"/>
          <w:b/>
          <w:strike w:val="false"/>
          <w:dstrike w:val="false"/>
          <w:color w:val="000000"/>
          <w:spacing w:val="2"/>
          <w:w w:val="100"/>
          <w:position w:val="0"/>
          <w:sz w:val="20"/>
          <w:sz w:val="20"/>
          <w:vertAlign w:val="baseline"/>
          <w:lang w:val="en-US"/>
        </w:rPr>
        <w:t xml:space="preserve">payouts reflects falling nominal interest rates as well as a changing debt-to-capital ratio. In </w:t>
      </w:r>
      <w:r>
        <w:rPr>
          <w:rFonts w:ascii="Arial" w:hAnsi="Arial"/>
          <w:b/>
          <w:strike w:val="false"/>
          <w:dstrike w:val="false"/>
          <w:color w:val="000000"/>
          <w:spacing w:val="5"/>
          <w:w w:val="100"/>
          <w:position w:val="0"/>
          <w:sz w:val="20"/>
          <w:sz w:val="20"/>
          <w:vertAlign w:val="baseline"/>
          <w:lang w:val="en-US"/>
        </w:rPr>
        <w:t>1990, the BAA interest rate averaged 10.36 percent, compared with 8.29 percent in mid-</w:t>
      </w:r>
      <w:r>
        <w:rPr>
          <w:rFonts w:ascii="Arial" w:hAnsi="Arial"/>
          <w:b/>
          <w:strike w:val="false"/>
          <w:dstrike w:val="false"/>
          <w:color w:val="000000"/>
          <w:spacing w:val="7"/>
          <w:w w:val="100"/>
          <w:position w:val="0"/>
          <w:sz w:val="20"/>
          <w:sz w:val="20"/>
          <w:vertAlign w:val="baseline"/>
          <w:lang w:val="en-US"/>
        </w:rPr>
        <w:t xml:space="preserve">1996. If the interest rate on all corporate borrowing in 1990 had been (8.29/10.36) times </w:t>
      </w:r>
      <w:r>
        <w:rPr>
          <w:rFonts w:ascii="Arial" w:hAnsi="Arial"/>
          <w:b/>
          <w:strike w:val="false"/>
          <w:dstrike w:val="false"/>
          <w:color w:val="000000"/>
          <w:spacing w:val="1"/>
          <w:w w:val="100"/>
          <w:position w:val="0"/>
          <w:sz w:val="20"/>
          <w:sz w:val="20"/>
          <w:vertAlign w:val="baseline"/>
          <w:lang w:val="en-US"/>
        </w:rPr>
        <w:t xml:space="preserve">its actual level, then the ratio of interest to dividend payouts would have been 90.8 percent, </w:t>
      </w:r>
      <w:r>
        <w:rPr>
          <w:rFonts w:ascii="Arial" w:hAnsi="Arial"/>
          <w:b/>
          <w:strike w:val="false"/>
          <w:dstrike w:val="false"/>
          <w:color w:val="000000"/>
          <w:spacing w:val="-1"/>
          <w:w w:val="100"/>
          <w:position w:val="0"/>
          <w:sz w:val="20"/>
          <w:sz w:val="20"/>
          <w:vertAlign w:val="baseline"/>
          <w:lang w:val="en-US"/>
        </w:rPr>
        <w:t xml:space="preserve">rather than 113.5 percent. This suggests that changes in nominal interest rates can explain </w:t>
      </w:r>
      <w:r>
        <w:rPr>
          <w:rFonts w:ascii="Arial" w:hAnsi="Arial"/>
          <w:b/>
          <w:strike w:val="false"/>
          <w:dstrike w:val="false"/>
          <w:color w:val="000000"/>
          <w:spacing w:val="3"/>
          <w:w w:val="100"/>
          <w:position w:val="0"/>
          <w:sz w:val="20"/>
          <w:sz w:val="20"/>
          <w:vertAlign w:val="baseline"/>
          <w:lang w:val="en-US"/>
        </w:rPr>
        <w:t>approximately half of the movement in this ratio over the last six years.</w:t>
      </w:r>
    </w:p>
    <w:p>
      <w:pPr>
        <w:pStyle w:val="Normal"/>
        <w:spacing w:lineRule="exact" w:line="365" w:before="180" w:after="0"/>
        <w:ind w:left="0" w:right="0" w:firstLine="648"/>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ratio of corporate capital income to national income (Y) can be decomposed into </w:t>
      </w:r>
      <w:r>
        <w:rPr>
          <w:rFonts w:ascii="Arial" w:hAnsi="Arial"/>
          <w:b/>
          <w:strike w:val="false"/>
          <w:dstrike w:val="false"/>
          <w:color w:val="000000"/>
          <w:spacing w:val="4"/>
          <w:w w:val="100"/>
          <w:position w:val="0"/>
          <w:sz w:val="20"/>
          <w:sz w:val="20"/>
          <w:vertAlign w:val="baseline"/>
          <w:lang w:val="en-US"/>
        </w:rPr>
        <w:t>the product of two ratios:</w:t>
      </w:r>
    </w:p>
    <w:p>
      <w:pPr>
        <w:pStyle w:val="Normal"/>
        <w:tabs>
          <w:tab w:val="clear" w:pos="720"/>
          <w:tab w:val="right" w:pos="8555" w:leader="none"/>
        </w:tabs>
        <w:spacing w:lineRule="exact" w:line="258" w:before="180" w:after="0"/>
        <w:ind w:left="72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(Profits + Interest)/Y = ((Profits + Interest)/Assets)*(Assets/Y).</w:t>
        <w:tab/>
      </w:r>
      <w:r>
        <w:rPr>
          <w:rFonts w:ascii="Arial" w:hAnsi="Arial"/>
          <w:b/>
          <w:strike w:val="false"/>
          <w:dstrike w:val="false"/>
          <w:color w:val="000000"/>
          <w:spacing w:val="0"/>
          <w:w w:val="100"/>
          <w:position w:val="0"/>
          <w:sz w:val="20"/>
          <w:sz w:val="20"/>
          <w:vertAlign w:val="baseline"/>
          <w:lang w:val="en-US"/>
        </w:rPr>
        <w:t>(7)</w:t>
      </w:r>
    </w:p>
    <w:p>
      <w:pPr>
        <w:pStyle w:val="Normal"/>
        <w:spacing w:lineRule="exact" w:line="433" w:before="180" w:after="0"/>
        <w:ind w:left="0" w:right="0" w:hanging="0"/>
        <w:jc w:val="both"/>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For the purposes of this calculation, tangible assets are measured at replacement cost (p</w:t>
      </w:r>
      <w:r>
        <w:rPr>
          <w:rFonts w:ascii="Arial" w:hAnsi="Arial"/>
          <w:b/>
          <w:strike w:val="false"/>
          <w:dstrike w:val="false"/>
          <w:color w:val="000000"/>
          <w:spacing w:val="2"/>
          <w:w w:val="85"/>
          <w:sz w:val="20"/>
          <w:vertAlign w:val="subscript"/>
          <w:lang w:val="en-US"/>
        </w:rPr>
        <w:t>K</w:t>
      </w:r>
      <w:r>
        <w:rPr>
          <w:rFonts w:ascii="Arial" w:hAnsi="Arial"/>
          <w:b/>
          <w:strike w:val="false"/>
          <w:dstrike w:val="false"/>
          <w:color w:val="000000"/>
          <w:spacing w:val="2"/>
          <w:w w:val="100"/>
          <w:position w:val="0"/>
          <w:sz w:val="20"/>
          <w:sz w:val="20"/>
          <w:vertAlign w:val="baseline"/>
          <w:lang w:val="en-US"/>
        </w:rPr>
        <w:t xml:space="preserve">K </w:t>
      </w:r>
      <w:r>
        <w:rPr>
          <w:rFonts w:ascii="Arial" w:hAnsi="Arial"/>
          <w:b/>
          <w:strike w:val="false"/>
          <w:dstrike w:val="false"/>
          <w:color w:val="000000"/>
          <w:spacing w:val="1"/>
          <w:w w:val="100"/>
          <w:position w:val="0"/>
          <w:sz w:val="20"/>
          <w:sz w:val="20"/>
          <w:vertAlign w:val="baseline"/>
          <w:lang w:val="en-US"/>
        </w:rPr>
        <w:t xml:space="preserve">in the notation above) and they include assets held both by the financial and non-financial </w:t>
      </w:r>
      <w:r>
        <w:rPr>
          <w:rFonts w:ascii="Arial" w:hAnsi="Arial"/>
          <w:b/>
          <w:strike w:val="false"/>
          <w:dstrike w:val="false"/>
          <w:color w:val="000000"/>
          <w:spacing w:val="-1"/>
          <w:w w:val="100"/>
          <w:position w:val="0"/>
          <w:sz w:val="20"/>
          <w:sz w:val="20"/>
          <w:vertAlign w:val="baseline"/>
          <w:lang w:val="en-US"/>
        </w:rPr>
        <w:t xml:space="preserve">sectors. Tangible assets for the entire corporate sector were estimated, using data from the </w:t>
      </w:r>
      <w:r>
        <w:rPr>
          <w:rFonts w:ascii="Arial" w:hAnsi="Arial"/>
          <w:b/>
          <w:strike w:val="false"/>
          <w:dstrike w:val="false"/>
          <w:color w:val="000000"/>
          <w:spacing w:val="1"/>
          <w:w w:val="100"/>
          <w:position w:val="0"/>
          <w:sz w:val="21"/>
          <w:sz w:val="21"/>
          <w:u w:val="single"/>
          <w:vertAlign w:val="baseline"/>
          <w:lang w:val="en-US"/>
        </w:rPr>
        <w:t>Balance Sheets of the U.S. Economy</w:t>
      </w:r>
      <w:r>
        <w:rPr>
          <w:rFonts w:ascii="Arial" w:hAnsi="Arial"/>
          <w:b/>
          <w:strike w:val="false"/>
          <w:dstrike w:val="false"/>
          <w:color w:val="000000"/>
          <w:spacing w:val="1"/>
          <w:w w:val="100"/>
          <w:position w:val="0"/>
          <w:sz w:val="20"/>
          <w:sz w:val="20"/>
          <w:vertAlign w:val="baseline"/>
          <w:lang w:val="en-US"/>
        </w:rPr>
        <w:t xml:space="preserve"> as a starting point, as described above.</w:t>
      </w:r>
    </w:p>
    <w:p>
      <w:pPr>
        <w:sectPr>
          <w:type w:val="nextPage"/>
          <w:pgSz w:w="12240" w:h="15840"/>
          <w:pgMar w:left="1415" w:right="1315" w:header="0" w:top="1460" w:footer="0" w:bottom="1510" w:gutter="0"/>
          <w:pgNumType w:fmt="decimal"/>
          <w:formProt w:val="false"/>
          <w:textDirection w:val="lrTb"/>
          <w:docGrid w:type="default" w:linePitch="100" w:charSpace="4096"/>
        </w:sectPr>
        <w:pStyle w:val="Normal"/>
        <w:spacing w:lineRule="exact" w:line="366" w:before="144" w:after="0"/>
        <w:ind w:left="0" w:right="0" w:firstLine="648"/>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The third and fourth columns of Table 3 show the two ratios that are multiplied on the </w:t>
      </w:r>
      <w:r>
        <w:rPr>
          <w:rFonts w:ascii="Arial" w:hAnsi="Arial"/>
          <w:b/>
          <w:strike w:val="false"/>
          <w:dstrike w:val="false"/>
          <w:color w:val="000000"/>
          <w:spacing w:val="1"/>
          <w:w w:val="100"/>
          <w:position w:val="0"/>
          <w:sz w:val="20"/>
          <w:sz w:val="20"/>
          <w:vertAlign w:val="baseline"/>
          <w:lang w:val="en-US"/>
        </w:rPr>
        <w:t>right hand side of (7). The third column is very similar to the rates of return discussed above;</w:t>
      </w:r>
    </w:p>
    <w:p>
      <w:pPr>
        <w:pStyle w:val="Normal"/>
        <w:spacing w:lineRule="exact" w:line="204"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w:t>
      </w:r>
    </w:p>
    <w:p>
      <w:pPr>
        <w:pStyle w:val="Normal"/>
        <w:spacing w:lineRule="exact" w:line="465" w:before="144" w:after="0"/>
        <w:ind w:left="0" w:right="72" w:hanging="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it applies to the entire corporate sector rather than the nonfinancial corporate sector. The </w:t>
      </w:r>
      <w:r>
        <w:rPr>
          <w:rFonts w:ascii="Arial" w:hAnsi="Arial"/>
          <w:b/>
          <w:strike w:val="false"/>
          <w:dstrike w:val="false"/>
          <w:color w:val="000000"/>
          <w:spacing w:val="-1"/>
          <w:w w:val="100"/>
          <w:position w:val="0"/>
          <w:sz w:val="20"/>
          <w:sz w:val="20"/>
          <w:vertAlign w:val="baseline"/>
          <w:lang w:val="en-US"/>
        </w:rPr>
        <w:t xml:space="preserve">movements are similar, and will not be discussed further. The last column in Table 3, which </w:t>
      </w:r>
      <w:r>
        <w:rPr>
          <w:rFonts w:ascii="Arial" w:hAnsi="Arial"/>
          <w:b/>
          <w:strike w:val="false"/>
          <w:dstrike w:val="false"/>
          <w:color w:val="000000"/>
          <w:spacing w:val="1"/>
          <w:w w:val="100"/>
          <w:position w:val="0"/>
          <w:sz w:val="20"/>
          <w:sz w:val="20"/>
          <w:vertAlign w:val="baseline"/>
          <w:lang w:val="en-US"/>
        </w:rPr>
        <w:t>reports the ratio of tangible assets to national income, is more interesting. This capital-to</w:t>
        <w:softHyphen/>
      </w:r>
      <w:r>
        <w:rPr>
          <w:rFonts w:ascii="Arial" w:hAnsi="Arial"/>
          <w:b/>
          <w:strike w:val="false"/>
          <w:dstrike w:val="false"/>
          <w:color w:val="000000"/>
          <w:spacing w:val="3"/>
          <w:w w:val="100"/>
          <w:position w:val="0"/>
          <w:sz w:val="20"/>
          <w:sz w:val="20"/>
          <w:vertAlign w:val="baseline"/>
          <w:lang w:val="en-US"/>
        </w:rPr>
        <w:t>output ratio averages 1.68 over the 1959-1996 period, with some variation. The asset-to</w:t>
        <w:softHyphen/>
      </w:r>
      <w:r>
        <w:rPr>
          <w:rFonts w:ascii="Arial" w:hAnsi="Arial"/>
          <w:b/>
          <w:strike w:val="false"/>
          <w:dstrike w:val="false"/>
          <w:color w:val="000000"/>
          <w:spacing w:val="2"/>
          <w:w w:val="100"/>
          <w:position w:val="0"/>
          <w:sz w:val="20"/>
          <w:sz w:val="20"/>
          <w:vertAlign w:val="baseline"/>
          <w:lang w:val="en-US"/>
        </w:rPr>
        <w:t xml:space="preserve">income ratio rises throughout the 1970s and early 1980s, and then begins to decline in the </w:t>
      </w:r>
      <w:r>
        <w:rPr>
          <w:rFonts w:ascii="Arial" w:hAnsi="Arial"/>
          <w:b/>
          <w:strike w:val="false"/>
          <w:dstrike w:val="false"/>
          <w:color w:val="000000"/>
          <w:spacing w:val="3"/>
          <w:w w:val="100"/>
          <w:position w:val="0"/>
          <w:sz w:val="20"/>
          <w:sz w:val="20"/>
          <w:vertAlign w:val="baseline"/>
          <w:lang w:val="en-US"/>
        </w:rPr>
        <w:t xml:space="preserve">mid-1980s. It declines more rapidly in the 1990s than in the previous decade. The ratio of </w:t>
      </w:r>
      <w:r>
        <w:rPr>
          <w:rFonts w:ascii="Arial" w:hAnsi="Arial"/>
          <w:b/>
          <w:strike w:val="false"/>
          <w:dstrike w:val="false"/>
          <w:color w:val="000000"/>
          <w:spacing w:val="0"/>
          <w:w w:val="100"/>
          <w:position w:val="0"/>
          <w:sz w:val="20"/>
          <w:sz w:val="20"/>
          <w:vertAlign w:val="baseline"/>
          <w:lang w:val="en-US"/>
        </w:rPr>
        <w:t xml:space="preserve">the replacement value of corporate assets to national income declined from an average value </w:t>
      </w:r>
      <w:r>
        <w:rPr>
          <w:rFonts w:ascii="Arial" w:hAnsi="Arial"/>
          <w:b/>
          <w:strike w:val="false"/>
          <w:dstrike w:val="false"/>
          <w:color w:val="000000"/>
          <w:spacing w:val="2"/>
          <w:w w:val="100"/>
          <w:position w:val="0"/>
          <w:sz w:val="20"/>
          <w:sz w:val="20"/>
          <w:vertAlign w:val="baseline"/>
          <w:lang w:val="en-US"/>
        </w:rPr>
        <w:t xml:space="preserve">of 1.59 in 1990-92, to 1.35 in 1996, a decline of just over fifteen percent. The ratio of the </w:t>
      </w:r>
      <w:r>
        <w:rPr>
          <w:rFonts w:ascii="Arial" w:hAnsi="Arial"/>
          <w:b/>
          <w:strike w:val="false"/>
          <w:dstrike w:val="false"/>
          <w:color w:val="000000"/>
          <w:spacing w:val="3"/>
          <w:w w:val="100"/>
          <w:position w:val="0"/>
          <w:sz w:val="20"/>
          <w:sz w:val="20"/>
          <w:vertAlign w:val="baseline"/>
          <w:lang w:val="en-US"/>
        </w:rPr>
        <w:t xml:space="preserve">replacement value of the capital stock to national income is now at its lowest level in the </w:t>
      </w:r>
      <w:r>
        <w:rPr>
          <w:rFonts w:ascii="Arial" w:hAnsi="Arial"/>
          <w:b/>
          <w:strike w:val="false"/>
          <w:dstrike w:val="false"/>
          <w:color w:val="000000"/>
          <w:spacing w:val="4"/>
          <w:w w:val="100"/>
          <w:position w:val="0"/>
          <w:sz w:val="20"/>
          <w:sz w:val="20"/>
          <w:vertAlign w:val="baseline"/>
          <w:lang w:val="en-US"/>
        </w:rPr>
        <w:t>post-1959 period.</w:t>
      </w:r>
    </w:p>
    <w:p>
      <w:pPr>
        <w:pStyle w:val="Normal"/>
        <w:spacing w:lineRule="exact" w:line="467" w:before="180" w:after="0"/>
        <w:ind w:left="0" w:right="72" w:firstLine="648"/>
        <w:jc w:val="both"/>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The recent decline in the assets-to-national income ratio (p</w:t>
      </w:r>
      <w:r>
        <w:rPr>
          <w:rFonts w:ascii="Tahoma" w:hAnsi="Tahoma"/>
          <w:b/>
          <w:strike w:val="false"/>
          <w:dstrike w:val="false"/>
          <w:color w:val="000000"/>
          <w:spacing w:val="2"/>
          <w:w w:val="100"/>
          <w:sz w:val="20"/>
          <w:vertAlign w:val="subscript"/>
          <w:lang w:val="en-US"/>
        </w:rPr>
        <w:t>K</w:t>
      </w:r>
      <w:r>
        <w:rPr>
          <w:rFonts w:ascii="Arial" w:hAnsi="Arial"/>
          <w:b/>
          <w:strike w:val="false"/>
          <w:dstrike w:val="false"/>
          <w:color w:val="000000"/>
          <w:spacing w:val="2"/>
          <w:w w:val="100"/>
          <w:position w:val="0"/>
          <w:sz w:val="20"/>
          <w:sz w:val="20"/>
          <w:vertAlign w:val="baseline"/>
          <w:lang w:val="en-US"/>
        </w:rPr>
        <w:t>K/pY) is the result of changes in the relative price of tangible assets, p</w:t>
      </w:r>
      <w:r>
        <w:rPr>
          <w:rFonts w:ascii="Tahoma" w:hAnsi="Tahoma"/>
          <w:b/>
          <w:strike w:val="false"/>
          <w:dstrike w:val="false"/>
          <w:color w:val="000000"/>
          <w:spacing w:val="2"/>
          <w:w w:val="100"/>
          <w:sz w:val="20"/>
          <w:vertAlign w:val="subscript"/>
          <w:lang w:val="en-US"/>
        </w:rPr>
        <w:t>K</w:t>
      </w:r>
      <w:r>
        <w:rPr>
          <w:rFonts w:ascii="Arial" w:hAnsi="Arial"/>
          <w:b/>
          <w:strike w:val="false"/>
          <w:dstrike w:val="false"/>
          <w:color w:val="000000"/>
          <w:spacing w:val="2"/>
          <w:w w:val="100"/>
          <w:position w:val="0"/>
          <w:sz w:val="20"/>
          <w:sz w:val="20"/>
          <w:vertAlign w:val="baseline"/>
          <w:lang w:val="en-US"/>
        </w:rPr>
        <w:t xml:space="preserve">/p, not changes in the ratio of physical </w:t>
      </w:r>
      <w:r>
        <w:rPr>
          <w:rFonts w:ascii="Arial" w:hAnsi="Arial"/>
          <w:b/>
          <w:strike w:val="false"/>
          <w:dstrike w:val="false"/>
          <w:color w:val="000000"/>
          <w:spacing w:val="0"/>
          <w:w w:val="100"/>
          <w:position w:val="0"/>
          <w:sz w:val="20"/>
          <w:sz w:val="20"/>
          <w:vertAlign w:val="baseline"/>
          <w:lang w:val="en-US"/>
        </w:rPr>
        <w:t xml:space="preserve">capital to output </w:t>
      </w:r>
      <w:r>
        <w:rPr>
          <w:rFonts w:ascii="Verdana" w:hAnsi="Verdana"/>
          <w:b/>
          <w:i/>
          <w:strike w:val="false"/>
          <w:dstrike w:val="false"/>
          <w:color w:val="000000"/>
          <w:spacing w:val="0"/>
          <w:w w:val="100"/>
          <w:position w:val="0"/>
          <w:sz w:val="20"/>
          <w:sz w:val="20"/>
          <w:vertAlign w:val="baseline"/>
          <w:lang w:val="en-US"/>
        </w:rPr>
        <w:t xml:space="preserve">(KN). </w:t>
      </w:r>
      <w:r>
        <w:rPr>
          <w:rFonts w:ascii="Arial" w:hAnsi="Arial"/>
          <w:b/>
          <w:strike w:val="false"/>
          <w:dstrike w:val="false"/>
          <w:color w:val="000000"/>
          <w:spacing w:val="0"/>
          <w:w w:val="100"/>
          <w:position w:val="0"/>
          <w:sz w:val="20"/>
          <w:sz w:val="20"/>
          <w:vertAlign w:val="baseline"/>
          <w:lang w:val="en-US"/>
        </w:rPr>
        <w:t xml:space="preserve">The year-end replacement value of plant and equipment relative to </w:t>
      </w:r>
      <w:r>
        <w:rPr>
          <w:rFonts w:ascii="Arial" w:hAnsi="Arial"/>
          <w:b/>
          <w:strike w:val="false"/>
          <w:dstrike w:val="false"/>
          <w:color w:val="000000"/>
          <w:spacing w:val="5"/>
          <w:w w:val="100"/>
          <w:position w:val="0"/>
          <w:sz w:val="20"/>
          <w:sz w:val="20"/>
          <w:vertAlign w:val="baseline"/>
          <w:lang w:val="en-US"/>
        </w:rPr>
        <w:t xml:space="preserve">national income declines by three percent (from 1.106 to 1.074) between 1990 and 1994, </w:t>
      </w:r>
      <w:r>
        <w:rPr>
          <w:rFonts w:ascii="Arial" w:hAnsi="Arial"/>
          <w:b/>
          <w:strike w:val="false"/>
          <w:dstrike w:val="false"/>
          <w:color w:val="000000"/>
          <w:spacing w:val="0"/>
          <w:w w:val="100"/>
          <w:position w:val="0"/>
          <w:sz w:val="20"/>
          <w:sz w:val="20"/>
          <w:vertAlign w:val="baseline"/>
          <w:lang w:val="en-US"/>
        </w:rPr>
        <w:t xml:space="preserve">and the ratio of inventories to national income falls from 0.220 to 0.200. The decline in the </w:t>
      </w:r>
      <w:r>
        <w:rPr>
          <w:rFonts w:ascii="Arial" w:hAnsi="Arial"/>
          <w:b/>
          <w:strike w:val="false"/>
          <w:dstrike w:val="false"/>
          <w:color w:val="000000"/>
          <w:spacing w:val="-1"/>
          <w:w w:val="100"/>
          <w:position w:val="0"/>
          <w:sz w:val="20"/>
          <w:sz w:val="20"/>
          <w:vertAlign w:val="baseline"/>
          <w:lang w:val="en-US"/>
        </w:rPr>
        <w:t>tangible asset to national income ratio over this period, from 1.664 to 1.441, is thus almost completely the result of a decline in the ratio of land values to national income. The land-to</w:t>
        <w:softHyphen/>
      </w:r>
      <w:r>
        <w:rPr>
          <w:rFonts w:ascii="Arial" w:hAnsi="Arial"/>
          <w:b/>
          <w:strike w:val="false"/>
          <w:dstrike w:val="false"/>
          <w:color w:val="000000"/>
          <w:spacing w:val="3"/>
          <w:w w:val="100"/>
          <w:position w:val="0"/>
          <w:sz w:val="20"/>
          <w:sz w:val="20"/>
          <w:vertAlign w:val="baseline"/>
          <w:lang w:val="en-US"/>
        </w:rPr>
        <w:t xml:space="preserve">national income ratio falls from 0.306 in 1990 to 0.138 in 1994. This decline, in turn, is due </w:t>
      </w:r>
      <w:r>
        <w:rPr>
          <w:rFonts w:ascii="Arial" w:hAnsi="Arial"/>
          <w:b/>
          <w:strike w:val="false"/>
          <w:dstrike w:val="false"/>
          <w:color w:val="000000"/>
          <w:spacing w:val="-1"/>
          <w:w w:val="100"/>
          <w:position w:val="0"/>
          <w:sz w:val="20"/>
          <w:sz w:val="20"/>
          <w:vertAlign w:val="baseline"/>
          <w:lang w:val="en-US"/>
        </w:rPr>
        <w:t xml:space="preserve">to the fall in the estimated market value of commercial real estate relative to national income </w:t>
      </w:r>
      <w:r>
        <w:rPr>
          <w:rFonts w:ascii="Arial" w:hAnsi="Arial"/>
          <w:b/>
          <w:strike w:val="false"/>
          <w:dstrike w:val="false"/>
          <w:color w:val="000000"/>
          <w:spacing w:val="1"/>
          <w:w w:val="100"/>
          <w:position w:val="0"/>
          <w:sz w:val="20"/>
          <w:sz w:val="20"/>
          <w:vertAlign w:val="baseline"/>
          <w:lang w:val="en-US"/>
        </w:rPr>
        <w:t xml:space="preserve">during this period. The </w:t>
      </w:r>
      <w:r>
        <w:rPr>
          <w:rFonts w:ascii="Tahoma" w:hAnsi="Tahoma"/>
          <w:b/>
          <w:strike w:val="false"/>
          <w:dstrike w:val="false"/>
          <w:color w:val="000000"/>
          <w:spacing w:val="1"/>
          <w:w w:val="95"/>
          <w:position w:val="0"/>
          <w:sz w:val="20"/>
          <w:sz w:val="20"/>
          <w:u w:val="single"/>
          <w:vertAlign w:val="baseline"/>
          <w:lang w:val="en-US"/>
        </w:rPr>
        <w:t>Balance Sheets</w:t>
      </w:r>
      <w:r>
        <w:rPr>
          <w:rFonts w:ascii="Arial" w:hAnsi="Arial"/>
          <w:b/>
          <w:strike w:val="false"/>
          <w:dstrike w:val="false"/>
          <w:color w:val="000000"/>
          <w:spacing w:val="1"/>
          <w:w w:val="100"/>
          <w:position w:val="0"/>
          <w:sz w:val="20"/>
          <w:sz w:val="20"/>
          <w:vertAlign w:val="baseline"/>
          <w:lang w:val="en-US"/>
        </w:rPr>
        <w:t xml:space="preserve"> compute land values as a residual after subtracting the Commerce Department's estimate of the replacement cost of corporate residential real </w:t>
      </w:r>
      <w:r>
        <w:rPr>
          <w:rFonts w:ascii="Arial" w:hAnsi="Arial"/>
          <w:b/>
          <w:strike w:val="false"/>
          <w:dstrike w:val="false"/>
          <w:color w:val="000000"/>
          <w:spacing w:val="4"/>
          <w:w w:val="100"/>
          <w:position w:val="0"/>
          <w:sz w:val="20"/>
          <w:sz w:val="20"/>
          <w:vertAlign w:val="baseline"/>
          <w:lang w:val="en-US"/>
        </w:rPr>
        <w:t>estate from a market value estimate for commercial real estate.</w:t>
      </w:r>
    </w:p>
    <w:p>
      <w:pPr>
        <w:sectPr>
          <w:type w:val="nextPage"/>
          <w:pgSz w:w="12240" w:h="15840"/>
          <w:pgMar w:left="3852" w:right="3788" w:header="0" w:top="5748" w:footer="0" w:bottom="6622" w:gutter="0"/>
          <w:pgNumType w:fmt="decimal"/>
          <w:formProt w:val="false"/>
          <w:textDirection w:val="lrTb"/>
          <w:docGrid w:type="default" w:linePitch="100" w:charSpace="4096"/>
        </w:sectPr>
        <w:pStyle w:val="Normal"/>
        <w:spacing w:lineRule="exact" w:line="372" w:before="180" w:after="0"/>
        <w:ind w:left="0" w:right="72" w:firstLine="648"/>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While Table 3 presents information on corporate capital income share of national </w:t>
      </w:r>
      <w:r>
        <w:rPr>
          <w:rFonts w:ascii="Arial" w:hAnsi="Arial"/>
          <w:b/>
          <w:strike w:val="false"/>
          <w:dstrike w:val="false"/>
          <w:color w:val="000000"/>
          <w:spacing w:val="0"/>
          <w:w w:val="100"/>
          <w:position w:val="0"/>
          <w:sz w:val="20"/>
          <w:sz w:val="20"/>
          <w:vertAlign w:val="baseline"/>
          <w:lang w:val="en-US"/>
        </w:rPr>
        <w:t>income, much recent attention among researchers (for example Baker and Mishel (1995)) and</w:t>
      </w:r>
    </w:p>
    <w:p>
      <w:pPr>
        <w:pStyle w:val="Normal"/>
        <w:spacing w:lineRule="auto" w:line="211"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w:t>
      </w:r>
    </w:p>
    <w:p>
      <w:pPr>
        <w:pStyle w:val="Normal"/>
        <w:spacing w:lineRule="auto" w:line="480" w:before="180" w:after="0"/>
        <w:ind w:left="0" w:right="0" w:hanging="0"/>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in the popular press (for example Bernstein (1995)) has focused on movements in labor's </w:t>
      </w:r>
      <w:r>
        <w:rPr>
          <w:rFonts w:ascii="Arial" w:hAnsi="Arial"/>
          <w:b/>
          <w:strike w:val="false"/>
          <w:dstrike w:val="false"/>
          <w:color w:val="000000"/>
          <w:spacing w:val="0"/>
          <w:w w:val="100"/>
          <w:position w:val="0"/>
          <w:sz w:val="20"/>
          <w:sz w:val="20"/>
          <w:vertAlign w:val="baseline"/>
          <w:lang w:val="en-US"/>
        </w:rPr>
        <w:t xml:space="preserve">share of national income. The foregoing discussion noted that while corporate capital income </w:t>
      </w:r>
      <w:r>
        <w:rPr>
          <w:rFonts w:ascii="Arial" w:hAnsi="Arial"/>
          <w:b/>
          <w:strike w:val="false"/>
          <w:dstrike w:val="false"/>
          <w:color w:val="000000"/>
          <w:spacing w:val="1"/>
          <w:w w:val="100"/>
          <w:position w:val="0"/>
          <w:sz w:val="20"/>
          <w:sz w:val="20"/>
          <w:vertAlign w:val="baseline"/>
          <w:lang w:val="en-US"/>
        </w:rPr>
        <w:t xml:space="preserve">and labor income represent most of national income (85 percent in 1996), the labor share is not simply one minus the corporate capital share. Proprietors' income, rental income, and </w:t>
      </w:r>
      <w:r>
        <w:rPr>
          <w:rFonts w:ascii="Arial" w:hAnsi="Arial"/>
          <w:b/>
          <w:strike w:val="false"/>
          <w:dstrike w:val="false"/>
          <w:color w:val="000000"/>
          <w:spacing w:val="2"/>
          <w:w w:val="100"/>
          <w:position w:val="0"/>
          <w:sz w:val="20"/>
          <w:sz w:val="20"/>
          <w:vertAlign w:val="baseline"/>
          <w:lang w:val="en-US"/>
        </w:rPr>
        <w:t>interest payments from non-corporate payers are also components of national income.</w:t>
      </w:r>
    </w:p>
    <w:p>
      <w:pPr>
        <w:pStyle w:val="Normal"/>
        <w:spacing w:lineRule="auto" w:line="480" w:before="180" w:after="0"/>
        <w:ind w:left="0" w:right="0" w:firstLine="72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Table 4 reports three measures of labor income's share of national income. The first </w:t>
      </w:r>
      <w:r>
        <w:rPr>
          <w:rFonts w:ascii="Arial" w:hAnsi="Arial"/>
          <w:b/>
          <w:strike w:val="false"/>
          <w:dstrike w:val="false"/>
          <w:color w:val="000000"/>
          <w:spacing w:val="-1"/>
          <w:w w:val="100"/>
          <w:position w:val="0"/>
          <w:sz w:val="20"/>
          <w:sz w:val="20"/>
          <w:vertAlign w:val="baseline"/>
          <w:lang w:val="en-US"/>
        </w:rPr>
        <w:t xml:space="preserve">column tracks employee compensation as a percentage of national income for the post-1959 </w:t>
      </w:r>
      <w:r>
        <w:rPr>
          <w:rFonts w:ascii="Arial" w:hAnsi="Arial"/>
          <w:b/>
          <w:strike w:val="false"/>
          <w:dstrike w:val="false"/>
          <w:color w:val="000000"/>
          <w:spacing w:val="5"/>
          <w:w w:val="100"/>
          <w:position w:val="0"/>
          <w:sz w:val="20"/>
          <w:sz w:val="20"/>
          <w:vertAlign w:val="baseline"/>
          <w:lang w:val="en-US"/>
        </w:rPr>
        <w:t xml:space="preserve">period. This series averages 71.5 percent over the 1959-1996 period, and in the last ten </w:t>
      </w:r>
      <w:r>
        <w:rPr>
          <w:rFonts w:ascii="Arial" w:hAnsi="Arial"/>
          <w:b/>
          <w:strike w:val="false"/>
          <w:dstrike w:val="false"/>
          <w:color w:val="000000"/>
          <w:spacing w:val="6"/>
          <w:w w:val="100"/>
          <w:position w:val="0"/>
          <w:sz w:val="20"/>
          <w:sz w:val="20"/>
          <w:vertAlign w:val="baseline"/>
          <w:lang w:val="en-US"/>
        </w:rPr>
        <w:t xml:space="preserve">years, it has fluctuated between 71.7 percent (1989) and 73.1 percent (1992). The 1996 </w:t>
      </w:r>
      <w:r>
        <w:rPr>
          <w:rFonts w:ascii="Arial" w:hAnsi="Arial"/>
          <w:b/>
          <w:strike w:val="false"/>
          <w:dstrike w:val="false"/>
          <w:color w:val="000000"/>
          <w:spacing w:val="3"/>
          <w:w w:val="100"/>
          <w:position w:val="0"/>
          <w:sz w:val="20"/>
          <w:sz w:val="20"/>
          <w:vertAlign w:val="baseline"/>
          <w:lang w:val="en-US"/>
        </w:rPr>
        <w:t xml:space="preserve">value, 72.2 percent, is at the lower end of the range for the last decade, but hardly low in </w:t>
      </w:r>
      <w:r>
        <w:rPr>
          <w:rFonts w:ascii="Arial" w:hAnsi="Arial"/>
          <w:b/>
          <w:strike w:val="false"/>
          <w:dstrike w:val="false"/>
          <w:color w:val="000000"/>
          <w:spacing w:val="1"/>
          <w:w w:val="100"/>
          <w:position w:val="0"/>
          <w:sz w:val="20"/>
          <w:sz w:val="20"/>
          <w:vertAlign w:val="baseline"/>
          <w:lang w:val="en-US"/>
        </w:rPr>
        <w:t xml:space="preserve">historic terms. The second column of Table 4 shows only wages and salaries as a percentage </w:t>
      </w:r>
      <w:r>
        <w:rPr>
          <w:rFonts w:ascii="Arial" w:hAnsi="Arial"/>
          <w:b/>
          <w:strike w:val="false"/>
          <w:dstrike w:val="false"/>
          <w:color w:val="000000"/>
          <w:spacing w:val="-4"/>
          <w:w w:val="100"/>
          <w:position w:val="0"/>
          <w:sz w:val="20"/>
          <w:sz w:val="20"/>
          <w:vertAlign w:val="baseline"/>
          <w:lang w:val="en-US"/>
        </w:rPr>
        <w:t>of national income. Employee compensation includes wages as well as the costs of employer-</w:t>
      </w:r>
      <w:r>
        <w:rPr>
          <w:rFonts w:ascii="Arial" w:hAnsi="Arial"/>
          <w:b/>
          <w:strike w:val="false"/>
          <w:dstrike w:val="false"/>
          <w:color w:val="000000"/>
          <w:spacing w:val="1"/>
          <w:w w:val="100"/>
          <w:position w:val="0"/>
          <w:sz w:val="20"/>
          <w:sz w:val="20"/>
          <w:vertAlign w:val="baseline"/>
          <w:lang w:val="en-US"/>
        </w:rPr>
        <w:t>provided benefits.</w:t>
      </w:r>
      <w:r>
        <w:rPr>
          <w:rFonts w:ascii="Arial" w:hAnsi="Arial"/>
          <w:b/>
          <w:strike w:val="false"/>
          <w:dstrike w:val="false"/>
          <w:color w:val="000000"/>
          <w:spacing w:val="1"/>
          <w:w w:val="100"/>
          <w:sz w:val="20"/>
          <w:vertAlign w:val="superscript"/>
          <w:lang w:val="en-US"/>
        </w:rPr>
        <w:t>13</w:t>
      </w:r>
      <w:r>
        <w:rPr>
          <w:rFonts w:ascii="Arial" w:hAnsi="Arial"/>
          <w:b/>
          <w:strike w:val="false"/>
          <w:dstrike w:val="false"/>
          <w:color w:val="000000"/>
          <w:spacing w:val="1"/>
          <w:w w:val="100"/>
          <w:position w:val="0"/>
          <w:sz w:val="20"/>
          <w:sz w:val="20"/>
          <w:vertAlign w:val="baseline"/>
          <w:lang w:val="en-US"/>
        </w:rPr>
        <w:t xml:space="preserve"> While recent year-to-year changes in wages and salaries track changes </w:t>
      </w:r>
      <w:r>
        <w:rPr>
          <w:rFonts w:ascii="Arial" w:hAnsi="Arial"/>
          <w:b/>
          <w:strike w:val="false"/>
          <w:dstrike w:val="false"/>
          <w:color w:val="000000"/>
          <w:spacing w:val="-2"/>
          <w:w w:val="100"/>
          <w:position w:val="0"/>
          <w:sz w:val="20"/>
          <w:sz w:val="20"/>
          <w:vertAlign w:val="baseline"/>
          <w:lang w:val="en-US"/>
        </w:rPr>
        <w:t xml:space="preserve">in total compensation very well, over a longer time period, the share of wages and salaries in </w:t>
      </w:r>
      <w:r>
        <w:rPr>
          <w:rFonts w:ascii="Arial" w:hAnsi="Arial"/>
          <w:b/>
          <w:strike w:val="false"/>
          <w:dstrike w:val="false"/>
          <w:color w:val="000000"/>
          <w:spacing w:val="4"/>
          <w:w w:val="100"/>
          <w:position w:val="0"/>
          <w:sz w:val="20"/>
          <w:sz w:val="20"/>
          <w:vertAlign w:val="baseline"/>
          <w:lang w:val="en-US"/>
        </w:rPr>
        <w:t xml:space="preserve">national income trends downward, while employee compensation as a share of national </w:t>
      </w:r>
      <w:r>
        <w:rPr>
          <w:rFonts w:ascii="Arial" w:hAnsi="Arial"/>
          <w:b/>
          <w:strike w:val="false"/>
          <w:dstrike w:val="false"/>
          <w:color w:val="000000"/>
          <w:spacing w:val="-2"/>
          <w:w w:val="100"/>
          <w:position w:val="0"/>
          <w:sz w:val="20"/>
          <w:sz w:val="20"/>
          <w:vertAlign w:val="baseline"/>
          <w:lang w:val="en-US"/>
        </w:rPr>
        <w:t xml:space="preserve">income has remained in a narrow range since the 1960s. These divergent patterns reflect the </w:t>
      </w:r>
      <w:r>
        <w:rPr>
          <w:rFonts w:ascii="Arial" w:hAnsi="Arial"/>
          <w:b/>
          <w:strike w:val="false"/>
          <w:dstrike w:val="false"/>
          <w:color w:val="000000"/>
          <w:spacing w:val="0"/>
          <w:w w:val="100"/>
          <w:position w:val="0"/>
          <w:sz w:val="20"/>
          <w:sz w:val="20"/>
          <w:vertAlign w:val="baseline"/>
          <w:lang w:val="en-US"/>
        </w:rPr>
        <w:t xml:space="preserve">growing share of non-wage benefits, particularly employer-provided health insurance and </w:t>
      </w:r>
      <w:r>
        <w:rPr>
          <w:rFonts w:ascii="Arial" w:hAnsi="Arial"/>
          <w:b/>
          <w:strike w:val="false"/>
          <w:dstrike w:val="false"/>
          <w:color w:val="000000"/>
          <w:spacing w:val="2"/>
          <w:w w:val="100"/>
          <w:position w:val="0"/>
          <w:sz w:val="20"/>
          <w:sz w:val="20"/>
          <w:vertAlign w:val="baseline"/>
          <w:lang w:val="en-US"/>
        </w:rPr>
        <w:t>retirement benefits, in employee compensation.</w:t>
      </w:r>
    </w:p>
    <w:p>
      <w:pPr>
        <w:pStyle w:val="Normal"/>
        <w:spacing w:lineRule="auto" w:line="480" w:before="468" w:after="108"/>
        <w:ind w:left="0" w:right="0" w:firstLine="72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The last column of Table 4 combines proprietors' income with employee compensation </w:t>
      </w:r>
      <w:r>
        <w:rPr>
          <w:rFonts w:ascii="Arial" w:hAnsi="Arial"/>
          <w:b/>
          <w:strike w:val="false"/>
          <w:dstrike w:val="false"/>
          <w:color w:val="000000"/>
          <w:spacing w:val="4"/>
          <w:w w:val="100"/>
          <w:position w:val="0"/>
          <w:sz w:val="20"/>
          <w:sz w:val="20"/>
          <w:vertAlign w:val="baseline"/>
          <w:lang w:val="en-US"/>
        </w:rPr>
        <w:t xml:space="preserve">to create an expanded measure of labor's share of national income. Part of proprietors' </w:t>
      </w:r>
      <w:r>
        <w:rPr>
          <w:rFonts w:ascii="Arial" w:hAnsi="Arial"/>
          <w:b/>
          <w:strike w:val="false"/>
          <w:dstrike w:val="false"/>
          <w:color w:val="000000"/>
          <w:spacing w:val="3"/>
          <w:w w:val="100"/>
          <w:position w:val="0"/>
          <w:sz w:val="20"/>
          <w:sz w:val="20"/>
          <w:vertAlign w:val="baseline"/>
          <w:lang w:val="en-US"/>
        </w:rPr>
        <w:t>income is capital income, but part is labor income, so this measure is probably an over</w:t>
        <w:softHyphen/>
      </w:r>
      <w:r>
        <w:rPr>
          <w:rFonts w:ascii="Arial" w:hAnsi="Arial"/>
          <w:b/>
          <w:strike w:val="false"/>
          <w:dstrike w:val="false"/>
          <w:color w:val="000000"/>
          <w:spacing w:val="2"/>
          <w:w w:val="100"/>
          <w:position w:val="0"/>
          <w:sz w:val="20"/>
          <w:sz w:val="20"/>
          <w:vertAlign w:val="baseline"/>
          <w:lang w:val="en-US"/>
        </w:rPr>
        <w:t>estimate of labor's share. Employee compensation as a share of national income averages</w:t>
      </w:r>
    </w:p>
    <w:p>
      <w:pPr>
        <w:sectPr>
          <w:type w:val="nextPage"/>
          <w:pgSz w:w="12240" w:h="15840"/>
          <w:pgMar w:left="1420" w:right="1360" w:header="0" w:top="1400" w:footer="0" w:bottom="1510" w:gutter="0"/>
          <w:pgNumType w:fmt="decimal"/>
          <w:formProt w:val="false"/>
          <w:textDirection w:val="lrTb"/>
          <w:docGrid w:type="default" w:linePitch="100" w:charSpace="4096"/>
        </w:sectPr>
        <w:pStyle w:val="Normal"/>
        <w:spacing w:lineRule="auto" w:line="240" w:before="180" w:after="0"/>
        <w:ind w:left="0" w:right="0" w:firstLine="360"/>
        <w:jc w:val="both"/>
        <w:rPr>
          <w:rFonts w:ascii="Arial" w:hAnsi="Arial"/>
          <w:b/>
          <w:b/>
          <w:strike w:val="false"/>
          <w:dstrike w:val="false"/>
          <w:color w:val="000000"/>
          <w:spacing w:val="2"/>
          <w:w w:val="100"/>
          <w:position w:val="0"/>
          <w:sz w:val="22"/>
          <w:sz w:val="20"/>
          <w:vertAlign w:val="baseline"/>
          <w:lang w:val="en-US"/>
        </w:rPr>
      </w:pPr>
      <w:r>
        <mc:AlternateContent>
          <mc:Choice Requires="wps">
            <w:drawing>
              <wp:anchor behindDoc="0" distT="0" distB="0" distL="114300" distR="114300" simplePos="0" locked="0" layoutInCell="1" allowOverlap="1" relativeHeight="12">
                <wp:simplePos x="0" y="0"/>
                <wp:positionH relativeFrom="column">
                  <wp:posOffset>0</wp:posOffset>
                </wp:positionH>
                <wp:positionV relativeFrom="paragraph">
                  <wp:posOffset>6350</wp:posOffset>
                </wp:positionV>
                <wp:extent cx="1242695" cy="1270"/>
                <wp:effectExtent l="0" t="0" r="0" b="0"/>
                <wp:wrapNone/>
                <wp:docPr id="11" name=""/>
                <a:graphic xmlns:a="http://schemas.openxmlformats.org/drawingml/2006/main">
                  <a:graphicData uri="http://schemas.microsoft.com/office/word/2010/wordprocessingShape">
                    <wps:wsp>
                      <wps:cNvSpPr/>
                      <wps:spPr>
                        <a:xfrm>
                          <a:off x="0" y="0"/>
                          <a:ext cx="176976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139.3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2"/>
          <w:w w:val="100"/>
          <w:position w:val="0"/>
          <w:sz w:val="20"/>
          <w:sz w:val="20"/>
          <w:vertAlign w:val="baseline"/>
          <w:lang w:val="en-US"/>
        </w:rPr>
        <w:t>"</w:t>
      </w:r>
      <w:r>
        <w:rPr>
          <w:rFonts w:ascii="Arial" w:hAnsi="Arial"/>
          <w:b/>
          <w:strike w:val="false"/>
          <w:dstrike w:val="false"/>
          <w:color w:val="000000"/>
          <w:spacing w:val="2"/>
          <w:w w:val="100"/>
          <w:position w:val="0"/>
          <w:sz w:val="20"/>
          <w:sz w:val="20"/>
          <w:vertAlign w:val="baseline"/>
          <w:lang w:val="en-US"/>
        </w:rPr>
        <w:t xml:space="preserve">Some employer-provided benefits, such as employer-provided health insurance, are </w:t>
      </w:r>
      <w:r>
        <w:rPr>
          <w:rFonts w:ascii="Arial" w:hAnsi="Arial"/>
          <w:b/>
          <w:strike w:val="false"/>
          <w:dstrike w:val="false"/>
          <w:color w:val="000000"/>
          <w:spacing w:val="-2"/>
          <w:w w:val="100"/>
          <w:position w:val="0"/>
          <w:sz w:val="20"/>
          <w:sz w:val="20"/>
          <w:vertAlign w:val="baseline"/>
          <w:lang w:val="en-US"/>
        </w:rPr>
        <w:t xml:space="preserve">provided voluntarily, while others, such as the employer share of Social Security and Medicare </w:t>
      </w:r>
      <w:r>
        <w:rPr>
          <w:rFonts w:ascii="Arial" w:hAnsi="Arial"/>
          <w:b/>
          <w:strike w:val="false"/>
          <w:dstrike w:val="false"/>
          <w:color w:val="000000"/>
          <w:spacing w:val="4"/>
          <w:w w:val="100"/>
          <w:position w:val="0"/>
          <w:sz w:val="20"/>
          <w:sz w:val="20"/>
          <w:vertAlign w:val="baseline"/>
          <w:lang w:val="en-US"/>
        </w:rPr>
        <w:t>taxes, are mandated.</w:t>
      </w:r>
    </w:p>
    <w:p>
      <w:pPr>
        <w:pStyle w:val="Normal"/>
        <w:spacing w:lineRule="auto" w:line="211"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w:t>
      </w:r>
    </w:p>
    <w:p>
      <w:pPr>
        <w:pStyle w:val="Normal"/>
        <w:spacing w:lineRule="auto" w:line="480" w:before="216" w:after="0"/>
        <w:ind w:left="0" w:right="0" w:hanging="0"/>
        <w:jc w:val="both"/>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71.5 percent over the 1959-1996 period, while adding proprietors' income raises the average </w:t>
      </w:r>
      <w:r>
        <w:rPr>
          <w:rFonts w:ascii="Arial" w:hAnsi="Arial"/>
          <w:b/>
          <w:strike w:val="false"/>
          <w:dstrike w:val="false"/>
          <w:color w:val="000000"/>
          <w:spacing w:val="5"/>
          <w:w w:val="100"/>
          <w:position w:val="0"/>
          <w:sz w:val="20"/>
          <w:sz w:val="20"/>
          <w:vertAlign w:val="baseline"/>
          <w:lang w:val="en-US"/>
        </w:rPr>
        <w:t xml:space="preserve">to 80.7 percent. The expanded definition of labor income shows the same general pattern </w:t>
      </w:r>
      <w:r>
        <w:rPr>
          <w:rFonts w:ascii="Arial" w:hAnsi="Arial"/>
          <w:b/>
          <w:strike w:val="false"/>
          <w:dstrike w:val="false"/>
          <w:color w:val="000000"/>
          <w:spacing w:val="2"/>
          <w:w w:val="100"/>
          <w:position w:val="0"/>
          <w:sz w:val="20"/>
          <w:sz w:val="20"/>
          <w:vertAlign w:val="baseline"/>
          <w:lang w:val="en-US"/>
        </w:rPr>
        <w:t xml:space="preserve">of stability as the employee compensation series alone, and it also displays some decline </w:t>
      </w:r>
      <w:r>
        <w:rPr>
          <w:rFonts w:ascii="Arial" w:hAnsi="Arial"/>
          <w:b/>
          <w:strike w:val="false"/>
          <w:dstrike w:val="false"/>
          <w:color w:val="000000"/>
          <w:spacing w:val="4"/>
          <w:w w:val="100"/>
          <w:position w:val="0"/>
          <w:sz w:val="20"/>
          <w:sz w:val="20"/>
          <w:vertAlign w:val="baseline"/>
          <w:lang w:val="en-US"/>
        </w:rPr>
        <w:t>during the 1990s.</w:t>
      </w:r>
    </w:p>
    <w:p>
      <w:pPr>
        <w:pStyle w:val="Normal"/>
        <w:spacing w:lineRule="auto" w:line="240" w:before="180" w:after="0"/>
        <w:ind w:left="0" w:right="0" w:hanging="0"/>
        <w:jc w:val="center"/>
        <w:rPr>
          <w:rFonts w:ascii="Arial" w:hAnsi="Arial"/>
          <w:b/>
          <w:b/>
          <w:strike w:val="false"/>
          <w:dstrike w:val="false"/>
          <w:color w:val="000000"/>
          <w:spacing w:val="-2"/>
          <w:w w:val="100"/>
          <w:position w:val="0"/>
          <w:sz w:val="22"/>
          <w:sz w:val="21"/>
          <w:u w:val="single"/>
          <w:vertAlign w:val="baseline"/>
          <w:lang w:val="en-US"/>
        </w:rPr>
      </w:pPr>
      <w:r>
        <w:rPr>
          <w:rFonts w:ascii="Arial" w:hAnsi="Arial"/>
          <w:b/>
          <w:strike w:val="false"/>
          <w:dstrike w:val="false"/>
          <w:color w:val="000000"/>
          <w:spacing w:val="-2"/>
          <w:w w:val="100"/>
          <w:position w:val="0"/>
          <w:sz w:val="21"/>
          <w:sz w:val="21"/>
          <w:u w:val="single"/>
          <w:vertAlign w:val="baseline"/>
          <w:lang w:val="en-US"/>
        </w:rPr>
        <w:t xml:space="preserve">Recent Movements in Factor Shares: Is There A Story? </w:t>
      </w:r>
    </w:p>
    <w:p>
      <w:pPr>
        <w:pStyle w:val="Normal"/>
        <w:spacing w:lineRule="auto" w:line="480" w:before="612" w:after="108"/>
        <w:ind w:left="0" w:right="0" w:firstLine="72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0.9 percentage point decline in employee compensation as a share of national </w:t>
      </w:r>
      <w:r>
        <w:rPr>
          <w:rFonts w:ascii="Arial" w:hAnsi="Arial"/>
          <w:b/>
          <w:strike w:val="false"/>
          <w:dstrike w:val="false"/>
          <w:color w:val="000000"/>
          <w:spacing w:val="-3"/>
          <w:w w:val="100"/>
          <w:position w:val="0"/>
          <w:sz w:val="20"/>
          <w:sz w:val="20"/>
          <w:vertAlign w:val="baseline"/>
          <w:lang w:val="en-US"/>
        </w:rPr>
        <w:t xml:space="preserve">income over the last four years has prompted some discussion, for example Baker (1995) and </w:t>
      </w:r>
      <w:r>
        <w:rPr>
          <w:rFonts w:ascii="Arial" w:hAnsi="Arial"/>
          <w:b/>
          <w:strike w:val="false"/>
          <w:dstrike w:val="false"/>
          <w:color w:val="000000"/>
          <w:spacing w:val="3"/>
          <w:w w:val="100"/>
          <w:position w:val="0"/>
          <w:sz w:val="20"/>
          <w:sz w:val="20"/>
          <w:vertAlign w:val="baseline"/>
          <w:lang w:val="en-US"/>
        </w:rPr>
        <w:t xml:space="preserve">Bernstein (1995), of shifting factor shares in the U.S. economy. Yet several points suggest </w:t>
      </w:r>
      <w:r>
        <w:rPr>
          <w:rFonts w:ascii="Arial" w:hAnsi="Arial"/>
          <w:b/>
          <w:strike w:val="false"/>
          <w:dstrike w:val="false"/>
          <w:color w:val="000000"/>
          <w:spacing w:val="-1"/>
          <w:w w:val="100"/>
          <w:position w:val="0"/>
          <w:sz w:val="20"/>
          <w:sz w:val="20"/>
          <w:vertAlign w:val="baseline"/>
          <w:lang w:val="en-US"/>
        </w:rPr>
        <w:t xml:space="preserve">that it is premature to consider recent changes as demanding of special note. First, the labor </w:t>
      </w:r>
      <w:r>
        <w:rPr>
          <w:rFonts w:ascii="Arial" w:hAnsi="Arial"/>
          <w:b/>
          <w:strike w:val="false"/>
          <w:dstrike w:val="false"/>
          <w:color w:val="000000"/>
          <w:spacing w:val="3"/>
          <w:w w:val="100"/>
          <w:position w:val="0"/>
          <w:sz w:val="20"/>
          <w:sz w:val="20"/>
          <w:vertAlign w:val="baseline"/>
          <w:lang w:val="en-US"/>
        </w:rPr>
        <w:t xml:space="preserve">income share in 1992 was higher than at any time since 1983, and it was the sixth highest </w:t>
      </w:r>
      <w:r>
        <w:rPr>
          <w:rFonts w:ascii="Arial" w:hAnsi="Arial"/>
          <w:b/>
          <w:strike w:val="false"/>
          <w:dstrike w:val="false"/>
          <w:color w:val="000000"/>
          <w:spacing w:val="2"/>
          <w:w w:val="100"/>
          <w:position w:val="0"/>
          <w:sz w:val="20"/>
          <w:sz w:val="20"/>
          <w:vertAlign w:val="baseline"/>
          <w:lang w:val="en-US"/>
        </w:rPr>
        <w:t xml:space="preserve">year in the post-1959, or the post-1947, period. Some decline from this high level would not </w:t>
      </w:r>
      <w:r>
        <w:rPr>
          <w:rFonts w:ascii="Arial" w:hAnsi="Arial"/>
          <w:b/>
          <w:strike w:val="false"/>
          <w:dstrike w:val="false"/>
          <w:color w:val="000000"/>
          <w:spacing w:val="0"/>
          <w:w w:val="100"/>
          <w:position w:val="0"/>
          <w:sz w:val="20"/>
          <w:sz w:val="20"/>
          <w:vertAlign w:val="baseline"/>
          <w:lang w:val="en-US"/>
        </w:rPr>
        <w:t xml:space="preserve">be unexpected. Second, the labor share is a cyclical time series, and much of its variation can </w:t>
      </w:r>
      <w:r>
        <w:rPr>
          <w:rFonts w:ascii="Arial" w:hAnsi="Arial"/>
          <w:b/>
          <w:strike w:val="false"/>
          <w:dstrike w:val="false"/>
          <w:color w:val="000000"/>
          <w:spacing w:val="2"/>
          <w:w w:val="100"/>
          <w:position w:val="0"/>
          <w:sz w:val="20"/>
          <w:sz w:val="20"/>
          <w:vertAlign w:val="baseline"/>
          <w:lang w:val="en-US"/>
        </w:rPr>
        <w:t xml:space="preserve">be explained by fluctuations in aggregate economic activity. Regressing the labor share on </w:t>
      </w:r>
      <w:r>
        <w:rPr>
          <w:rFonts w:ascii="Arial" w:hAnsi="Arial"/>
          <w:b/>
          <w:strike w:val="false"/>
          <w:dstrike w:val="false"/>
          <w:color w:val="000000"/>
          <w:spacing w:val="1"/>
          <w:w w:val="100"/>
          <w:position w:val="0"/>
          <w:sz w:val="20"/>
          <w:sz w:val="20"/>
          <w:vertAlign w:val="baseline"/>
          <w:lang w:val="en-US"/>
        </w:rPr>
        <w:t xml:space="preserve">the civilian unemployment rate for the 1959-1992 period suggests that each one percentage </w:t>
      </w:r>
      <w:r>
        <w:rPr>
          <w:rFonts w:ascii="Arial" w:hAnsi="Arial"/>
          <w:b/>
          <w:strike w:val="false"/>
          <w:dstrike w:val="false"/>
          <w:color w:val="000000"/>
          <w:spacing w:val="-1"/>
          <w:w w:val="100"/>
          <w:position w:val="0"/>
          <w:sz w:val="20"/>
          <w:sz w:val="20"/>
          <w:vertAlign w:val="baseline"/>
          <w:lang w:val="en-US"/>
        </w:rPr>
        <w:t xml:space="preserve">point increase in the unemployment rate coincides with a 0.0067 change in the compensation share of national income. The civilian unemployment rate for 1992 averaged 7.49 percentage </w:t>
      </w:r>
      <w:r>
        <w:rPr>
          <w:rFonts w:ascii="Arial" w:hAnsi="Arial"/>
          <w:b/>
          <w:strike w:val="false"/>
          <w:dstrike w:val="false"/>
          <w:color w:val="000000"/>
          <w:spacing w:val="1"/>
          <w:w w:val="100"/>
          <w:position w:val="0"/>
          <w:sz w:val="20"/>
          <w:sz w:val="20"/>
          <w:vertAlign w:val="baseline"/>
          <w:lang w:val="en-US"/>
        </w:rPr>
        <w:t xml:space="preserve">points, and for 1996, it averaged 5.38 percentage points. The historical relationship between </w:t>
      </w:r>
      <w:r>
        <w:rPr>
          <w:rFonts w:ascii="Arial" w:hAnsi="Arial"/>
          <w:b/>
          <w:strike w:val="false"/>
          <w:dstrike w:val="false"/>
          <w:color w:val="000000"/>
          <w:spacing w:val="4"/>
          <w:w w:val="100"/>
          <w:position w:val="0"/>
          <w:sz w:val="20"/>
          <w:sz w:val="20"/>
          <w:vertAlign w:val="baseline"/>
          <w:lang w:val="en-US"/>
        </w:rPr>
        <w:t xml:space="preserve">the unemployment rate and the compensation share would therefore predict a decline of </w:t>
      </w:r>
      <w:r>
        <w:rPr>
          <w:rFonts w:ascii="Arial" w:hAnsi="Arial"/>
          <w:b/>
          <w:strike w:val="false"/>
          <w:dstrike w:val="false"/>
          <w:color w:val="000000"/>
          <w:spacing w:val="3"/>
          <w:w w:val="100"/>
          <w:position w:val="0"/>
          <w:sz w:val="20"/>
          <w:sz w:val="20"/>
          <w:vertAlign w:val="baseline"/>
          <w:lang w:val="en-US"/>
        </w:rPr>
        <w:t xml:space="preserve">.0142 in the compensation share between 1992 and 1996. This decline is larger than the observed change. Straightforward cyclical correction therefore suggests that the recent </w:t>
      </w:r>
      <w:r>
        <w:rPr>
          <w:rFonts w:ascii="Arial" w:hAnsi="Arial"/>
          <w:b/>
          <w:strike w:val="false"/>
          <w:dstrike w:val="false"/>
          <w:color w:val="000000"/>
          <w:spacing w:val="4"/>
          <w:w w:val="100"/>
          <w:position w:val="0"/>
          <w:sz w:val="20"/>
          <w:sz w:val="20"/>
          <w:vertAlign w:val="baseline"/>
          <w:lang w:val="en-US"/>
        </w:rPr>
        <w:t>events do not reflect an unusual decline in labor's share.'</w:t>
      </w:r>
    </w:p>
    <w:p>
      <w:pPr>
        <w:sectPr>
          <w:type w:val="nextPage"/>
          <w:pgSz w:w="12240" w:h="15840"/>
          <w:pgMar w:left="1402" w:right="1342" w:header="0" w:top="1418" w:footer="0" w:bottom="1912" w:gutter="0"/>
          <w:pgNumType w:fmt="decimal"/>
          <w:formProt w:val="false"/>
          <w:textDirection w:val="lrTb"/>
          <w:docGrid w:type="default" w:linePitch="100" w:charSpace="4096"/>
        </w:sectPr>
        <w:pStyle w:val="Normal"/>
        <w:spacing w:lineRule="auto" w:line="240" w:before="180" w:after="0"/>
        <w:ind w:left="0" w:right="0" w:firstLine="360"/>
        <w:jc w:val="both"/>
        <w:rPr>
          <w:rFonts w:ascii="Arial" w:hAnsi="Arial"/>
          <w:b/>
          <w:b/>
          <w:strike w:val="false"/>
          <w:dstrike w:val="false"/>
          <w:color w:val="000000"/>
          <w:spacing w:val="3"/>
          <w:w w:val="100"/>
          <w:position w:val="0"/>
          <w:sz w:val="22"/>
          <w:sz w:val="20"/>
          <w:vertAlign w:val="baseline"/>
          <w:lang w:val="en-US"/>
        </w:rPr>
      </w:pPr>
      <w:r>
        <mc:AlternateContent>
          <mc:Choice Requires="wps">
            <w:drawing>
              <wp:anchor behindDoc="0" distT="0" distB="0" distL="114300" distR="114300" simplePos="0" locked="0" layoutInCell="1" allowOverlap="1" relativeHeight="13">
                <wp:simplePos x="0" y="0"/>
                <wp:positionH relativeFrom="column">
                  <wp:posOffset>0</wp:posOffset>
                </wp:positionH>
                <wp:positionV relativeFrom="paragraph">
                  <wp:posOffset>6350</wp:posOffset>
                </wp:positionV>
                <wp:extent cx="1244600" cy="1270"/>
                <wp:effectExtent l="0" t="0" r="0" b="0"/>
                <wp:wrapNone/>
                <wp:docPr id="12" name=""/>
                <a:graphic xmlns:a="http://schemas.openxmlformats.org/drawingml/2006/main">
                  <a:graphicData uri="http://schemas.microsoft.com/office/word/2010/wordprocessingShape">
                    <wps:wsp>
                      <wps:cNvSpPr/>
                      <wps:spPr>
                        <a:xfrm>
                          <a:off x="0" y="0"/>
                          <a:ext cx="177228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139.5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3"/>
          <w:w w:val="100"/>
          <w:position w:val="0"/>
          <w:sz w:val="20"/>
          <w:sz w:val="20"/>
          <w:vertAlign w:val="baseline"/>
          <w:lang w:val="en-US"/>
        </w:rPr>
        <w:t>'</w:t>
      </w:r>
      <w:r>
        <w:rPr>
          <w:rFonts w:ascii="Arial" w:hAnsi="Arial"/>
          <w:b/>
          <w:strike w:val="false"/>
          <w:dstrike w:val="false"/>
          <w:color w:val="000000"/>
          <w:spacing w:val="3"/>
          <w:w w:val="100"/>
          <w:position w:val="0"/>
          <w:sz w:val="20"/>
          <w:sz w:val="20"/>
          <w:vertAlign w:val="baseline"/>
          <w:lang w:val="en-US"/>
        </w:rPr>
        <w:t xml:space="preserve">To formally test this hypothesis I estimated an AR(1) regression model in which the </w:t>
      </w:r>
      <w:r>
        <w:rPr>
          <w:rFonts w:ascii="Arial" w:hAnsi="Arial"/>
          <w:b/>
          <w:strike w:val="false"/>
          <w:dstrike w:val="false"/>
          <w:color w:val="000000"/>
          <w:spacing w:val="0"/>
          <w:w w:val="100"/>
          <w:position w:val="0"/>
          <w:sz w:val="20"/>
          <w:sz w:val="20"/>
          <w:vertAlign w:val="baseline"/>
          <w:lang w:val="en-US"/>
        </w:rPr>
        <w:t xml:space="preserve">compensation share of national income was related to the civilian unemployment rate and a </w:t>
      </w:r>
      <w:r>
        <w:rPr>
          <w:rFonts w:ascii="Arial" w:hAnsi="Arial"/>
          <w:b/>
          <w:strike w:val="false"/>
          <w:dstrike w:val="false"/>
          <w:color w:val="000000"/>
          <w:spacing w:val="2"/>
          <w:w w:val="100"/>
          <w:position w:val="0"/>
          <w:sz w:val="20"/>
          <w:sz w:val="20"/>
          <w:vertAlign w:val="baseline"/>
          <w:lang w:val="en-US"/>
        </w:rPr>
        <w:t xml:space="preserve">dummy variable set equal to 1 in 1996, and -1 in 1992 (this captures the 1992-1996 change). </w:t>
      </w:r>
      <w:r>
        <w:rPr>
          <w:rFonts w:ascii="Arial" w:hAnsi="Arial"/>
          <w:b/>
          <w:strike w:val="false"/>
          <w:dstrike w:val="false"/>
          <w:color w:val="000000"/>
          <w:spacing w:val="5"/>
          <w:w w:val="100"/>
          <w:position w:val="0"/>
          <w:sz w:val="20"/>
          <w:sz w:val="20"/>
          <w:vertAlign w:val="baseline"/>
          <w:lang w:val="en-US"/>
        </w:rPr>
        <w:t xml:space="preserve">The coefficient estimate was -0.00129 (0.00463), which suggests that only a one tenth of </w:t>
      </w:r>
      <w:r>
        <w:rPr>
          <w:rFonts w:ascii="Arial" w:hAnsi="Arial"/>
          <w:b/>
          <w:strike w:val="false"/>
          <w:dstrike w:val="false"/>
          <w:color w:val="000000"/>
          <w:spacing w:val="0"/>
          <w:w w:val="100"/>
          <w:position w:val="0"/>
          <w:sz w:val="20"/>
          <w:sz w:val="20"/>
          <w:vertAlign w:val="baseline"/>
          <w:lang w:val="en-US"/>
        </w:rPr>
        <w:t>one percentage point decline in the compensation share needs to be "explained" in these two</w:t>
      </w:r>
    </w:p>
    <w:p>
      <w:pPr>
        <w:pStyle w:val="Normal"/>
        <w:spacing w:lineRule="auto" w:line="211"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w:t>
      </w:r>
    </w:p>
    <w:p>
      <w:pPr>
        <w:pStyle w:val="Normal"/>
        <w:spacing w:lineRule="auto" w:line="480" w:before="180" w:after="0"/>
        <w:ind w:left="0" w:right="0" w:firstLine="648"/>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Finally, there are substantial year-to-year fluctuations in national income shares, and recent changes are not unusually large. Table 5 shows the standard deviation of the one-year </w:t>
      </w:r>
      <w:r>
        <w:rPr>
          <w:rFonts w:ascii="Arial" w:hAnsi="Arial"/>
          <w:b/>
          <w:strike w:val="false"/>
          <w:dstrike w:val="false"/>
          <w:color w:val="000000"/>
          <w:spacing w:val="2"/>
          <w:w w:val="100"/>
          <w:position w:val="0"/>
          <w:sz w:val="20"/>
          <w:sz w:val="20"/>
          <w:vertAlign w:val="baseline"/>
          <w:lang w:val="en-US"/>
        </w:rPr>
        <w:t xml:space="preserve">and four-year changes in various time series relating to the national income shares. The </w:t>
      </w:r>
      <w:r>
        <w:rPr>
          <w:rFonts w:ascii="Arial" w:hAnsi="Arial"/>
          <w:b/>
          <w:strike w:val="false"/>
          <w:dstrike w:val="false"/>
          <w:color w:val="000000"/>
          <w:spacing w:val="-4"/>
          <w:w w:val="100"/>
          <w:position w:val="0"/>
          <w:sz w:val="20"/>
          <w:sz w:val="20"/>
          <w:vertAlign w:val="baseline"/>
          <w:lang w:val="en-US"/>
        </w:rPr>
        <w:t xml:space="preserve">standard deviation of the year-to-year change in the compensation (wage) share is 0.80 (0.72) </w:t>
      </w:r>
      <w:r>
        <w:rPr>
          <w:rFonts w:ascii="Arial" w:hAnsi="Arial"/>
          <w:b/>
          <w:strike w:val="false"/>
          <w:dstrike w:val="false"/>
          <w:color w:val="000000"/>
          <w:spacing w:val="-1"/>
          <w:w w:val="100"/>
          <w:position w:val="0"/>
          <w:sz w:val="20"/>
          <w:sz w:val="20"/>
          <w:vertAlign w:val="baseline"/>
          <w:lang w:val="en-US"/>
        </w:rPr>
        <w:t xml:space="preserve">percentage points, and the standard deviation of the four year change is 1.6 (1.5) percentage </w:t>
      </w:r>
      <w:r>
        <w:rPr>
          <w:rFonts w:ascii="Arial" w:hAnsi="Arial"/>
          <w:b/>
          <w:strike w:val="false"/>
          <w:dstrike w:val="false"/>
          <w:color w:val="000000"/>
          <w:spacing w:val="4"/>
          <w:w w:val="100"/>
          <w:position w:val="0"/>
          <w:sz w:val="20"/>
          <w:sz w:val="20"/>
          <w:vertAlign w:val="baseline"/>
          <w:lang w:val="en-US"/>
        </w:rPr>
        <w:t xml:space="preserve">points. Thus the change in the last four years is well within the range of change that is </w:t>
      </w:r>
      <w:r>
        <w:rPr>
          <w:rFonts w:ascii="Arial" w:hAnsi="Arial"/>
          <w:b/>
          <w:strike w:val="false"/>
          <w:dstrike w:val="false"/>
          <w:color w:val="000000"/>
          <w:spacing w:val="-1"/>
          <w:w w:val="100"/>
          <w:position w:val="0"/>
          <w:sz w:val="20"/>
          <w:sz w:val="20"/>
          <w:vertAlign w:val="baseline"/>
          <w:lang w:val="en-US"/>
        </w:rPr>
        <w:t xml:space="preserve">suggested by historical experience. These statistical observations, in conjunction with the </w:t>
      </w:r>
      <w:r>
        <w:rPr>
          <w:rFonts w:ascii="Arial" w:hAnsi="Arial"/>
          <w:b/>
          <w:strike w:val="false"/>
          <w:dstrike w:val="false"/>
          <w:color w:val="000000"/>
          <w:spacing w:val="1"/>
          <w:w w:val="100"/>
          <w:position w:val="0"/>
          <w:sz w:val="20"/>
          <w:sz w:val="20"/>
          <w:vertAlign w:val="baseline"/>
          <w:lang w:val="en-US"/>
        </w:rPr>
        <w:t xml:space="preserve">measurement issues raised earlier, caution against concluding that recent developments </w:t>
      </w:r>
      <w:r>
        <w:rPr>
          <w:rFonts w:ascii="Arial" w:hAnsi="Arial"/>
          <w:b/>
          <w:strike w:val="false"/>
          <w:dstrike w:val="false"/>
          <w:color w:val="000000"/>
          <w:spacing w:val="4"/>
          <w:w w:val="100"/>
          <w:position w:val="0"/>
          <w:sz w:val="20"/>
          <w:sz w:val="20"/>
          <w:vertAlign w:val="baseline"/>
          <w:lang w:val="en-US"/>
        </w:rPr>
        <w:t>represent an important departure from past experience.'</w:t>
      </w:r>
    </w:p>
    <w:p>
      <w:pPr>
        <w:pStyle w:val="Normal"/>
        <w:spacing w:lineRule="auto" w:line="240" w:before="288" w:after="0"/>
        <w:ind w:left="0" w:right="0" w:hanging="0"/>
        <w:jc w:val="center"/>
        <w:rPr>
          <w:rFonts w:ascii="Arial" w:hAnsi="Arial"/>
          <w:b/>
          <w:b/>
          <w:strike w:val="false"/>
          <w:dstrike w:val="false"/>
          <w:color w:val="000000"/>
          <w:spacing w:val="-2"/>
          <w:w w:val="100"/>
          <w:position w:val="0"/>
          <w:sz w:val="22"/>
          <w:sz w:val="21"/>
          <w:u w:val="single"/>
          <w:vertAlign w:val="baseline"/>
          <w:lang w:val="en-US"/>
        </w:rPr>
      </w:pPr>
      <w:r>
        <w:rPr>
          <w:rFonts w:ascii="Arial" w:hAnsi="Arial"/>
          <w:b/>
          <w:strike w:val="false"/>
          <w:dstrike w:val="false"/>
          <w:color w:val="000000"/>
          <w:spacing w:val="-2"/>
          <w:w w:val="100"/>
          <w:position w:val="0"/>
          <w:sz w:val="21"/>
          <w:sz w:val="21"/>
          <w:u w:val="single"/>
          <w:vertAlign w:val="baseline"/>
          <w:lang w:val="en-US"/>
        </w:rPr>
        <w:t xml:space="preserve">International Comparisons of Rates of Return and Factor Income Shares </w:t>
      </w:r>
    </w:p>
    <w:p>
      <w:pPr>
        <w:pStyle w:val="Normal"/>
        <w:spacing w:lineRule="auto" w:line="480" w:before="468" w:after="396"/>
        <w:ind w:left="0" w:right="0" w:firstLine="648"/>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The foregoing analysis of rates of return on corporate assets in the United States </w:t>
      </w:r>
      <w:r>
        <w:rPr>
          <w:rFonts w:ascii="Arial" w:hAnsi="Arial"/>
          <w:b/>
          <w:strike w:val="false"/>
          <w:dstrike w:val="false"/>
          <w:color w:val="000000"/>
          <w:spacing w:val="2"/>
          <w:w w:val="100"/>
          <w:position w:val="0"/>
          <w:sz w:val="20"/>
          <w:sz w:val="20"/>
          <w:vertAlign w:val="baseline"/>
          <w:lang w:val="en-US"/>
        </w:rPr>
        <w:t xml:space="preserve">suggests that returns have been higher in the 1990s than in the recent past, but that the rise in returns is not outside the range of historical experience in the United States. A different, </w:t>
      </w:r>
      <w:r>
        <w:rPr>
          <w:rFonts w:ascii="Arial" w:hAnsi="Arial"/>
          <w:b/>
          <w:strike w:val="false"/>
          <w:dstrike w:val="false"/>
          <w:color w:val="000000"/>
          <w:spacing w:val="0"/>
          <w:w w:val="100"/>
          <w:position w:val="0"/>
          <w:sz w:val="20"/>
          <w:sz w:val="20"/>
          <w:vertAlign w:val="baseline"/>
          <w:lang w:val="en-US"/>
        </w:rPr>
        <w:t xml:space="preserve">but related, question is whether these movements are unusual in comparison with returns in </w:t>
      </w:r>
      <w:r>
        <w:rPr>
          <w:rFonts w:ascii="Arial" w:hAnsi="Arial"/>
          <w:b/>
          <w:strike w:val="false"/>
          <w:dstrike w:val="false"/>
          <w:color w:val="000000"/>
          <w:spacing w:val="3"/>
          <w:w w:val="100"/>
          <w:position w:val="0"/>
          <w:sz w:val="20"/>
          <w:sz w:val="20"/>
          <w:vertAlign w:val="baseline"/>
          <w:lang w:val="en-US"/>
        </w:rPr>
        <w:t xml:space="preserve">other nations. While the present paper focuses on the measurement of returns, a natural </w:t>
      </w:r>
      <w:r>
        <w:rPr>
          <w:rFonts w:ascii="Arial" w:hAnsi="Arial"/>
          <w:b/>
          <w:strike w:val="false"/>
          <w:dstrike w:val="false"/>
          <w:color w:val="000000"/>
          <w:spacing w:val="-1"/>
          <w:w w:val="100"/>
          <w:position w:val="0"/>
          <w:sz w:val="20"/>
          <w:sz w:val="20"/>
          <w:vertAlign w:val="baseline"/>
          <w:lang w:val="en-US"/>
        </w:rPr>
        <w:t xml:space="preserve">follow-on project would attempt to explain what determines fluctuations in returns. Barro and </w:t>
      </w:r>
      <w:r>
        <w:rPr>
          <w:rFonts w:ascii="Arial" w:hAnsi="Arial"/>
          <w:b/>
          <w:strike w:val="false"/>
          <w:dstrike w:val="false"/>
          <w:color w:val="000000"/>
          <w:spacing w:val="0"/>
          <w:w w:val="100"/>
          <w:position w:val="0"/>
          <w:sz w:val="20"/>
          <w:sz w:val="20"/>
          <w:vertAlign w:val="baseline"/>
          <w:lang w:val="en-US"/>
        </w:rPr>
        <w:t xml:space="preserve">Sala-i-Martin (1990) and Blanchard and Summers (1986) attempt such an explanation for the </w:t>
      </w:r>
      <w:r>
        <w:rPr>
          <w:rFonts w:ascii="Arial" w:hAnsi="Arial"/>
          <w:b/>
          <w:strike w:val="false"/>
          <w:dstrike w:val="false"/>
          <w:color w:val="000000"/>
          <w:spacing w:val="11"/>
          <w:w w:val="100"/>
          <w:position w:val="0"/>
          <w:sz w:val="20"/>
          <w:sz w:val="20"/>
          <w:vertAlign w:val="baseline"/>
          <w:lang w:val="en-US"/>
        </w:rPr>
        <w:t xml:space="preserve">pattern of real interest rates in the 1980s. For understanding the source of return </w:t>
      </w:r>
      <w:r>
        <w:rPr>
          <w:rFonts w:ascii="Arial" w:hAnsi="Arial"/>
          <w:b/>
          <w:strike w:val="false"/>
          <w:dstrike w:val="false"/>
          <w:color w:val="000000"/>
          <w:spacing w:val="1"/>
          <w:w w:val="100"/>
          <w:position w:val="0"/>
          <w:sz w:val="20"/>
          <w:sz w:val="20"/>
          <w:vertAlign w:val="baseline"/>
          <w:lang w:val="en-US"/>
        </w:rPr>
        <w:t>fluctuations, it can be helpful to compare the experiences of different nations. If the rates of</w:t>
      </w:r>
    </w:p>
    <w:p>
      <w:pPr>
        <w:pStyle w:val="Normal"/>
        <w:spacing w:lineRule="auto" w:line="240" w:before="180" w:after="0"/>
        <w:ind w:left="0" w:right="0" w:hanging="0"/>
        <w:jc w:val="left"/>
        <w:rPr>
          <w:rFonts w:ascii="Arial" w:hAnsi="Arial"/>
          <w:b/>
          <w:b/>
          <w:strike w:val="false"/>
          <w:dstrike w:val="false"/>
          <w:color w:val="000000"/>
          <w:spacing w:val="3"/>
          <w:w w:val="100"/>
          <w:position w:val="0"/>
          <w:sz w:val="22"/>
          <w:sz w:val="20"/>
          <w:vertAlign w:val="baseline"/>
          <w:lang w:val="en-US"/>
        </w:rPr>
      </w:pPr>
      <w:r>
        <mc:AlternateContent>
          <mc:Choice Requires="wps">
            <w:drawing>
              <wp:anchor behindDoc="0" distT="0" distB="0" distL="114300" distR="114300" simplePos="0" locked="0" layoutInCell="1" allowOverlap="1" relativeHeight="14">
                <wp:simplePos x="0" y="0"/>
                <wp:positionH relativeFrom="column">
                  <wp:posOffset>0</wp:posOffset>
                </wp:positionH>
                <wp:positionV relativeFrom="paragraph">
                  <wp:posOffset>6350</wp:posOffset>
                </wp:positionV>
                <wp:extent cx="1242695" cy="1270"/>
                <wp:effectExtent l="0" t="0" r="0" b="0"/>
                <wp:wrapNone/>
                <wp:docPr id="13" name=""/>
                <a:graphic xmlns:a="http://schemas.openxmlformats.org/drawingml/2006/main">
                  <a:graphicData uri="http://schemas.microsoft.com/office/word/2010/wordprocessingShape">
                    <wps:wsp>
                      <wps:cNvSpPr/>
                      <wps:spPr>
                        <a:xfrm>
                          <a:off x="0" y="0"/>
                          <a:ext cx="176976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139.3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3"/>
          <w:w w:val="100"/>
          <w:position w:val="0"/>
          <w:sz w:val="20"/>
          <w:sz w:val="20"/>
          <w:vertAlign w:val="baseline"/>
          <w:lang w:val="en-US"/>
        </w:rPr>
        <w:t>y</w:t>
      </w:r>
      <w:r>
        <w:rPr>
          <w:rFonts w:ascii="Arial" w:hAnsi="Arial"/>
          <w:b/>
          <w:strike w:val="false"/>
          <w:dstrike w:val="false"/>
          <w:color w:val="000000"/>
          <w:spacing w:val="3"/>
          <w:w w:val="100"/>
          <w:position w:val="0"/>
          <w:sz w:val="20"/>
          <w:sz w:val="20"/>
          <w:vertAlign w:val="baseline"/>
          <w:lang w:val="en-US"/>
        </w:rPr>
        <w:t>ears, and that the difference between the two years is statistically insignificant.</w:t>
      </w:r>
    </w:p>
    <w:p>
      <w:pPr>
        <w:sectPr>
          <w:type w:val="nextPage"/>
          <w:pgSz w:w="12240" w:h="15840"/>
          <w:pgMar w:left="1395" w:right="1335" w:header="0" w:top="1440" w:footer="0" w:bottom="1430" w:gutter="0"/>
          <w:pgNumType w:fmt="decimal"/>
          <w:formProt w:val="false"/>
          <w:textDirection w:val="lrTb"/>
          <w:docGrid w:type="default" w:linePitch="100" w:charSpace="4096"/>
        </w:sectPr>
        <w:pStyle w:val="Normal"/>
        <w:spacing w:lineRule="auto" w:line="240" w:before="252" w:after="0"/>
        <w:ind w:left="0" w:right="0" w:firstLine="36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'Note that there could be substantively and statistically significant changes in the rate of return to corporate capital during a period when there were no statistically significant changes in the labor income share. This is because the labor income share is approximately one minus </w:t>
      </w:r>
      <w:r>
        <w:rPr>
          <w:rFonts w:ascii="Arial" w:hAnsi="Arial"/>
          <w:b/>
          <w:strike w:val="false"/>
          <w:dstrike w:val="false"/>
          <w:color w:val="000000"/>
          <w:spacing w:val="-1"/>
          <w:w w:val="100"/>
          <w:position w:val="0"/>
          <w:sz w:val="20"/>
          <w:sz w:val="20"/>
          <w:vertAlign w:val="baseline"/>
          <w:lang w:val="en-US"/>
        </w:rPr>
        <w:t>re (K/Y)*(p</w:t>
      </w:r>
      <w:r>
        <w:rPr>
          <w:rFonts w:ascii="Tahoma" w:hAnsi="Tahoma"/>
          <w:b/>
          <w:strike w:val="false"/>
          <w:dstrike w:val="false"/>
          <w:color w:val="000000"/>
          <w:spacing w:val="-1"/>
          <w:w w:val="100"/>
          <w:sz w:val="20"/>
          <w:vertAlign w:val="subscript"/>
          <w:lang w:val="en-US"/>
        </w:rPr>
        <w:t>K</w:t>
      </w:r>
      <w:r>
        <w:rPr>
          <w:rFonts w:ascii="Arial" w:hAnsi="Arial"/>
          <w:b/>
          <w:strike w:val="false"/>
          <w:dstrike w:val="false"/>
          <w:color w:val="000000"/>
          <w:spacing w:val="-1"/>
          <w:w w:val="100"/>
          <w:position w:val="0"/>
          <w:sz w:val="20"/>
          <w:sz w:val="20"/>
          <w:vertAlign w:val="baseline"/>
          <w:lang w:val="en-US"/>
        </w:rPr>
        <w:t>/p), so changes in r</w:t>
      </w:r>
      <w:r>
        <w:rPr>
          <w:rFonts w:ascii="Tahoma" w:hAnsi="Tahoma"/>
          <w:b/>
          <w:strike w:val="false"/>
          <w:dstrike w:val="false"/>
          <w:color w:val="000000"/>
          <w:spacing w:val="-1"/>
          <w:w w:val="100"/>
          <w:sz w:val="20"/>
          <w:vertAlign w:val="subscript"/>
          <w:lang w:val="en-US"/>
        </w:rPr>
        <w:t>K</w:t>
      </w:r>
      <w:r>
        <w:rPr>
          <w:rFonts w:ascii="Arial" w:hAnsi="Arial"/>
          <w:b/>
          <w:strike w:val="false"/>
          <w:dstrike w:val="false"/>
          <w:color w:val="000000"/>
          <w:spacing w:val="-1"/>
          <w:w w:val="100"/>
          <w:position w:val="0"/>
          <w:sz w:val="20"/>
          <w:sz w:val="20"/>
          <w:vertAlign w:val="baseline"/>
          <w:lang w:val="en-US"/>
        </w:rPr>
        <w:t xml:space="preserve"> could be offset by changes in the capital output ratio or the </w:t>
      </w:r>
      <w:r>
        <w:rPr>
          <w:rFonts w:ascii="Arial" w:hAnsi="Arial"/>
          <w:b/>
          <w:strike w:val="false"/>
          <w:dstrike w:val="false"/>
          <w:color w:val="000000"/>
          <w:spacing w:val="0"/>
          <w:w w:val="100"/>
          <w:position w:val="0"/>
          <w:sz w:val="20"/>
          <w:sz w:val="20"/>
          <w:vertAlign w:val="baseline"/>
          <w:lang w:val="en-US"/>
        </w:rPr>
        <w:t xml:space="preserve">relative price of capital. The decline in K/Y during the 1990s has made the changes in factor </w:t>
      </w:r>
      <w:r>
        <w:rPr>
          <w:rFonts w:ascii="Arial" w:hAnsi="Arial"/>
          <w:b/>
          <w:strike w:val="false"/>
          <w:dstrike w:val="false"/>
          <w:color w:val="000000"/>
          <w:spacing w:val="1"/>
          <w:w w:val="100"/>
          <w:position w:val="0"/>
          <w:sz w:val="20"/>
          <w:sz w:val="20"/>
          <w:vertAlign w:val="baseline"/>
          <w:lang w:val="en-US"/>
        </w:rPr>
        <w:t>income shares less significant than the change in rK.</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w:t>
      </w:r>
    </w:p>
    <w:p>
      <w:pPr>
        <w:pStyle w:val="Normal"/>
        <w:spacing w:lineRule="auto" w:line="480" w:before="216" w:after="0"/>
        <w:ind w:left="0" w:right="0" w:hanging="0"/>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return in most major industrial nations move together, that would suggest that common </w:t>
      </w:r>
      <w:r>
        <w:rPr>
          <w:rFonts w:ascii="Arial" w:hAnsi="Arial"/>
          <w:b/>
          <w:strike w:val="false"/>
          <w:dstrike w:val="false"/>
          <w:color w:val="000000"/>
          <w:spacing w:val="0"/>
          <w:w w:val="100"/>
          <w:position w:val="0"/>
          <w:sz w:val="20"/>
          <w:sz w:val="20"/>
          <w:vertAlign w:val="baseline"/>
          <w:lang w:val="en-US"/>
        </w:rPr>
        <w:t xml:space="preserve">shocks could explain a substantial share of the variation in observed returns. Relatively low </w:t>
      </w:r>
      <w:r>
        <w:rPr>
          <w:rFonts w:ascii="Arial" w:hAnsi="Arial"/>
          <w:b/>
          <w:strike w:val="false"/>
          <w:dstrike w:val="false"/>
          <w:color w:val="000000"/>
          <w:spacing w:val="1"/>
          <w:w w:val="100"/>
          <w:position w:val="0"/>
          <w:sz w:val="20"/>
          <w:sz w:val="20"/>
          <w:vertAlign w:val="baseline"/>
          <w:lang w:val="en-US"/>
        </w:rPr>
        <w:t xml:space="preserve">rates of correlation across nations, in contrast, would point toward idiosyncratic factors such </w:t>
      </w:r>
      <w:r>
        <w:rPr>
          <w:rFonts w:ascii="Arial" w:hAnsi="Arial"/>
          <w:b/>
          <w:strike w:val="false"/>
          <w:dstrike w:val="false"/>
          <w:color w:val="000000"/>
          <w:spacing w:val="2"/>
          <w:w w:val="100"/>
          <w:position w:val="0"/>
          <w:sz w:val="20"/>
          <w:sz w:val="20"/>
          <w:vertAlign w:val="baseline"/>
          <w:lang w:val="en-US"/>
        </w:rPr>
        <w:t>as country-specific investment opportunities, that might determine these patterns.</w:t>
      </w:r>
    </w:p>
    <w:p>
      <w:pPr>
        <w:pStyle w:val="Normal"/>
        <w:spacing w:lineRule="auto" w:line="480" w:before="180" w:after="0"/>
        <w:ind w:left="0" w:right="0" w:firstLine="648"/>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Creating comparable measures of the rate of return to corporate capital in many nations </w:t>
      </w:r>
      <w:r>
        <w:rPr>
          <w:rFonts w:ascii="Arial" w:hAnsi="Arial"/>
          <w:b/>
          <w:strike w:val="false"/>
          <w:dstrike w:val="false"/>
          <w:color w:val="000000"/>
          <w:spacing w:val="5"/>
          <w:w w:val="100"/>
          <w:position w:val="0"/>
          <w:sz w:val="20"/>
          <w:sz w:val="20"/>
          <w:vertAlign w:val="baseline"/>
          <w:lang w:val="en-US"/>
        </w:rPr>
        <w:t xml:space="preserve">is a difficult data problem, since there are differences in definitions and measurement </w:t>
      </w:r>
      <w:r>
        <w:rPr>
          <w:rFonts w:ascii="Arial" w:hAnsi="Arial"/>
          <w:b/>
          <w:strike w:val="false"/>
          <w:dstrike w:val="false"/>
          <w:color w:val="000000"/>
          <w:spacing w:val="2"/>
          <w:w w:val="100"/>
          <w:position w:val="0"/>
          <w:sz w:val="20"/>
          <w:sz w:val="20"/>
          <w:vertAlign w:val="baseline"/>
          <w:lang w:val="en-US"/>
        </w:rPr>
        <w:t xml:space="preserve">algorithms, particularly for capital stocks, across countries. The OECD has attempted to </w:t>
      </w:r>
      <w:r>
        <w:rPr>
          <w:rFonts w:ascii="Arial" w:hAnsi="Arial"/>
          <w:b/>
          <w:strike w:val="false"/>
          <w:dstrike w:val="false"/>
          <w:color w:val="000000"/>
          <w:spacing w:val="1"/>
          <w:w w:val="100"/>
          <w:position w:val="0"/>
          <w:sz w:val="20"/>
          <w:sz w:val="20"/>
          <w:vertAlign w:val="baseline"/>
          <w:lang w:val="en-US"/>
        </w:rPr>
        <w:t xml:space="preserve">systematize the accounts from OECD member countries, and publishes a time series on rates </w:t>
      </w:r>
      <w:r>
        <w:rPr>
          <w:rFonts w:ascii="Arial" w:hAnsi="Arial"/>
          <w:b/>
          <w:strike w:val="false"/>
          <w:dstrike w:val="false"/>
          <w:color w:val="000000"/>
          <w:spacing w:val="-5"/>
          <w:w w:val="100"/>
          <w:position w:val="0"/>
          <w:sz w:val="20"/>
          <w:sz w:val="20"/>
          <w:vertAlign w:val="baseline"/>
          <w:lang w:val="en-US"/>
        </w:rPr>
        <w:t xml:space="preserve">of return on capital in the business sector in each issue of the </w:t>
      </w:r>
      <w:r>
        <w:rPr>
          <w:rFonts w:ascii="Arial" w:hAnsi="Arial"/>
          <w:b/>
          <w:strike w:val="false"/>
          <w:dstrike w:val="false"/>
          <w:color w:val="000000"/>
          <w:spacing w:val="-5"/>
          <w:w w:val="100"/>
          <w:position w:val="0"/>
          <w:sz w:val="21"/>
          <w:sz w:val="21"/>
          <w:u w:val="single"/>
          <w:vertAlign w:val="baseline"/>
          <w:lang w:val="en-US"/>
        </w:rPr>
        <w:t>OECD Economic Outlook.</w:t>
      </w:r>
      <w:r>
        <w:rPr>
          <w:rFonts w:ascii="Arial" w:hAnsi="Arial"/>
          <w:b/>
          <w:strike w:val="false"/>
          <w:dstrike w:val="false"/>
          <w:color w:val="000000"/>
          <w:spacing w:val="-5"/>
          <w:w w:val="100"/>
          <w:position w:val="0"/>
          <w:sz w:val="20"/>
          <w:sz w:val="20"/>
          <w:vertAlign w:val="baseline"/>
          <w:lang w:val="en-US"/>
        </w:rPr>
        <w:t xml:space="preserve"> The </w:t>
      </w:r>
      <w:r>
        <w:rPr>
          <w:rFonts w:ascii="Arial" w:hAnsi="Arial"/>
          <w:b/>
          <w:strike w:val="false"/>
          <w:dstrike w:val="false"/>
          <w:color w:val="000000"/>
          <w:spacing w:val="3"/>
          <w:w w:val="100"/>
          <w:position w:val="0"/>
          <w:sz w:val="20"/>
          <w:sz w:val="20"/>
          <w:vertAlign w:val="baseline"/>
          <w:lang w:val="en-US"/>
        </w:rPr>
        <w:t xml:space="preserve">underlying data are available in the OECD Business Sector Data Bank. Blanchard (1996) analyzes these data in some detail. From this data base it is possible to construct rate of </w:t>
      </w:r>
      <w:r>
        <w:rPr>
          <w:rFonts w:ascii="Arial" w:hAnsi="Arial"/>
          <w:b/>
          <w:strike w:val="false"/>
          <w:dstrike w:val="false"/>
          <w:color w:val="000000"/>
          <w:spacing w:val="4"/>
          <w:w w:val="100"/>
          <w:position w:val="0"/>
          <w:sz w:val="20"/>
          <w:sz w:val="20"/>
          <w:vertAlign w:val="baseline"/>
          <w:lang w:val="en-US"/>
        </w:rPr>
        <w:t xml:space="preserve">return measures, in principle analogous to those above, for the G-7 countries (France, </w:t>
      </w:r>
      <w:r>
        <w:rPr>
          <w:rFonts w:ascii="Arial" w:hAnsi="Arial"/>
          <w:b/>
          <w:strike w:val="false"/>
          <w:dstrike w:val="false"/>
          <w:color w:val="000000"/>
          <w:spacing w:val="5"/>
          <w:w w:val="100"/>
          <w:position w:val="0"/>
          <w:sz w:val="20"/>
          <w:sz w:val="20"/>
          <w:vertAlign w:val="baseline"/>
          <w:lang w:val="en-US"/>
        </w:rPr>
        <w:t xml:space="preserve">Germany, Italy, Japan, the United Kingdom, and the United States) for the period 1965- 1996." While comparing the levels of returns across countries is likely to be confounded </w:t>
      </w:r>
      <w:r>
        <w:rPr>
          <w:rFonts w:ascii="Arial" w:hAnsi="Arial"/>
          <w:b/>
          <w:strike w:val="false"/>
          <w:dstrike w:val="false"/>
          <w:color w:val="000000"/>
          <w:spacing w:val="2"/>
          <w:w w:val="100"/>
          <w:position w:val="0"/>
          <w:sz w:val="20"/>
          <w:sz w:val="20"/>
          <w:vertAlign w:val="baseline"/>
          <w:lang w:val="en-US"/>
        </w:rPr>
        <w:t>by differences in data construction, comparing the changes in profit rates is still possible.</w:t>
      </w:r>
    </w:p>
    <w:p>
      <w:pPr>
        <w:pStyle w:val="Normal"/>
        <w:spacing w:lineRule="auto" w:line="480" w:before="432" w:after="108"/>
        <w:ind w:left="0" w:right="0" w:firstLine="648"/>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Table 6 shows the rate of return to capital in the business sector for each of the G-7 </w:t>
      </w:r>
      <w:r>
        <w:rPr>
          <w:rFonts w:ascii="Arial" w:hAnsi="Arial"/>
          <w:b/>
          <w:strike w:val="false"/>
          <w:dstrike w:val="false"/>
          <w:color w:val="000000"/>
          <w:spacing w:val="1"/>
          <w:w w:val="100"/>
          <w:position w:val="0"/>
          <w:sz w:val="20"/>
          <w:sz w:val="20"/>
          <w:vertAlign w:val="baseline"/>
          <w:lang w:val="en-US"/>
        </w:rPr>
        <w:t xml:space="preserve">countries over the 1965-1996 period. In the 1990s, the rate of return has increased in all but </w:t>
      </w:r>
      <w:r>
        <w:rPr>
          <w:rFonts w:ascii="Arial" w:hAnsi="Arial"/>
          <w:b/>
          <w:strike w:val="false"/>
          <w:dstrike w:val="false"/>
          <w:color w:val="000000"/>
          <w:spacing w:val="9"/>
          <w:w w:val="100"/>
          <w:position w:val="0"/>
          <w:sz w:val="20"/>
          <w:sz w:val="20"/>
          <w:vertAlign w:val="baseline"/>
          <w:lang w:val="en-US"/>
        </w:rPr>
        <w:t xml:space="preserve">one of the G-7 nations. Japan is the outlier, with a return decline of more than two </w:t>
      </w:r>
      <w:r>
        <w:rPr>
          <w:rFonts w:ascii="Arial" w:hAnsi="Arial"/>
          <w:b/>
          <w:strike w:val="false"/>
          <w:dstrike w:val="false"/>
          <w:color w:val="000000"/>
          <w:spacing w:val="6"/>
          <w:w w:val="100"/>
          <w:position w:val="0"/>
          <w:sz w:val="20"/>
          <w:sz w:val="20"/>
          <w:vertAlign w:val="baseline"/>
          <w:lang w:val="en-US"/>
        </w:rPr>
        <w:t xml:space="preserve">percentage points between 1989-1990 and 1995. In the OECD data, the rate of return on </w:t>
      </w:r>
      <w:r>
        <w:rPr>
          <w:rFonts w:ascii="Arial" w:hAnsi="Arial"/>
          <w:b/>
          <w:strike w:val="false"/>
          <w:dstrike w:val="false"/>
          <w:color w:val="000000"/>
          <w:spacing w:val="4"/>
          <w:w w:val="100"/>
          <w:position w:val="0"/>
          <w:sz w:val="20"/>
          <w:sz w:val="20"/>
          <w:vertAlign w:val="baseline"/>
          <w:lang w:val="en-US"/>
        </w:rPr>
        <w:t xml:space="preserve">U.S. business sector capital rose by 1.7 percentage points between 1991 and 1996. The </w:t>
      </w:r>
      <w:r>
        <w:rPr>
          <w:rFonts w:ascii="Arial" w:hAnsi="Arial"/>
          <w:b/>
          <w:strike w:val="false"/>
          <w:dstrike w:val="false"/>
          <w:color w:val="000000"/>
          <w:spacing w:val="1"/>
          <w:w w:val="100"/>
          <w:position w:val="0"/>
          <w:sz w:val="20"/>
          <w:sz w:val="20"/>
          <w:vertAlign w:val="baseline"/>
          <w:lang w:val="en-US"/>
        </w:rPr>
        <w:t xml:space="preserve">change was 3.5 percentage points in the U.K., 2.1, 1.8 and 1.7 percentage points in Canada, </w:t>
      </w:r>
      <w:r>
        <w:rPr>
          <w:rFonts w:ascii="Arial" w:hAnsi="Arial"/>
          <w:b/>
          <w:strike w:val="false"/>
          <w:dstrike w:val="false"/>
          <w:color w:val="000000"/>
          <w:spacing w:val="7"/>
          <w:w w:val="100"/>
          <w:position w:val="0"/>
          <w:sz w:val="20"/>
          <w:sz w:val="20"/>
          <w:vertAlign w:val="baseline"/>
          <w:lang w:val="en-US"/>
        </w:rPr>
        <w:t>Italy, and Germany, respectively, and 0.6 percentage points in France. Thus the recent</w:t>
      </w:r>
    </w:p>
    <w:p>
      <w:pPr>
        <w:sectPr>
          <w:type w:val="nextPage"/>
          <w:pgSz w:w="12240" w:h="15840"/>
          <w:pgMar w:left="1585" w:right="1145" w:header="0" w:top="1420" w:footer="0" w:bottom="1530" w:gutter="0"/>
          <w:pgNumType w:fmt="decimal"/>
          <w:formProt w:val="false"/>
          <w:textDirection w:val="lrTb"/>
          <w:docGrid w:type="default" w:linePitch="100" w:charSpace="4096"/>
        </w:sectPr>
        <w:pStyle w:val="Normal"/>
        <w:spacing w:lineRule="auto" w:line="240" w:before="180" w:after="0"/>
        <w:ind w:left="0" w:right="0" w:firstLine="360"/>
        <w:jc w:val="both"/>
        <w:rPr>
          <w:rFonts w:ascii="Arial" w:hAnsi="Arial"/>
          <w:b/>
          <w:b/>
          <w:strike w:val="false"/>
          <w:dstrike w:val="false"/>
          <w:color w:val="000000"/>
          <w:spacing w:val="-1"/>
          <w:w w:val="100"/>
          <w:position w:val="0"/>
          <w:sz w:val="22"/>
          <w:sz w:val="20"/>
          <w:vertAlign w:val="baseline"/>
          <w:lang w:val="en-US"/>
        </w:rPr>
      </w:pPr>
      <w:r>
        <mc:AlternateContent>
          <mc:Choice Requires="wps">
            <w:drawing>
              <wp:anchor behindDoc="0" distT="0" distB="0" distL="114300" distR="114300" simplePos="0" locked="0" layoutInCell="1" allowOverlap="1" relativeHeight="15">
                <wp:simplePos x="0" y="0"/>
                <wp:positionH relativeFrom="column">
                  <wp:posOffset>0</wp:posOffset>
                </wp:positionH>
                <wp:positionV relativeFrom="paragraph">
                  <wp:posOffset>7620</wp:posOffset>
                </wp:positionV>
                <wp:extent cx="1241425" cy="1270"/>
                <wp:effectExtent l="0" t="0" r="0" b="0"/>
                <wp:wrapNone/>
                <wp:docPr id="14" name=""/>
                <a:graphic xmlns:a="http://schemas.openxmlformats.org/drawingml/2006/main">
                  <a:graphicData uri="http://schemas.microsoft.com/office/word/2010/wordprocessingShape">
                    <wps:wsp>
                      <wps:cNvSpPr/>
                      <wps:spPr>
                        <a:xfrm>
                          <a:off x="0" y="0"/>
                          <a:ext cx="1767960" cy="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0pt,0.6pt" to="139.15pt,0.6pt" stroked="t" style="position:absolute">
                <v:stroke color="black" weight="14040" joinstyle="round" endcap="flat"/>
                <v:fill o:detectmouseclick="t" on="false"/>
              </v:line>
            </w:pict>
          </mc:Fallback>
        </mc:AlternateContent>
      </w:r>
      <w:r>
        <w:rPr>
          <w:rFonts w:ascii="Arial" w:hAnsi="Arial"/>
          <w:b/>
          <w:strike w:val="false"/>
          <w:dstrike w:val="false"/>
          <w:color w:val="000000"/>
          <w:spacing w:val="-1"/>
          <w:w w:val="100"/>
          <w:position w:val="0"/>
          <w:sz w:val="20"/>
          <w:sz w:val="20"/>
          <w:vertAlign w:val="baseline"/>
          <w:lang w:val="en-US"/>
        </w:rPr>
        <w:t>"</w:t>
      </w:r>
      <w:r>
        <w:rPr>
          <w:rFonts w:ascii="Arial" w:hAnsi="Arial"/>
          <w:b/>
          <w:strike w:val="false"/>
          <w:dstrike w:val="false"/>
          <w:color w:val="000000"/>
          <w:spacing w:val="-1"/>
          <w:w w:val="100"/>
          <w:position w:val="0"/>
          <w:sz w:val="20"/>
          <w:sz w:val="20"/>
          <w:vertAlign w:val="baseline"/>
          <w:lang w:val="en-US"/>
        </w:rPr>
        <w:t xml:space="preserve">The OECD data bank includes data for some countries beginning in 1961, and there are </w:t>
      </w:r>
      <w:r>
        <w:rPr>
          <w:rFonts w:ascii="Arial" w:hAnsi="Arial"/>
          <w:b/>
          <w:strike w:val="false"/>
          <w:dstrike w:val="false"/>
          <w:color w:val="000000"/>
          <w:spacing w:val="4"/>
          <w:w w:val="100"/>
          <w:position w:val="0"/>
          <w:sz w:val="20"/>
          <w:sz w:val="20"/>
          <w:vertAlign w:val="baseline"/>
          <w:lang w:val="en-US"/>
        </w:rPr>
        <w:t xml:space="preserve">missing entries for 1995 and 1996 in some countries as well. The recent missing entries </w:t>
      </w:r>
      <w:r>
        <w:rPr>
          <w:rFonts w:ascii="Arial" w:hAnsi="Arial"/>
          <w:b/>
          <w:strike w:val="false"/>
          <w:dstrike w:val="false"/>
          <w:color w:val="000000"/>
          <w:spacing w:val="1"/>
          <w:w w:val="100"/>
          <w:position w:val="0"/>
          <w:sz w:val="20"/>
          <w:sz w:val="20"/>
          <w:vertAlign w:val="baseline"/>
          <w:lang w:val="en-US"/>
        </w:rPr>
        <w:t xml:space="preserve">were spliced using data published in the June 1997 </w:t>
      </w:r>
      <w:r>
        <w:rPr>
          <w:rFonts w:ascii="Arial" w:hAnsi="Arial"/>
          <w:b/>
          <w:strike w:val="false"/>
          <w:dstrike w:val="false"/>
          <w:color w:val="000000"/>
          <w:spacing w:val="1"/>
          <w:w w:val="100"/>
          <w:position w:val="0"/>
          <w:sz w:val="21"/>
          <w:sz w:val="21"/>
          <w:u w:val="single"/>
          <w:vertAlign w:val="baseline"/>
          <w:lang w:val="en-US"/>
        </w:rPr>
        <w:t>OECD Economic Outlook.</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w:t>
      </w:r>
    </w:p>
    <w:p>
      <w:pPr>
        <w:pStyle w:val="Normal"/>
        <w:spacing w:lineRule="auto" w:line="480" w:before="180" w:after="0"/>
        <w:ind w:left="0" w:right="0" w:hanging="0"/>
        <w:jc w:val="both"/>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 xml:space="preserve">movement in the U.S. corporate return is smaller than that in a number of other major </w:t>
      </w:r>
      <w:r>
        <w:rPr>
          <w:rFonts w:ascii="Arial" w:hAnsi="Arial"/>
          <w:b/>
          <w:strike w:val="false"/>
          <w:dstrike w:val="false"/>
          <w:color w:val="000000"/>
          <w:spacing w:val="4"/>
          <w:w w:val="100"/>
          <w:position w:val="0"/>
          <w:sz w:val="20"/>
          <w:sz w:val="20"/>
          <w:vertAlign w:val="baseline"/>
          <w:lang w:val="en-US"/>
        </w:rPr>
        <w:t xml:space="preserve">industrial nations." The average return in the G-7 nations rose by 1.5 percentage points, </w:t>
      </w:r>
      <w:r>
        <w:rPr>
          <w:rFonts w:ascii="Arial" w:hAnsi="Arial"/>
          <w:b/>
          <w:strike w:val="false"/>
          <w:dstrike w:val="false"/>
          <w:color w:val="000000"/>
          <w:spacing w:val="5"/>
          <w:w w:val="100"/>
          <w:position w:val="0"/>
          <w:sz w:val="20"/>
          <w:sz w:val="20"/>
          <w:vertAlign w:val="baseline"/>
          <w:lang w:val="en-US"/>
        </w:rPr>
        <w:t xml:space="preserve">from 13.6 percent to 15.1 percent, between the 1980s and the 1990s. The change in the </w:t>
      </w:r>
      <w:r>
        <w:rPr>
          <w:rFonts w:ascii="Arial" w:hAnsi="Arial"/>
          <w:b/>
          <w:strike w:val="false"/>
          <w:dstrike w:val="false"/>
          <w:color w:val="000000"/>
          <w:spacing w:val="3"/>
          <w:w w:val="100"/>
          <w:position w:val="0"/>
          <w:sz w:val="20"/>
          <w:sz w:val="20"/>
          <w:vertAlign w:val="baseline"/>
          <w:lang w:val="en-US"/>
        </w:rPr>
        <w:t>United States over this time period was somewhat larger, 2.6 percentage points.</w:t>
      </w:r>
    </w:p>
    <w:p>
      <w:pPr>
        <w:pStyle w:val="Normal"/>
        <w:spacing w:lineRule="auto" w:line="480" w:before="180" w:after="0"/>
        <w:ind w:left="0" w:right="0" w:firstLine="720"/>
        <w:jc w:val="both"/>
        <w:rPr>
          <w:rFonts w:ascii="Arial" w:hAnsi="Arial"/>
          <w:b/>
          <w:b/>
          <w:strike w:val="false"/>
          <w:dstrike w:val="false"/>
          <w:color w:val="000000"/>
          <w:spacing w:val="6"/>
          <w:w w:val="100"/>
          <w:position w:val="0"/>
          <w:sz w:val="22"/>
          <w:sz w:val="20"/>
          <w:vertAlign w:val="baseline"/>
          <w:lang w:val="en-US"/>
        </w:rPr>
      </w:pPr>
      <w:r>
        <w:rPr>
          <w:rFonts w:ascii="Arial" w:hAnsi="Arial"/>
          <w:b/>
          <w:strike w:val="false"/>
          <w:dstrike w:val="false"/>
          <w:color w:val="000000"/>
          <w:spacing w:val="6"/>
          <w:w w:val="100"/>
          <w:position w:val="0"/>
          <w:sz w:val="20"/>
          <w:sz w:val="20"/>
          <w:vertAlign w:val="baseline"/>
          <w:lang w:val="en-US"/>
        </w:rPr>
        <w:t xml:space="preserve">In keeping with the discussion in previous sections regarding the year-to-year </w:t>
      </w:r>
      <w:r>
        <w:rPr>
          <w:rFonts w:ascii="Arial" w:hAnsi="Arial"/>
          <w:b/>
          <w:strike w:val="false"/>
          <w:dstrike w:val="false"/>
          <w:color w:val="000000"/>
          <w:spacing w:val="1"/>
          <w:w w:val="100"/>
          <w:position w:val="0"/>
          <w:sz w:val="20"/>
          <w:sz w:val="20"/>
          <w:vertAlign w:val="baseline"/>
          <w:lang w:val="en-US"/>
        </w:rPr>
        <w:t xml:space="preserve">fluctuations in measured rates of return, the last row of Table 6 reports the standard deviation </w:t>
      </w:r>
      <w:r>
        <w:rPr>
          <w:rFonts w:ascii="Arial" w:hAnsi="Arial"/>
          <w:b/>
          <w:strike w:val="false"/>
          <w:dstrike w:val="false"/>
          <w:color w:val="000000"/>
          <w:spacing w:val="3"/>
          <w:w w:val="100"/>
          <w:position w:val="0"/>
          <w:sz w:val="20"/>
          <w:sz w:val="20"/>
          <w:vertAlign w:val="baseline"/>
          <w:lang w:val="en-US"/>
        </w:rPr>
        <w:t xml:space="preserve">of the annual change in the reported return on business assets. The standard deviations </w:t>
      </w:r>
      <w:r>
        <w:rPr>
          <w:rFonts w:ascii="Arial" w:hAnsi="Arial"/>
          <w:b/>
          <w:strike w:val="false"/>
          <w:dstrike w:val="false"/>
          <w:color w:val="000000"/>
          <w:spacing w:val="2"/>
          <w:w w:val="100"/>
          <w:position w:val="0"/>
          <w:sz w:val="20"/>
          <w:sz w:val="20"/>
          <w:vertAlign w:val="baseline"/>
          <w:lang w:val="en-US"/>
        </w:rPr>
        <w:t xml:space="preserve">average 0.9 percentage points, suggesting that a 95 percent confidence interval for the year </w:t>
      </w:r>
      <w:r>
        <w:rPr>
          <w:rFonts w:ascii="Arial" w:hAnsi="Arial"/>
          <w:b/>
          <w:strike w:val="false"/>
          <w:dstrike w:val="false"/>
          <w:color w:val="000000"/>
          <w:spacing w:val="0"/>
          <w:w w:val="100"/>
          <w:position w:val="0"/>
          <w:sz w:val="20"/>
          <w:sz w:val="20"/>
          <w:vertAlign w:val="baseline"/>
          <w:lang w:val="en-US"/>
        </w:rPr>
        <w:t>to year changes in these rates of return would be nearly four percentage points wide. This underscores the limited information on returns that is available from the relatively short time series being analyzed here.</w:t>
      </w:r>
    </w:p>
    <w:p>
      <w:pPr>
        <w:pStyle w:val="Normal"/>
        <w:spacing w:lineRule="auto" w:line="480" w:before="360" w:after="864"/>
        <w:ind w:left="0" w:right="0" w:firstLine="72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correlation structure of measured returns in the G-7 countries is explored in Table </w:t>
      </w:r>
      <w:r>
        <w:rPr>
          <w:rFonts w:ascii="Arial" w:hAnsi="Arial"/>
          <w:b/>
          <w:strike w:val="false"/>
          <w:dstrike w:val="false"/>
          <w:color w:val="000000"/>
          <w:spacing w:val="2"/>
          <w:w w:val="100"/>
          <w:position w:val="0"/>
          <w:sz w:val="20"/>
          <w:sz w:val="20"/>
          <w:vertAlign w:val="baseline"/>
          <w:lang w:val="en-US"/>
        </w:rPr>
        <w:t xml:space="preserve">7, which reports the set of pairwise correlations between returns in different nations. The </w:t>
      </w:r>
      <w:r>
        <w:rPr>
          <w:rFonts w:ascii="Arial" w:hAnsi="Arial"/>
          <w:b/>
          <w:strike w:val="false"/>
          <w:dstrike w:val="false"/>
          <w:color w:val="000000"/>
          <w:spacing w:val="-3"/>
          <w:w w:val="100"/>
          <w:position w:val="0"/>
          <w:sz w:val="20"/>
          <w:sz w:val="20"/>
          <w:vertAlign w:val="baseline"/>
          <w:lang w:val="en-US"/>
        </w:rPr>
        <w:t xml:space="preserve">average of the twenty-one correlations in the table is 0.31. Four of the twenty-one correlation </w:t>
      </w:r>
      <w:r>
        <w:rPr>
          <w:rFonts w:ascii="Arial" w:hAnsi="Arial"/>
          <w:b/>
          <w:strike w:val="false"/>
          <w:dstrike w:val="false"/>
          <w:color w:val="000000"/>
          <w:spacing w:val="3"/>
          <w:w w:val="100"/>
          <w:position w:val="0"/>
          <w:sz w:val="20"/>
          <w:sz w:val="20"/>
          <w:vertAlign w:val="baseline"/>
          <w:lang w:val="en-US"/>
        </w:rPr>
        <w:t xml:space="preserve">coefficients are negative. Thus the evidence does not support strong comovement in rates </w:t>
      </w:r>
      <w:r>
        <w:rPr>
          <w:rFonts w:ascii="Arial" w:hAnsi="Arial"/>
          <w:b/>
          <w:strike w:val="false"/>
          <w:dstrike w:val="false"/>
          <w:color w:val="000000"/>
          <w:spacing w:val="0"/>
          <w:w w:val="100"/>
          <w:position w:val="0"/>
          <w:sz w:val="20"/>
          <w:sz w:val="20"/>
          <w:vertAlign w:val="baseline"/>
          <w:lang w:val="en-US"/>
        </w:rPr>
        <w:t xml:space="preserve">of return as a general rule, even though recent experience suggests that most rates of return </w:t>
      </w:r>
      <w:r>
        <w:rPr>
          <w:rFonts w:ascii="Arial" w:hAnsi="Arial"/>
          <w:b/>
          <w:strike w:val="false"/>
          <w:dstrike w:val="false"/>
          <w:color w:val="000000"/>
          <w:spacing w:val="1"/>
          <w:w w:val="100"/>
          <w:position w:val="0"/>
          <w:sz w:val="20"/>
          <w:sz w:val="20"/>
          <w:vertAlign w:val="baseline"/>
          <w:lang w:val="en-US"/>
        </w:rPr>
        <w:t xml:space="preserve">have increased. These findings suggest that much of the variation in measured returns may </w:t>
      </w:r>
      <w:r>
        <w:rPr>
          <w:rFonts w:ascii="Arial" w:hAnsi="Arial"/>
          <w:b/>
          <w:strike w:val="false"/>
          <w:dstrike w:val="false"/>
          <w:color w:val="000000"/>
          <w:spacing w:val="-2"/>
          <w:w w:val="100"/>
          <w:position w:val="0"/>
          <w:sz w:val="20"/>
          <w:sz w:val="20"/>
          <w:vertAlign w:val="baseline"/>
          <w:lang w:val="en-US"/>
        </w:rPr>
        <w:t xml:space="preserve">be explained by idiosyncratic rather than common factors. It is also possible that the average </w:t>
      </w:r>
      <w:r>
        <w:rPr>
          <w:rFonts w:ascii="Arial" w:hAnsi="Arial"/>
          <w:b/>
          <w:strike w:val="false"/>
          <w:dstrike w:val="false"/>
          <w:color w:val="000000"/>
          <w:spacing w:val="11"/>
          <w:w w:val="100"/>
          <w:position w:val="0"/>
          <w:sz w:val="20"/>
          <w:sz w:val="20"/>
          <w:vertAlign w:val="baseline"/>
          <w:lang w:val="en-US"/>
        </w:rPr>
        <w:t>returns considered here are measured with substantial noise, and that uncorrelated</w:t>
      </w:r>
    </w:p>
    <w:p>
      <w:pPr>
        <w:sectPr>
          <w:type w:val="nextPage"/>
          <w:pgSz w:w="12240" w:h="15840"/>
          <w:pgMar w:left="1394" w:right="1336" w:header="0" w:top="1422" w:footer="0" w:bottom="1548" w:gutter="0"/>
          <w:pgNumType w:fmt="decimal"/>
          <w:formProt w:val="false"/>
          <w:textDirection w:val="lrTb"/>
          <w:docGrid w:type="default" w:linePitch="100" w:charSpace="4096"/>
        </w:sectPr>
        <w:pStyle w:val="Normal"/>
        <w:spacing w:lineRule="auto" w:line="240" w:before="180" w:after="0"/>
        <w:ind w:left="0" w:right="0" w:firstLine="360"/>
        <w:jc w:val="both"/>
        <w:rPr>
          <w:rFonts w:ascii="Arial" w:hAnsi="Arial"/>
          <w:b/>
          <w:b/>
          <w:strike w:val="false"/>
          <w:dstrike w:val="false"/>
          <w:color w:val="000000"/>
          <w:spacing w:val="5"/>
          <w:w w:val="100"/>
          <w:position w:val="0"/>
          <w:sz w:val="22"/>
          <w:sz w:val="20"/>
          <w:vertAlign w:val="baseline"/>
          <w:lang w:val="en-US"/>
        </w:rPr>
      </w:pPr>
      <w:r>
        <mc:AlternateContent>
          <mc:Choice Requires="wps">
            <w:drawing>
              <wp:anchor behindDoc="0" distT="0" distB="0" distL="114300" distR="114300" simplePos="0" locked="0" layoutInCell="1" allowOverlap="1" relativeHeight="16">
                <wp:simplePos x="0" y="0"/>
                <wp:positionH relativeFrom="column">
                  <wp:posOffset>0</wp:posOffset>
                </wp:positionH>
                <wp:positionV relativeFrom="paragraph">
                  <wp:posOffset>7620</wp:posOffset>
                </wp:positionV>
                <wp:extent cx="1238250" cy="1270"/>
                <wp:effectExtent l="0" t="0" r="0" b="0"/>
                <wp:wrapNone/>
                <wp:docPr id="15" name=""/>
                <a:graphic xmlns:a="http://schemas.openxmlformats.org/drawingml/2006/main">
                  <a:graphicData uri="http://schemas.microsoft.com/office/word/2010/wordprocessingShape">
                    <wps:wsp>
                      <wps:cNvSpPr/>
                      <wps:spPr>
                        <a:xfrm>
                          <a:off x="0" y="0"/>
                          <a:ext cx="1764000" cy="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0pt,0.6pt" to="138.85pt,0.6pt" stroked="t" style="position:absolute">
                <v:stroke color="black" weight="14040" joinstyle="round" endcap="flat"/>
                <v:fill o:detectmouseclick="t" on="false"/>
              </v:line>
            </w:pict>
          </mc:Fallback>
        </mc:AlternateContent>
      </w:r>
      <w:r>
        <w:rPr>
          <w:rFonts w:ascii="Arial" w:hAnsi="Arial"/>
          <w:b/>
          <w:strike w:val="false"/>
          <w:dstrike w:val="false"/>
          <w:color w:val="000000"/>
          <w:spacing w:val="5"/>
          <w:w w:val="100"/>
          <w:position w:val="0"/>
          <w:sz w:val="20"/>
          <w:sz w:val="20"/>
          <w:vertAlign w:val="baseline"/>
          <w:lang w:val="en-US"/>
        </w:rPr>
        <w:t>"</w:t>
      </w:r>
      <w:r>
        <w:rPr>
          <w:rFonts w:ascii="Arial" w:hAnsi="Arial"/>
          <w:b/>
          <w:strike w:val="false"/>
          <w:dstrike w:val="false"/>
          <w:color w:val="000000"/>
          <w:spacing w:val="5"/>
          <w:w w:val="100"/>
          <w:position w:val="0"/>
          <w:sz w:val="20"/>
          <w:sz w:val="20"/>
          <w:vertAlign w:val="baseline"/>
          <w:lang w:val="en-US"/>
        </w:rPr>
        <w:t xml:space="preserve">The </w:t>
      </w:r>
      <w:r>
        <w:rPr>
          <w:rFonts w:ascii="Arial" w:hAnsi="Arial"/>
          <w:b/>
          <w:strike w:val="false"/>
          <w:dstrike w:val="false"/>
          <w:color w:val="000000"/>
          <w:spacing w:val="5"/>
          <w:w w:val="100"/>
          <w:position w:val="0"/>
          <w:sz w:val="21"/>
          <w:sz w:val="21"/>
          <w:u w:val="single"/>
          <w:vertAlign w:val="baseline"/>
          <w:lang w:val="en-US"/>
        </w:rPr>
        <w:t>level</w:t>
      </w:r>
      <w:r>
        <w:rPr>
          <w:rFonts w:ascii="Arial" w:hAnsi="Arial"/>
          <w:b/>
          <w:strike w:val="false"/>
          <w:dstrike w:val="false"/>
          <w:color w:val="000000"/>
          <w:spacing w:val="5"/>
          <w:w w:val="100"/>
          <w:position w:val="0"/>
          <w:sz w:val="20"/>
          <w:sz w:val="20"/>
          <w:vertAlign w:val="baseline"/>
          <w:lang w:val="en-US"/>
        </w:rPr>
        <w:t xml:space="preserve"> of the returns for the United States in Table 6 is roughly twice that in the </w:t>
      </w:r>
      <w:r>
        <w:rPr>
          <w:rFonts w:ascii="Arial" w:hAnsi="Arial"/>
          <w:b/>
          <w:strike w:val="false"/>
          <w:dstrike w:val="false"/>
          <w:color w:val="000000"/>
          <w:spacing w:val="0"/>
          <w:w w:val="100"/>
          <w:position w:val="0"/>
          <w:sz w:val="20"/>
          <w:sz w:val="20"/>
          <w:vertAlign w:val="baseline"/>
          <w:lang w:val="en-US"/>
        </w:rPr>
        <w:t xml:space="preserve">earlier estimates, based on NIPA, for the nonfinancial corporate sector. This reflects some </w:t>
      </w:r>
      <w:r>
        <w:rPr>
          <w:rFonts w:ascii="Arial" w:hAnsi="Arial"/>
          <w:b/>
          <w:strike w:val="false"/>
          <w:dstrike w:val="false"/>
          <w:color w:val="000000"/>
          <w:spacing w:val="2"/>
          <w:w w:val="100"/>
          <w:position w:val="0"/>
          <w:sz w:val="20"/>
          <w:sz w:val="20"/>
          <w:vertAlign w:val="baseline"/>
          <w:lang w:val="en-US"/>
        </w:rPr>
        <w:t xml:space="preserve">differences between the definition of the "business sector" in the OECD and the NIPA data, </w:t>
      </w:r>
      <w:r>
        <w:rPr>
          <w:rFonts w:ascii="Arial" w:hAnsi="Arial"/>
          <w:b/>
          <w:strike w:val="false"/>
          <w:dstrike w:val="false"/>
          <w:color w:val="000000"/>
          <w:spacing w:val="-1"/>
          <w:w w:val="100"/>
          <w:position w:val="0"/>
          <w:sz w:val="20"/>
          <w:sz w:val="20"/>
          <w:vertAlign w:val="baseline"/>
          <w:lang w:val="en-US"/>
        </w:rPr>
        <w:t xml:space="preserve">as well as a more limited definition of business assets in the OECD. More worrying than the </w:t>
      </w:r>
      <w:r>
        <w:rPr>
          <w:rFonts w:ascii="Arial" w:hAnsi="Arial"/>
          <w:b/>
          <w:strike w:val="false"/>
          <w:dstrike w:val="false"/>
          <w:color w:val="000000"/>
          <w:spacing w:val="3"/>
          <w:w w:val="100"/>
          <w:position w:val="0"/>
          <w:sz w:val="20"/>
          <w:sz w:val="20"/>
          <w:vertAlign w:val="baseline"/>
          <w:lang w:val="en-US"/>
        </w:rPr>
        <w:t xml:space="preserve">difference in levels is the low correlation (0.23) between the data series in column one of </w:t>
      </w:r>
      <w:r>
        <w:rPr>
          <w:rFonts w:ascii="Arial" w:hAnsi="Arial"/>
          <w:b/>
          <w:strike w:val="false"/>
          <w:dstrike w:val="false"/>
          <w:color w:val="000000"/>
          <w:spacing w:val="4"/>
          <w:w w:val="100"/>
          <w:position w:val="0"/>
          <w:sz w:val="20"/>
          <w:sz w:val="20"/>
          <w:vertAlign w:val="baseline"/>
          <w:lang w:val="en-US"/>
        </w:rPr>
        <w:t>Table 1 and column one of Table 6.</w:t>
      </w:r>
    </w:p>
    <w:p>
      <w:pPr>
        <w:pStyle w:val="Normal"/>
        <w:spacing w:lineRule="auto" w:line="192" w:before="0" w:after="0"/>
        <w:ind w:left="0" w:right="0" w:hanging="0"/>
        <w:jc w:val="center"/>
        <w:rPr>
          <w:rFonts w:ascii="Verdana" w:hAnsi="Verdana"/>
          <w:b/>
          <w:b/>
          <w:strike w:val="false"/>
          <w:dstrike w:val="false"/>
          <w:color w:val="000000"/>
          <w:spacing w:val="0"/>
          <w:w w:val="100"/>
          <w:position w:val="0"/>
          <w:sz w:val="22"/>
          <w:sz w:val="19"/>
          <w:vertAlign w:val="baseline"/>
          <w:lang w:val="en-US"/>
        </w:rPr>
      </w:pPr>
      <w:r>
        <w:rPr>
          <w:rFonts w:ascii="Verdana" w:hAnsi="Verdana"/>
          <w:b/>
          <w:strike w:val="false"/>
          <w:dstrike w:val="false"/>
          <w:color w:val="000000"/>
          <w:spacing w:val="0"/>
          <w:w w:val="100"/>
          <w:position w:val="0"/>
          <w:sz w:val="19"/>
          <w:sz w:val="19"/>
          <w:vertAlign w:val="baseline"/>
          <w:lang w:val="en-US"/>
        </w:rPr>
        <w:t>24</w:t>
      </w:r>
    </w:p>
    <w:p>
      <w:pPr>
        <w:pStyle w:val="Normal"/>
        <w:spacing w:lineRule="auto" w:line="276" w:before="216" w:after="0"/>
        <w:ind w:left="0" w:right="0" w:hanging="0"/>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measurement error masks a stronger correlation between actual returns."</w:t>
      </w:r>
    </w:p>
    <w:p>
      <w:pPr>
        <w:pStyle w:val="Normal"/>
        <w:spacing w:lineRule="auto" w:line="480" w:before="216" w:after="0"/>
        <w:ind w:left="0" w:right="0" w:firstLine="648"/>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The international evidence can also provide some perspective on recent movements </w:t>
      </w:r>
      <w:r>
        <w:rPr>
          <w:rFonts w:ascii="Arial" w:hAnsi="Arial"/>
          <w:b/>
          <w:strike w:val="false"/>
          <w:dstrike w:val="false"/>
          <w:color w:val="000000"/>
          <w:spacing w:val="0"/>
          <w:w w:val="100"/>
          <w:position w:val="0"/>
          <w:sz w:val="20"/>
          <w:sz w:val="20"/>
          <w:vertAlign w:val="baseline"/>
          <w:lang w:val="en-US"/>
        </w:rPr>
        <w:t xml:space="preserve">in the labor income share of national income in the United States. Table 8 presents the labor </w:t>
      </w:r>
      <w:r>
        <w:rPr>
          <w:rFonts w:ascii="Arial" w:hAnsi="Arial"/>
          <w:b/>
          <w:strike w:val="false"/>
          <w:dstrike w:val="false"/>
          <w:color w:val="000000"/>
          <w:spacing w:val="1"/>
          <w:w w:val="100"/>
          <w:position w:val="0"/>
          <w:sz w:val="20"/>
          <w:sz w:val="20"/>
          <w:vertAlign w:val="baseline"/>
          <w:lang w:val="en-US"/>
        </w:rPr>
        <w:t xml:space="preserve">share for the G-7 nations over the 1966-1995 period. The data show very little change in the </w:t>
      </w:r>
      <w:r>
        <w:rPr>
          <w:rFonts w:ascii="Arial" w:hAnsi="Arial"/>
          <w:b/>
          <w:strike w:val="false"/>
          <w:dstrike w:val="false"/>
          <w:color w:val="000000"/>
          <w:spacing w:val="2"/>
          <w:w w:val="100"/>
          <w:position w:val="0"/>
          <w:sz w:val="20"/>
          <w:sz w:val="20"/>
          <w:vertAlign w:val="baseline"/>
          <w:lang w:val="en-US"/>
        </w:rPr>
        <w:t xml:space="preserve">labor share in the United States during the last decade, although the average for the 1990s </w:t>
      </w:r>
      <w:r>
        <w:rPr>
          <w:rFonts w:ascii="Arial" w:hAnsi="Arial"/>
          <w:b/>
          <w:strike w:val="false"/>
          <w:dstrike w:val="false"/>
          <w:color w:val="000000"/>
          <w:spacing w:val="5"/>
          <w:w w:val="100"/>
          <w:position w:val="0"/>
          <w:sz w:val="20"/>
          <w:sz w:val="20"/>
          <w:vertAlign w:val="baseline"/>
          <w:lang w:val="en-US"/>
        </w:rPr>
        <w:t xml:space="preserve">(66.2 percent) is 0.5 percentage points lower than the average for the 1980s. In contrast, </w:t>
      </w:r>
      <w:r>
        <w:rPr>
          <w:rFonts w:ascii="Arial" w:hAnsi="Arial"/>
          <w:b/>
          <w:strike w:val="false"/>
          <w:dstrike w:val="false"/>
          <w:color w:val="000000"/>
          <w:spacing w:val="0"/>
          <w:w w:val="100"/>
          <w:position w:val="0"/>
          <w:sz w:val="20"/>
          <w:sz w:val="20"/>
          <w:vertAlign w:val="baseline"/>
          <w:lang w:val="en-US"/>
        </w:rPr>
        <w:t xml:space="preserve">the average labor share for the G-7 declined by 1.4 percentage points between the 1980s and </w:t>
      </w:r>
      <w:r>
        <w:rPr>
          <w:rFonts w:ascii="Arial" w:hAnsi="Arial"/>
          <w:b/>
          <w:strike w:val="false"/>
          <w:dstrike w:val="false"/>
          <w:color w:val="000000"/>
          <w:spacing w:val="6"/>
          <w:w w:val="100"/>
          <w:position w:val="0"/>
          <w:sz w:val="20"/>
          <w:sz w:val="20"/>
          <w:vertAlign w:val="baseline"/>
          <w:lang w:val="en-US"/>
        </w:rPr>
        <w:t xml:space="preserve">the 1990s, and the most recent data (1995) is substantially below the early 1990s. There </w:t>
      </w:r>
      <w:r>
        <w:rPr>
          <w:rFonts w:ascii="Arial" w:hAnsi="Arial"/>
          <w:b/>
          <w:strike w:val="false"/>
          <w:dstrike w:val="false"/>
          <w:color w:val="000000"/>
          <w:spacing w:val="-4"/>
          <w:w w:val="100"/>
          <w:position w:val="0"/>
          <w:sz w:val="20"/>
          <w:sz w:val="20"/>
          <w:vertAlign w:val="baseline"/>
          <w:lang w:val="en-US"/>
        </w:rPr>
        <w:t xml:space="preserve">are sharp differences across countries in the evolution of the labor share, with declines in the </w:t>
      </w:r>
      <w:r>
        <w:rPr>
          <w:rFonts w:ascii="Arial" w:hAnsi="Arial"/>
          <w:b/>
          <w:strike w:val="false"/>
          <w:dstrike w:val="false"/>
          <w:color w:val="000000"/>
          <w:spacing w:val="-1"/>
          <w:w w:val="100"/>
          <w:position w:val="0"/>
          <w:sz w:val="20"/>
          <w:sz w:val="20"/>
          <w:vertAlign w:val="baseline"/>
          <w:lang w:val="en-US"/>
        </w:rPr>
        <w:t xml:space="preserve">continental European countries during the last decade, and some evidence of an increase in </w:t>
      </w:r>
      <w:r>
        <w:rPr>
          <w:rFonts w:ascii="Arial" w:hAnsi="Arial"/>
          <w:b/>
          <w:strike w:val="false"/>
          <w:dstrike w:val="false"/>
          <w:color w:val="000000"/>
          <w:spacing w:val="0"/>
          <w:w w:val="100"/>
          <w:position w:val="0"/>
          <w:sz w:val="20"/>
          <w:sz w:val="20"/>
          <w:vertAlign w:val="baseline"/>
          <w:lang w:val="en-US"/>
        </w:rPr>
        <w:t xml:space="preserve">Canada and the United Kingdom. Explaining these divergent patterns is beyond the current project. Blanchard (1997) relates changing labor shares to different labor market institutions, </w:t>
      </w:r>
      <w:r>
        <w:rPr>
          <w:rFonts w:ascii="Arial" w:hAnsi="Arial"/>
          <w:b/>
          <w:strike w:val="false"/>
          <w:dstrike w:val="false"/>
          <w:color w:val="000000"/>
          <w:spacing w:val="2"/>
          <w:w w:val="100"/>
          <w:position w:val="0"/>
          <w:sz w:val="20"/>
          <w:sz w:val="20"/>
          <w:vertAlign w:val="baseline"/>
          <w:lang w:val="en-US"/>
        </w:rPr>
        <w:t>and different macroeconomic shocks, affecting the various OECD nations.</w:t>
      </w:r>
    </w:p>
    <w:p>
      <w:pPr>
        <w:pStyle w:val="Normal"/>
        <w:spacing w:lineRule="auto" w:line="240" w:before="396" w:after="0"/>
        <w:ind w:left="0" w:right="0" w:hanging="0"/>
        <w:jc w:val="center"/>
        <w:rPr>
          <w:rFonts w:ascii="Arial" w:hAnsi="Arial"/>
          <w:b/>
          <w:b/>
          <w:strike w:val="false"/>
          <w:dstrike w:val="false"/>
          <w:color w:val="000000"/>
          <w:spacing w:val="1"/>
          <w:w w:val="100"/>
          <w:position w:val="0"/>
          <w:sz w:val="22"/>
          <w:sz w:val="20"/>
          <w:u w:val="single"/>
          <w:vertAlign w:val="baseline"/>
          <w:lang w:val="en-US"/>
        </w:rPr>
      </w:pPr>
      <w:r>
        <w:rPr>
          <w:rFonts w:ascii="Arial" w:hAnsi="Arial"/>
          <w:b/>
          <w:strike w:val="false"/>
          <w:dstrike w:val="false"/>
          <w:color w:val="000000"/>
          <w:spacing w:val="1"/>
          <w:w w:val="100"/>
          <w:position w:val="0"/>
          <w:sz w:val="20"/>
          <w:sz w:val="20"/>
          <w:u w:val="single"/>
          <w:vertAlign w:val="baseline"/>
          <w:lang w:val="en-US"/>
        </w:rPr>
        <w:t xml:space="preserve">Accounting Returns versus Financial Market Returns </w:t>
      </w:r>
    </w:p>
    <w:p>
      <w:pPr>
        <w:pStyle w:val="Normal"/>
        <w:spacing w:lineRule="auto" w:line="480" w:before="288" w:after="1080"/>
        <w:ind w:left="0" w:right="0" w:firstLine="648"/>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The results in this paper focus on "accounting" rates of return, rather than rates of return measured in capital markets. One question that arises in discussions of the social return to capital accumulation concerns the choice between these alternative measures of</w:t>
      </w:r>
    </w:p>
    <w:p>
      <w:pPr>
        <w:sectPr>
          <w:type w:val="nextPage"/>
          <w:pgSz w:w="12240" w:h="15840"/>
          <w:pgMar w:left="1394" w:right="1336" w:header="0" w:top="1440" w:footer="0" w:bottom="1250" w:gutter="0"/>
          <w:pgNumType w:fmt="decimal"/>
          <w:formProt w:val="false"/>
          <w:textDirection w:val="lrTb"/>
          <w:docGrid w:type="default" w:linePitch="100" w:charSpace="4096"/>
        </w:sectPr>
        <w:pStyle w:val="Normal"/>
        <w:spacing w:lineRule="auto" w:line="240" w:before="180" w:after="0"/>
        <w:ind w:left="0" w:right="0" w:firstLine="360"/>
        <w:jc w:val="both"/>
        <w:rPr>
          <w:rFonts w:ascii="Arial" w:hAnsi="Arial"/>
          <w:b/>
          <w:b/>
          <w:strike w:val="false"/>
          <w:dstrike w:val="false"/>
          <w:color w:val="000000"/>
          <w:spacing w:val="5"/>
          <w:w w:val="100"/>
          <w:position w:val="0"/>
          <w:sz w:val="22"/>
          <w:sz w:val="20"/>
          <w:vertAlign w:val="baseline"/>
          <w:lang w:val="en-US"/>
        </w:rPr>
      </w:pPr>
      <w:r>
        <mc:AlternateContent>
          <mc:Choice Requires="wps">
            <w:drawing>
              <wp:anchor behindDoc="0" distT="0" distB="0" distL="114300" distR="114300" simplePos="0" locked="0" layoutInCell="1" allowOverlap="1" relativeHeight="17">
                <wp:simplePos x="0" y="0"/>
                <wp:positionH relativeFrom="column">
                  <wp:posOffset>0</wp:posOffset>
                </wp:positionH>
                <wp:positionV relativeFrom="paragraph">
                  <wp:posOffset>6350</wp:posOffset>
                </wp:positionV>
                <wp:extent cx="1241425" cy="1270"/>
                <wp:effectExtent l="0" t="0" r="0" b="0"/>
                <wp:wrapNone/>
                <wp:docPr id="16" name=""/>
                <a:graphic xmlns:a="http://schemas.openxmlformats.org/drawingml/2006/main">
                  <a:graphicData uri="http://schemas.microsoft.com/office/word/2010/wordprocessingShape">
                    <wps:wsp>
                      <wps:cNvSpPr/>
                      <wps:spPr>
                        <a:xfrm>
                          <a:off x="0" y="0"/>
                          <a:ext cx="176796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139.15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5"/>
          <w:w w:val="100"/>
          <w:position w:val="0"/>
          <w:sz w:val="20"/>
          <w:sz w:val="20"/>
          <w:vertAlign w:val="baseline"/>
          <w:lang w:val="en-US"/>
        </w:rPr>
        <w:t>"</w:t>
      </w:r>
      <w:r>
        <w:rPr>
          <w:rFonts w:ascii="Arial" w:hAnsi="Arial"/>
          <w:b/>
          <w:strike w:val="false"/>
          <w:dstrike w:val="false"/>
          <w:color w:val="000000"/>
          <w:spacing w:val="5"/>
          <w:w w:val="100"/>
          <w:position w:val="0"/>
          <w:sz w:val="20"/>
          <w:sz w:val="20"/>
          <w:vertAlign w:val="baseline"/>
          <w:lang w:val="en-US"/>
        </w:rPr>
        <w:t xml:space="preserve">In a setting with much higher quality data, empirical studies that test for common movements in financial market time series, such as real interest rates, reach different </w:t>
      </w:r>
      <w:r>
        <w:rPr>
          <w:rFonts w:ascii="Arial" w:hAnsi="Arial"/>
          <w:b/>
          <w:strike w:val="false"/>
          <w:dstrike w:val="false"/>
          <w:color w:val="000000"/>
          <w:spacing w:val="2"/>
          <w:w w:val="100"/>
          <w:position w:val="0"/>
          <w:sz w:val="20"/>
          <w:sz w:val="20"/>
          <w:vertAlign w:val="baseline"/>
          <w:lang w:val="en-US"/>
        </w:rPr>
        <w:t xml:space="preserve">conclusions about the degree of capital market integration. Barro and Sala-i-Martin (1990, </w:t>
      </w:r>
      <w:r>
        <w:rPr>
          <w:rFonts w:ascii="Arial" w:hAnsi="Arial"/>
          <w:b/>
          <w:strike w:val="false"/>
          <w:dstrike w:val="false"/>
          <w:color w:val="000000"/>
          <w:spacing w:val="4"/>
          <w:w w:val="100"/>
          <w:position w:val="0"/>
          <w:sz w:val="20"/>
          <w:sz w:val="20"/>
          <w:vertAlign w:val="baseline"/>
          <w:lang w:val="en-US"/>
        </w:rPr>
        <w:t xml:space="preserve">p.58) report that "each country's expected real interest rate depends primarily on world </w:t>
      </w:r>
      <w:r>
        <w:rPr>
          <w:rFonts w:ascii="Arial" w:hAnsi="Arial"/>
          <w:b/>
          <w:strike w:val="false"/>
          <w:dstrike w:val="false"/>
          <w:color w:val="000000"/>
          <w:spacing w:val="-3"/>
          <w:w w:val="100"/>
          <w:position w:val="0"/>
          <w:sz w:val="20"/>
          <w:sz w:val="20"/>
          <w:vertAlign w:val="baseline"/>
          <w:lang w:val="en-US"/>
        </w:rPr>
        <w:t xml:space="preserve">factors" (although they find Japan and the U.K. to have substantial idiosyncratic components). </w:t>
      </w:r>
      <w:r>
        <w:rPr>
          <w:rFonts w:ascii="Arial" w:hAnsi="Arial"/>
          <w:b/>
          <w:strike w:val="false"/>
          <w:dstrike w:val="false"/>
          <w:color w:val="000000"/>
          <w:spacing w:val="1"/>
          <w:w w:val="100"/>
          <w:position w:val="0"/>
          <w:sz w:val="20"/>
          <w:sz w:val="20"/>
          <w:vertAlign w:val="baseline"/>
          <w:lang w:val="en-US"/>
        </w:rPr>
        <w:t xml:space="preserve">Mishkin (1984), however, concludes (p. 1354) that "the empirical evidence ... strongly rejects </w:t>
      </w:r>
      <w:r>
        <w:rPr>
          <w:rFonts w:ascii="Arial" w:hAnsi="Arial"/>
          <w:b/>
          <w:strike w:val="false"/>
          <w:dstrike w:val="false"/>
          <w:color w:val="000000"/>
          <w:spacing w:val="5"/>
          <w:w w:val="100"/>
          <w:position w:val="0"/>
          <w:sz w:val="20"/>
          <w:sz w:val="20"/>
          <w:vertAlign w:val="baseline"/>
          <w:lang w:val="en-US"/>
        </w:rPr>
        <w:t xml:space="preserve">the null hypothesis of the equality of real euro rates across countries." Orr, Edey, and </w:t>
      </w:r>
      <w:r>
        <w:rPr>
          <w:rFonts w:ascii="Arial" w:hAnsi="Arial"/>
          <w:b/>
          <w:strike w:val="false"/>
          <w:dstrike w:val="false"/>
          <w:color w:val="000000"/>
          <w:spacing w:val="0"/>
          <w:w w:val="100"/>
          <w:position w:val="0"/>
          <w:sz w:val="20"/>
          <w:sz w:val="20"/>
          <w:vertAlign w:val="baseline"/>
          <w:lang w:val="en-US"/>
        </w:rPr>
        <w:t xml:space="preserve">Kennedy (1995) also find significant explanatory power for country-specific variables in their </w:t>
      </w:r>
      <w:r>
        <w:rPr>
          <w:rFonts w:ascii="Arial" w:hAnsi="Arial"/>
          <w:b/>
          <w:strike w:val="false"/>
          <w:dstrike w:val="false"/>
          <w:color w:val="000000"/>
          <w:spacing w:val="3"/>
          <w:w w:val="100"/>
          <w:position w:val="0"/>
          <w:sz w:val="20"/>
          <w:sz w:val="20"/>
          <w:vertAlign w:val="baseline"/>
          <w:lang w:val="en-US"/>
        </w:rPr>
        <w:t>model of real long-term interest rates in the OECD.</w:t>
      </w:r>
    </w:p>
    <w:p>
      <w:pPr>
        <w:pStyle w:val="Normal"/>
        <w:spacing w:lineRule="auto" w:line="208"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w:t>
      </w:r>
    </w:p>
    <w:p>
      <w:pPr>
        <w:pStyle w:val="Normal"/>
        <w:spacing w:lineRule="auto" w:line="480" w:before="612" w:after="396"/>
        <w:ind w:left="0" w:right="0" w:hanging="0"/>
        <w:jc w:val="righ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 xml:space="preserve">returns.' To place the accounting returns on NFC corporate assets in context, I computed </w:t>
        <w:br/>
      </w:r>
      <w:r>
        <w:rPr>
          <w:rFonts w:ascii="Arial" w:hAnsi="Arial"/>
          <w:b/>
          <w:strike w:val="false"/>
          <w:dstrike w:val="false"/>
          <w:color w:val="000000"/>
          <w:spacing w:val="9"/>
          <w:w w:val="100"/>
          <w:position w:val="0"/>
          <w:sz w:val="20"/>
          <w:sz w:val="20"/>
          <w:vertAlign w:val="baseline"/>
          <w:lang w:val="en-US"/>
        </w:rPr>
        <w:t xml:space="preserve">the average return over the 1959-1996 period to an investor who held debt and equity </w:t>
        <w:br/>
      </w:r>
      <w:r>
        <w:rPr>
          <w:rFonts w:ascii="Arial" w:hAnsi="Arial"/>
          <w:b/>
          <w:strike w:val="false"/>
          <w:dstrike w:val="false"/>
          <w:color w:val="000000"/>
          <w:spacing w:val="-1"/>
          <w:w w:val="100"/>
          <w:position w:val="0"/>
          <w:sz w:val="20"/>
          <w:sz w:val="20"/>
          <w:vertAlign w:val="baseline"/>
          <w:lang w:val="en-US"/>
        </w:rPr>
        <w:t xml:space="preserve">securities issued by nonfinancial </w:t>
      </w:r>
      <w:r>
        <w:rPr>
          <w:rFonts w:ascii="Verdana" w:hAnsi="Verdana"/>
          <w:b/>
          <w:strike w:val="false"/>
          <w:dstrike w:val="false"/>
          <w:color w:val="000000"/>
          <w:spacing w:val="-11"/>
          <w:w w:val="100"/>
          <w:position w:val="0"/>
          <w:sz w:val="19"/>
          <w:sz w:val="19"/>
          <w:vertAlign w:val="baseline"/>
          <w:lang w:val="en-US"/>
        </w:rPr>
        <w:t xml:space="preserve">corporations </w:t>
      </w:r>
      <w:r>
        <w:rPr>
          <w:rFonts w:ascii="Arial" w:hAnsi="Arial"/>
          <w:b/>
          <w:strike w:val="false"/>
          <w:dstrike w:val="false"/>
          <w:color w:val="000000"/>
          <w:spacing w:val="-1"/>
          <w:w w:val="100"/>
          <w:position w:val="0"/>
          <w:sz w:val="20"/>
          <w:sz w:val="20"/>
          <w:vertAlign w:val="baseline"/>
          <w:lang w:val="en-US"/>
        </w:rPr>
        <w:t xml:space="preserve">in proportion to their market values. I measured </w:t>
        <w:br/>
      </w:r>
      <w:r>
        <w:rPr>
          <w:rFonts w:ascii="Arial" w:hAnsi="Arial"/>
          <w:b/>
          <w:strike w:val="false"/>
          <w:dstrike w:val="false"/>
          <w:color w:val="000000"/>
          <w:spacing w:val="1"/>
          <w:w w:val="100"/>
          <w:position w:val="0"/>
          <w:sz w:val="20"/>
          <w:sz w:val="20"/>
          <w:vertAlign w:val="baseline"/>
          <w:lang w:val="en-US"/>
        </w:rPr>
        <w:t xml:space="preserve">the equity return as the real return on large capitalization stocks, and the bond return as the </w:t>
        <w:br/>
      </w:r>
      <w:r>
        <w:rPr>
          <w:rFonts w:ascii="Arial" w:hAnsi="Arial"/>
          <w:b/>
          <w:strike w:val="false"/>
          <w:dstrike w:val="false"/>
          <w:color w:val="000000"/>
          <w:spacing w:val="3"/>
          <w:w w:val="100"/>
          <w:position w:val="0"/>
          <w:sz w:val="20"/>
          <w:sz w:val="20"/>
          <w:vertAlign w:val="baseline"/>
          <w:lang w:val="en-US"/>
        </w:rPr>
        <w:t xml:space="preserve">real return on long-term corporate bonds, as reported in lbbotson Associates (1997)." The </w:t>
        <w:br/>
      </w:r>
      <w:r>
        <w:rPr>
          <w:rFonts w:ascii="Arial" w:hAnsi="Arial"/>
          <w:b/>
          <w:strike w:val="false"/>
          <w:dstrike w:val="false"/>
          <w:color w:val="000000"/>
          <w:spacing w:val="1"/>
          <w:w w:val="100"/>
          <w:position w:val="0"/>
          <w:sz w:val="20"/>
          <w:sz w:val="20"/>
          <w:vertAlign w:val="baseline"/>
          <w:lang w:val="en-US"/>
        </w:rPr>
        <w:t xml:space="preserve">average pretax real return on this debt and equity portfolio was 6.6 percent, with a standard </w:t>
        <w:br/>
      </w:r>
      <w:r>
        <w:rPr>
          <w:rFonts w:ascii="Arial" w:hAnsi="Arial"/>
          <w:b/>
          <w:strike w:val="false"/>
          <w:dstrike w:val="false"/>
          <w:color w:val="000000"/>
          <w:spacing w:val="5"/>
          <w:w w:val="100"/>
          <w:position w:val="0"/>
          <w:sz w:val="20"/>
          <w:sz w:val="20"/>
          <w:vertAlign w:val="baseline"/>
          <w:lang w:val="en-US"/>
        </w:rPr>
        <w:t xml:space="preserve">deviation of 14.0 percent. This should be compared with the average after-corporate-tax </w:t>
        <w:br/>
      </w:r>
      <w:r>
        <w:rPr>
          <w:rFonts w:ascii="Arial" w:hAnsi="Arial"/>
          <w:b/>
          <w:strike w:val="false"/>
          <w:dstrike w:val="false"/>
          <w:color w:val="000000"/>
          <w:spacing w:val="7"/>
          <w:w w:val="100"/>
          <w:position w:val="0"/>
          <w:sz w:val="20"/>
          <w:sz w:val="20"/>
          <w:vertAlign w:val="baseline"/>
          <w:lang w:val="en-US"/>
        </w:rPr>
        <w:t xml:space="preserve">accounting return of 5.1 percent over this time period, with a standard deviation of 1.0 </w:t>
        <w:br/>
        <w:t xml:space="preserve">percent. Thus the NIPA "accounting return" is somewhat lower than the capital market </w:t>
        <w:br/>
      </w:r>
      <w:r>
        <w:rPr>
          <w:rFonts w:ascii="Arial" w:hAnsi="Arial"/>
          <w:b/>
          <w:strike w:val="false"/>
          <w:dstrike w:val="false"/>
          <w:color w:val="000000"/>
          <w:spacing w:val="6"/>
          <w:w w:val="100"/>
          <w:position w:val="0"/>
          <w:sz w:val="20"/>
          <w:sz w:val="20"/>
          <w:vertAlign w:val="baseline"/>
          <w:lang w:val="en-US"/>
        </w:rPr>
        <w:t>return, but not by enough to reject the null hypothesis that the two returns are equal.</w:t>
      </w:r>
      <w:r>
        <w:rPr>
          <w:rFonts w:ascii="Arial" w:hAnsi="Arial"/>
          <w:b/>
          <w:strike w:val="false"/>
          <w:dstrike w:val="false"/>
          <w:color w:val="000000"/>
          <w:spacing w:val="6"/>
          <w:w w:val="100"/>
          <w:sz w:val="20"/>
          <w:vertAlign w:val="superscript"/>
          <w:lang w:val="en-US"/>
        </w:rPr>
        <w:t>21</w:t>
      </w:r>
      <w:r>
        <w:rPr>
          <w:rFonts w:ascii="Arial" w:hAnsi="Arial"/>
          <w:b/>
          <w:strike w:val="false"/>
          <w:dstrike w:val="false"/>
          <w:color w:val="000000"/>
          <w:spacing w:val="6"/>
          <w:w w:val="100"/>
          <w:position w:val="0"/>
          <w:sz w:val="20"/>
          <w:sz w:val="20"/>
          <w:vertAlign w:val="baseline"/>
          <w:lang w:val="en-US"/>
        </w:rPr>
        <w:t xml:space="preserve"> </w:t>
        <w:br/>
      </w:r>
      <w:r>
        <w:rPr>
          <w:rFonts w:ascii="Arial" w:hAnsi="Arial"/>
          <w:b/>
          <w:strike w:val="false"/>
          <w:dstrike w:val="false"/>
          <w:color w:val="000000"/>
          <w:spacing w:val="1"/>
          <w:w w:val="100"/>
          <w:position w:val="0"/>
          <w:sz w:val="20"/>
          <w:sz w:val="20"/>
          <w:vertAlign w:val="baseline"/>
          <w:lang w:val="en-US"/>
        </w:rPr>
        <w:t xml:space="preserve">There is much greater variation in the financial market return than in the accounting return. </w:t>
        <w:br/>
      </w:r>
      <w:r>
        <w:rPr>
          <w:rFonts w:ascii="Arial" w:hAnsi="Arial"/>
          <w:b/>
          <w:strike w:val="false"/>
          <w:dstrike w:val="false"/>
          <w:color w:val="000000"/>
          <w:spacing w:val="0"/>
          <w:w w:val="100"/>
          <w:position w:val="0"/>
          <w:sz w:val="20"/>
          <w:sz w:val="20"/>
          <w:vertAlign w:val="baseline"/>
          <w:lang w:val="en-US"/>
        </w:rPr>
        <w:t xml:space="preserve">A related issue about the relationship between accounting and financial market returns </w:t>
        <w:br/>
      </w:r>
      <w:r>
        <w:rPr>
          <w:rFonts w:ascii="Arial" w:hAnsi="Arial"/>
          <w:b/>
          <w:strike w:val="false"/>
          <w:dstrike w:val="false"/>
          <w:color w:val="000000"/>
          <w:spacing w:val="2"/>
          <w:w w:val="100"/>
          <w:position w:val="0"/>
          <w:sz w:val="20"/>
          <w:sz w:val="20"/>
          <w:vertAlign w:val="baseline"/>
          <w:lang w:val="en-US"/>
        </w:rPr>
        <w:t xml:space="preserve">concerns the recent increase in corporate profits and the coincident increase in the market </w:t>
        <w:br/>
      </w:r>
      <w:r>
        <w:rPr>
          <w:rFonts w:ascii="Arial" w:hAnsi="Arial"/>
          <w:b/>
          <w:strike w:val="false"/>
          <w:dstrike w:val="false"/>
          <w:color w:val="000000"/>
          <w:spacing w:val="1"/>
          <w:w w:val="100"/>
          <w:position w:val="0"/>
          <w:sz w:val="20"/>
          <w:sz w:val="20"/>
          <w:vertAlign w:val="baseline"/>
          <w:lang w:val="en-US"/>
        </w:rPr>
        <w:t xml:space="preserve">value of U.S. stocks. Part of the popular interest in recent changes in the labor income share </w:t>
        <w:br/>
      </w:r>
      <w:r>
        <w:rPr>
          <w:rFonts w:ascii="Arial" w:hAnsi="Arial"/>
          <w:b/>
          <w:strike w:val="false"/>
          <w:dstrike w:val="false"/>
          <w:color w:val="000000"/>
          <w:spacing w:val="0"/>
          <w:w w:val="100"/>
          <w:position w:val="0"/>
          <w:sz w:val="20"/>
          <w:sz w:val="20"/>
          <w:vertAlign w:val="baseline"/>
          <w:lang w:val="en-US"/>
        </w:rPr>
        <w:t xml:space="preserve">of national income may be related to the high returns being earned by stock market investors </w:t>
        <w:br/>
      </w:r>
      <w:r>
        <w:rPr>
          <w:rFonts w:ascii="Arial" w:hAnsi="Arial"/>
          <w:b/>
          <w:strike w:val="false"/>
          <w:dstrike w:val="false"/>
          <w:color w:val="000000"/>
          <w:spacing w:val="3"/>
          <w:w w:val="100"/>
          <w:position w:val="0"/>
          <w:sz w:val="20"/>
          <w:sz w:val="20"/>
          <w:vertAlign w:val="baseline"/>
          <w:lang w:val="en-US"/>
        </w:rPr>
        <w:t>in the mid-1990s. Two points about the relationship between corporate capital income and</w:t>
      </w:r>
    </w:p>
    <w:p>
      <w:pPr>
        <w:pStyle w:val="Normal"/>
        <w:spacing w:lineRule="auto" w:line="240" w:before="180" w:after="0"/>
        <w:ind w:left="0" w:right="0" w:firstLine="360"/>
        <w:jc w:val="left"/>
        <w:rPr>
          <w:rFonts w:ascii="Arial" w:hAnsi="Arial"/>
          <w:b/>
          <w:b/>
          <w:strike w:val="false"/>
          <w:dstrike w:val="false"/>
          <w:color w:val="000000"/>
          <w:spacing w:val="8"/>
          <w:w w:val="100"/>
          <w:position w:val="0"/>
          <w:sz w:val="22"/>
          <w:sz w:val="20"/>
          <w:vertAlign w:val="baseline"/>
          <w:lang w:val="en-US"/>
        </w:rPr>
      </w:pPr>
      <w:r>
        <mc:AlternateContent>
          <mc:Choice Requires="wps">
            <w:drawing>
              <wp:anchor behindDoc="0" distT="0" distB="0" distL="114300" distR="114300" simplePos="0" locked="0" layoutInCell="1" allowOverlap="1" relativeHeight="18">
                <wp:simplePos x="0" y="0"/>
                <wp:positionH relativeFrom="column">
                  <wp:posOffset>0</wp:posOffset>
                </wp:positionH>
                <wp:positionV relativeFrom="paragraph">
                  <wp:posOffset>7620</wp:posOffset>
                </wp:positionV>
                <wp:extent cx="1242695" cy="1270"/>
                <wp:effectExtent l="0" t="0" r="0" b="0"/>
                <wp:wrapNone/>
                <wp:docPr id="17" name=""/>
                <a:graphic xmlns:a="http://schemas.openxmlformats.org/drawingml/2006/main">
                  <a:graphicData uri="http://schemas.microsoft.com/office/word/2010/wordprocessingShape">
                    <wps:wsp>
                      <wps:cNvSpPr/>
                      <wps:spPr>
                        <a:xfrm>
                          <a:off x="0" y="0"/>
                          <a:ext cx="1769760" cy="0"/>
                        </a:xfrm>
                        <a:prstGeom prst="line">
                          <a:avLst/>
                        </a:prstGeom>
                        <a:ln w="14040">
                          <a:solidFill>
                            <a:srgbClr val="000000"/>
                          </a:solidFill>
                          <a:round/>
                        </a:ln>
                      </wps:spPr>
                      <wps:style>
                        <a:lnRef idx="0"/>
                        <a:fillRef idx="0"/>
                        <a:effectRef idx="0"/>
                        <a:fontRef idx="minor"/>
                      </wps:style>
                      <wps:bodyPr/>
                    </wps:wsp>
                  </a:graphicData>
                </a:graphic>
              </wp:anchor>
            </w:drawing>
          </mc:Choice>
          <mc:Fallback>
            <w:pict>
              <v:line id="shape_0" from="0pt,0.6pt" to="139.3pt,0.6pt" stroked="t" style="position:absolute">
                <v:stroke color="black" weight="14040" joinstyle="round" endcap="flat"/>
                <v:fill o:detectmouseclick="t" on="false"/>
              </v:line>
            </w:pict>
          </mc:Fallback>
        </mc:AlternateContent>
      </w:r>
      <w:r>
        <w:rPr>
          <w:rFonts w:ascii="Arial" w:hAnsi="Arial"/>
          <w:b/>
          <w:strike w:val="false"/>
          <w:dstrike w:val="false"/>
          <w:color w:val="000000"/>
          <w:spacing w:val="8"/>
          <w:w w:val="100"/>
          <w:position w:val="0"/>
          <w:sz w:val="20"/>
          <w:sz w:val="20"/>
          <w:vertAlign w:val="baseline"/>
          <w:lang w:val="en-US"/>
        </w:rPr>
        <w:t>'</w:t>
      </w:r>
      <w:r>
        <w:rPr>
          <w:rFonts w:ascii="Arial" w:hAnsi="Arial"/>
          <w:b/>
          <w:strike w:val="false"/>
          <w:dstrike w:val="false"/>
          <w:color w:val="000000"/>
          <w:spacing w:val="8"/>
          <w:w w:val="100"/>
          <w:position w:val="0"/>
          <w:sz w:val="20"/>
          <w:sz w:val="20"/>
          <w:vertAlign w:val="baseline"/>
          <w:lang w:val="en-US"/>
        </w:rPr>
        <w:t xml:space="preserve">Summers (1990) raises this question and a number of related ones, such as the </w:t>
      </w:r>
      <w:r>
        <w:rPr>
          <w:rFonts w:ascii="Arial" w:hAnsi="Arial"/>
          <w:b/>
          <w:strike w:val="false"/>
          <w:dstrike w:val="false"/>
          <w:color w:val="000000"/>
          <w:spacing w:val="2"/>
          <w:w w:val="100"/>
          <w:position w:val="0"/>
          <w:sz w:val="20"/>
          <w:sz w:val="20"/>
          <w:vertAlign w:val="baseline"/>
          <w:lang w:val="en-US"/>
        </w:rPr>
        <w:t>appropriate treatment of risk in the definition of the social rate of return.</w:t>
      </w:r>
    </w:p>
    <w:p>
      <w:pPr>
        <w:pStyle w:val="Normal"/>
        <w:spacing w:lineRule="auto" w:line="240" w:before="252" w:after="0"/>
        <w:ind w:left="0" w:right="0" w:firstLine="360"/>
        <w:jc w:val="both"/>
        <w:rPr>
          <w:rFonts w:ascii="Arial" w:hAnsi="Arial"/>
          <w:b/>
          <w:b/>
          <w:strike w:val="false"/>
          <w:dstrike w:val="false"/>
          <w:color w:val="000000"/>
          <w:spacing w:val="7"/>
          <w:w w:val="100"/>
          <w:sz w:val="12"/>
          <w:vertAlign w:val="superscript"/>
          <w:lang w:val="en-US"/>
        </w:rPr>
      </w:pPr>
      <w:r>
        <w:rPr>
          <w:rFonts w:ascii="Arial" w:hAnsi="Arial"/>
          <w:b/>
          <w:strike w:val="false"/>
          <w:dstrike w:val="false"/>
          <w:color w:val="000000"/>
          <w:spacing w:val="7"/>
          <w:w w:val="100"/>
          <w:sz w:val="12"/>
          <w:vertAlign w:val="superscript"/>
          <w:lang w:val="en-US"/>
        </w:rPr>
        <w:t>20</w:t>
      </w:r>
      <w:r>
        <w:rPr>
          <w:rFonts w:ascii="Arial" w:hAnsi="Arial"/>
          <w:b/>
          <w:strike w:val="false"/>
          <w:dstrike w:val="false"/>
          <w:color w:val="000000"/>
          <w:spacing w:val="7"/>
          <w:w w:val="100"/>
          <w:position w:val="0"/>
          <w:sz w:val="20"/>
          <w:sz w:val="20"/>
          <w:vertAlign w:val="baseline"/>
          <w:lang w:val="en-US"/>
        </w:rPr>
        <w:t xml:space="preserve">1 estimated the market value of debt and equity in nonfinancial corporations by </w:t>
      </w:r>
      <w:r>
        <w:rPr>
          <w:rFonts w:ascii="Arial" w:hAnsi="Arial"/>
          <w:b/>
          <w:strike w:val="false"/>
          <w:dstrike w:val="false"/>
          <w:color w:val="000000"/>
          <w:spacing w:val="0"/>
          <w:w w:val="100"/>
          <w:position w:val="0"/>
          <w:sz w:val="20"/>
          <w:sz w:val="20"/>
          <w:vertAlign w:val="baseline"/>
          <w:lang w:val="en-US"/>
        </w:rPr>
        <w:t xml:space="preserve">capitalizing net interest payments (using the BAA interest rate) and dividend payments (using </w:t>
      </w:r>
      <w:r>
        <w:rPr>
          <w:rFonts w:ascii="Arial" w:hAnsi="Arial"/>
          <w:b/>
          <w:strike w:val="false"/>
          <w:dstrike w:val="false"/>
          <w:color w:val="000000"/>
          <w:spacing w:val="2"/>
          <w:w w:val="100"/>
          <w:position w:val="0"/>
          <w:sz w:val="20"/>
          <w:sz w:val="20"/>
          <w:vertAlign w:val="baseline"/>
          <w:lang w:val="en-US"/>
        </w:rPr>
        <w:t xml:space="preserve">the dividend yield on the S&amp;P500). The resulting market value debt-equity ratio displays </w:t>
      </w:r>
      <w:r>
        <w:rPr>
          <w:rFonts w:ascii="Arial" w:hAnsi="Arial"/>
          <w:b/>
          <w:strike w:val="false"/>
          <w:dstrike w:val="false"/>
          <w:color w:val="000000"/>
          <w:spacing w:val="4"/>
          <w:w w:val="100"/>
          <w:position w:val="0"/>
          <w:sz w:val="20"/>
          <w:sz w:val="20"/>
          <w:vertAlign w:val="baseline"/>
          <w:lang w:val="en-US"/>
        </w:rPr>
        <w:t xml:space="preserve">substantial variation over time. In 1960, the market value of equity represented 81 percent </w:t>
      </w:r>
      <w:r>
        <w:rPr>
          <w:rFonts w:ascii="Arial" w:hAnsi="Arial"/>
          <w:b/>
          <w:strike w:val="false"/>
          <w:dstrike w:val="false"/>
          <w:color w:val="000000"/>
          <w:spacing w:val="5"/>
          <w:w w:val="100"/>
          <w:position w:val="0"/>
          <w:sz w:val="20"/>
          <w:sz w:val="20"/>
          <w:vertAlign w:val="baseline"/>
          <w:lang w:val="en-US"/>
        </w:rPr>
        <w:t xml:space="preserve">of the total market value of the nonfinancial corporate sector. This ratio declined to 72 </w:t>
      </w:r>
      <w:r>
        <w:rPr>
          <w:rFonts w:ascii="Arial" w:hAnsi="Arial"/>
          <w:b/>
          <w:strike w:val="false"/>
          <w:dstrike w:val="false"/>
          <w:color w:val="000000"/>
          <w:spacing w:val="3"/>
          <w:w w:val="100"/>
          <w:position w:val="0"/>
          <w:sz w:val="20"/>
          <w:sz w:val="20"/>
          <w:vertAlign w:val="baseline"/>
          <w:lang w:val="en-US"/>
        </w:rPr>
        <w:t xml:space="preserve">percent in 1970, and 67 percent in 1980, and has subsequently increased to 87 percent in </w:t>
      </w:r>
      <w:r>
        <w:rPr>
          <w:rFonts w:ascii="Arial" w:hAnsi="Arial"/>
          <w:b/>
          <w:strike w:val="false"/>
          <w:dstrike w:val="false"/>
          <w:color w:val="000000"/>
          <w:spacing w:val="6"/>
          <w:w w:val="100"/>
          <w:position w:val="0"/>
          <w:sz w:val="20"/>
          <w:sz w:val="20"/>
          <w:vertAlign w:val="baseline"/>
          <w:lang w:val="en-US"/>
        </w:rPr>
        <w:t>1996. Data for mid-1997 would likely show an even higher ratio.</w:t>
      </w:r>
    </w:p>
    <w:p>
      <w:pPr>
        <w:sectPr>
          <w:type w:val="nextPage"/>
          <w:pgSz w:w="12240" w:h="15840"/>
          <w:pgMar w:left="1395" w:right="1335" w:header="0" w:top="1496" w:footer="0" w:bottom="1134" w:gutter="0"/>
          <w:pgNumType w:fmt="decimal"/>
          <w:formProt w:val="false"/>
          <w:textDirection w:val="lrTb"/>
          <w:docGrid w:type="default" w:linePitch="100" w:charSpace="4096"/>
        </w:sectPr>
        <w:pStyle w:val="Normal"/>
        <w:spacing w:lineRule="auto" w:line="240" w:before="324" w:after="0"/>
        <w:ind w:left="0" w:right="0" w:firstLine="36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standard error of the mean estimate for the financial market return is 2.3 percentage points, so the average accounting return is within a one-standard-deviation confidence interval </w:t>
      </w:r>
      <w:r>
        <w:rPr>
          <w:rFonts w:ascii="Arial" w:hAnsi="Arial"/>
          <w:b/>
          <w:strike w:val="false"/>
          <w:dstrike w:val="false"/>
          <w:color w:val="000000"/>
          <w:spacing w:val="2"/>
          <w:w w:val="100"/>
          <w:position w:val="0"/>
          <w:sz w:val="20"/>
          <w:sz w:val="20"/>
          <w:vertAlign w:val="baseline"/>
          <w:lang w:val="en-US"/>
        </w:rPr>
        <w:t>of the financial market return.</w:t>
      </w:r>
    </w:p>
    <w:p>
      <w:pPr>
        <w:pStyle w:val="Normal"/>
        <w:spacing w:lineRule="exact" w:line="211"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w:t>
      </w:r>
    </w:p>
    <w:p>
      <w:pPr>
        <w:pStyle w:val="Normal"/>
        <w:spacing w:lineRule="exact" w:line="211" w:before="144"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the level of the stock market bear note.</w:t>
      </w:r>
    </w:p>
    <w:p>
      <w:pPr>
        <w:pStyle w:val="Normal"/>
        <w:spacing w:lineRule="exact" w:line="442" w:before="180" w:after="0"/>
        <w:ind w:left="0" w:right="0" w:firstLine="648"/>
        <w:jc w:val="both"/>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First, earnings growth has been an important factor in the recent rise in equity values. </w:t>
      </w:r>
      <w:r>
        <w:rPr>
          <w:rFonts w:ascii="Arial" w:hAnsi="Arial"/>
          <w:b/>
          <w:strike w:val="false"/>
          <w:dstrike w:val="false"/>
          <w:color w:val="000000"/>
          <w:spacing w:val="3"/>
          <w:w w:val="100"/>
          <w:position w:val="0"/>
          <w:sz w:val="20"/>
          <w:sz w:val="20"/>
          <w:vertAlign w:val="baseline"/>
          <w:lang w:val="en-US"/>
        </w:rPr>
        <w:t xml:space="preserve">Between the fourth quarter of 1992 and the fourth quarter of 1996, the price-earnings ratio </w:t>
      </w:r>
      <w:r>
        <w:rPr>
          <w:rFonts w:ascii="Arial" w:hAnsi="Arial"/>
          <w:b/>
          <w:strike w:val="false"/>
          <w:dstrike w:val="false"/>
          <w:color w:val="000000"/>
          <w:spacing w:val="0"/>
          <w:w w:val="100"/>
          <w:position w:val="0"/>
          <w:sz w:val="20"/>
          <w:sz w:val="20"/>
          <w:vertAlign w:val="baseline"/>
          <w:lang w:val="en-US"/>
        </w:rPr>
        <w:t xml:space="preserve">for the firms in the Standard and Poor's 500 declined from 22.8 to 19.1, while the share price </w:t>
      </w:r>
      <w:r>
        <w:rPr>
          <w:rFonts w:ascii="Arial" w:hAnsi="Arial"/>
          <w:b/>
          <w:strike w:val="false"/>
          <w:dstrike w:val="false"/>
          <w:color w:val="000000"/>
          <w:spacing w:val="5"/>
          <w:w w:val="100"/>
          <w:position w:val="0"/>
          <w:sz w:val="20"/>
          <w:sz w:val="20"/>
          <w:vertAlign w:val="baseline"/>
          <w:lang w:val="en-US"/>
        </w:rPr>
        <w:t xml:space="preserve">index rose 70.6 percent. Thus earnings growth, at least over this period, has been even </w:t>
      </w:r>
      <w:r>
        <w:rPr>
          <w:rFonts w:ascii="Arial" w:hAnsi="Arial"/>
          <w:b/>
          <w:strike w:val="false"/>
          <w:dstrike w:val="false"/>
          <w:color w:val="000000"/>
          <w:spacing w:val="3"/>
          <w:w w:val="100"/>
          <w:position w:val="0"/>
          <w:sz w:val="20"/>
          <w:sz w:val="20"/>
          <w:vertAlign w:val="baseline"/>
          <w:lang w:val="en-US"/>
        </w:rPr>
        <w:t>faster than the growth in share values.</w:t>
      </w:r>
    </w:p>
    <w:p>
      <w:pPr>
        <w:pStyle w:val="Normal"/>
        <w:spacing w:lineRule="exact" w:line="461" w:before="180" w:after="0"/>
        <w:ind w:left="0" w:right="0" w:firstLine="648"/>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Second, there are important differences between the after-tax earnings that matter for </w:t>
      </w:r>
      <w:r>
        <w:rPr>
          <w:rFonts w:ascii="Arial" w:hAnsi="Arial"/>
          <w:b/>
          <w:strike w:val="false"/>
          <w:dstrike w:val="false"/>
          <w:color w:val="000000"/>
          <w:spacing w:val="-2"/>
          <w:w w:val="100"/>
          <w:position w:val="0"/>
          <w:sz w:val="20"/>
          <w:sz w:val="20"/>
          <w:vertAlign w:val="baseline"/>
          <w:lang w:val="en-US"/>
        </w:rPr>
        <w:t xml:space="preserve">stock market values and the NIPA measures of profits and corporate capital income that are </w:t>
      </w:r>
      <w:r>
        <w:rPr>
          <w:rFonts w:ascii="Arial" w:hAnsi="Arial"/>
          <w:b/>
          <w:strike w:val="false"/>
          <w:dstrike w:val="false"/>
          <w:color w:val="000000"/>
          <w:spacing w:val="2"/>
          <w:w w:val="100"/>
          <w:position w:val="0"/>
          <w:sz w:val="20"/>
          <w:sz w:val="20"/>
          <w:vertAlign w:val="baseline"/>
          <w:lang w:val="en-US"/>
        </w:rPr>
        <w:t xml:space="preserve">discussed in this paper. NIPA profits correspond to the domestic earnings of U.S.-based </w:t>
      </w:r>
      <w:r>
        <w:rPr>
          <w:rFonts w:ascii="Arial" w:hAnsi="Arial"/>
          <w:b/>
          <w:strike w:val="false"/>
          <w:dstrike w:val="false"/>
          <w:color w:val="000000"/>
          <w:spacing w:val="-2"/>
          <w:w w:val="100"/>
          <w:position w:val="0"/>
          <w:sz w:val="20"/>
          <w:sz w:val="20"/>
          <w:vertAlign w:val="baseline"/>
          <w:lang w:val="en-US"/>
        </w:rPr>
        <w:t xml:space="preserve">corporations, plus the profits of U.S.-based subsidiaries of foreign multinational corporations. </w:t>
      </w:r>
      <w:r>
        <w:rPr>
          <w:rFonts w:ascii="Arial" w:hAnsi="Arial"/>
          <w:b/>
          <w:strike w:val="false"/>
          <w:dstrike w:val="false"/>
          <w:color w:val="000000"/>
          <w:spacing w:val="1"/>
          <w:w w:val="100"/>
          <w:position w:val="0"/>
          <w:sz w:val="20"/>
          <w:sz w:val="20"/>
          <w:vertAlign w:val="baseline"/>
          <w:lang w:val="en-US"/>
        </w:rPr>
        <w:t xml:space="preserve">These earnings therefore do not correspond to the worldwide earnings of the corporations </w:t>
      </w:r>
      <w:r>
        <w:rPr>
          <w:rFonts w:ascii="Arial" w:hAnsi="Arial"/>
          <w:b/>
          <w:strike w:val="false"/>
          <w:dstrike w:val="false"/>
          <w:color w:val="000000"/>
          <w:spacing w:val="0"/>
          <w:w w:val="100"/>
          <w:position w:val="0"/>
          <w:sz w:val="20"/>
          <w:sz w:val="20"/>
          <w:vertAlign w:val="baseline"/>
          <w:lang w:val="en-US"/>
        </w:rPr>
        <w:t xml:space="preserve">traded on U.S. equity markets. Dhawan (1997) estimates that 35 percent of the earnings of </w:t>
      </w:r>
      <w:r>
        <w:rPr>
          <w:rFonts w:ascii="Arial" w:hAnsi="Arial"/>
          <w:b/>
          <w:strike w:val="false"/>
          <w:dstrike w:val="false"/>
          <w:color w:val="000000"/>
          <w:spacing w:val="-1"/>
          <w:w w:val="100"/>
          <w:position w:val="0"/>
          <w:sz w:val="20"/>
          <w:sz w:val="20"/>
          <w:vertAlign w:val="baseline"/>
          <w:lang w:val="en-US"/>
        </w:rPr>
        <w:t xml:space="preserve">corporations in the Standard and Poor's 500 Index are generated from foreign operations. For </w:t>
      </w:r>
      <w:r>
        <w:rPr>
          <w:rFonts w:ascii="Arial" w:hAnsi="Arial"/>
          <w:b/>
          <w:strike w:val="false"/>
          <w:dstrike w:val="false"/>
          <w:color w:val="000000"/>
          <w:spacing w:val="0"/>
          <w:w w:val="100"/>
          <w:position w:val="0"/>
          <w:sz w:val="20"/>
          <w:sz w:val="20"/>
          <w:vertAlign w:val="baseline"/>
          <w:lang w:val="en-US"/>
        </w:rPr>
        <w:t>some firms, the fraction is much higher: 85 percent of Coca-Cola's current profits are from overseas.</w:t>
      </w:r>
    </w:p>
    <w:p>
      <w:pPr>
        <w:pStyle w:val="Normal"/>
        <w:spacing w:lineRule="exact" w:line="455" w:before="180" w:after="0"/>
        <w:ind w:left="0" w:right="0" w:firstLine="72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The difference between NIPA earnings and "stock market" earnings can be illustrated </w:t>
      </w:r>
      <w:r>
        <w:rPr>
          <w:rFonts w:ascii="Arial" w:hAnsi="Arial"/>
          <w:b/>
          <w:strike w:val="false"/>
          <w:dstrike w:val="false"/>
          <w:color w:val="000000"/>
          <w:spacing w:val="5"/>
          <w:w w:val="100"/>
          <w:position w:val="0"/>
          <w:sz w:val="20"/>
          <w:sz w:val="20"/>
          <w:vertAlign w:val="baseline"/>
          <w:lang w:val="en-US"/>
        </w:rPr>
        <w:t xml:space="preserve">for recent years. Between the fourth quarters of 1992 and 1996, the nominal earnings of </w:t>
      </w:r>
      <w:r>
        <w:rPr>
          <w:rFonts w:ascii="Arial" w:hAnsi="Arial"/>
          <w:b/>
          <w:strike w:val="false"/>
          <w:dstrike w:val="false"/>
          <w:color w:val="000000"/>
          <w:spacing w:val="9"/>
          <w:w w:val="100"/>
          <w:position w:val="0"/>
          <w:sz w:val="20"/>
          <w:sz w:val="20"/>
          <w:vertAlign w:val="baseline"/>
          <w:lang w:val="en-US"/>
        </w:rPr>
        <w:t xml:space="preserve">firms in the S&amp;P500 increased by 104 percent. Over the same time period, after-tax </w:t>
      </w:r>
      <w:r>
        <w:rPr>
          <w:rFonts w:ascii="Arial" w:hAnsi="Arial"/>
          <w:b/>
          <w:strike w:val="false"/>
          <w:dstrike w:val="false"/>
          <w:color w:val="000000"/>
          <w:spacing w:val="2"/>
          <w:w w:val="100"/>
          <w:position w:val="0"/>
          <w:sz w:val="20"/>
          <w:sz w:val="20"/>
          <w:vertAlign w:val="baseline"/>
          <w:lang w:val="en-US"/>
        </w:rPr>
        <w:t xml:space="preserve">corporate profits in the national income accounts rose 43 percent in nominal terms. While </w:t>
      </w:r>
      <w:r>
        <w:rPr>
          <w:rFonts w:ascii="Arial" w:hAnsi="Arial"/>
          <w:b/>
          <w:strike w:val="false"/>
          <w:dstrike w:val="false"/>
          <w:color w:val="000000"/>
          <w:spacing w:val="0"/>
          <w:w w:val="100"/>
          <w:position w:val="0"/>
          <w:sz w:val="20"/>
          <w:sz w:val="20"/>
          <w:vertAlign w:val="baseline"/>
          <w:lang w:val="en-US"/>
        </w:rPr>
        <w:t xml:space="preserve">both measures suggest that corporate profits rose, the divergence between the two series </w:t>
      </w:r>
      <w:r>
        <w:rPr>
          <w:rFonts w:ascii="Arial" w:hAnsi="Arial"/>
          <w:b/>
          <w:strike w:val="false"/>
          <w:dstrike w:val="false"/>
          <w:color w:val="000000"/>
          <w:spacing w:val="2"/>
          <w:w w:val="100"/>
          <w:position w:val="0"/>
          <w:sz w:val="20"/>
          <w:sz w:val="20"/>
          <w:vertAlign w:val="baseline"/>
          <w:lang w:val="en-US"/>
        </w:rPr>
        <w:t>cautions against using NIPA data to investigate movements in share prices.</w:t>
      </w:r>
    </w:p>
    <w:p>
      <w:pPr>
        <w:pStyle w:val="Normal"/>
        <w:spacing w:lineRule="exact" w:line="211" w:before="180" w:after="0"/>
        <w:ind w:left="0" w:right="0" w:hanging="0"/>
        <w:jc w:val="center"/>
        <w:rPr>
          <w:rFonts w:ascii="Arial" w:hAnsi="Arial"/>
          <w:b/>
          <w:b/>
          <w:strike w:val="false"/>
          <w:dstrike w:val="false"/>
          <w:color w:val="000000"/>
          <w:spacing w:val="0"/>
          <w:w w:val="100"/>
          <w:position w:val="0"/>
          <w:sz w:val="22"/>
          <w:sz w:val="20"/>
          <w:u w:val="single"/>
          <w:vertAlign w:val="baseline"/>
          <w:lang w:val="en-US"/>
        </w:rPr>
      </w:pPr>
      <w:r>
        <w:rPr>
          <w:rFonts w:ascii="Arial" w:hAnsi="Arial"/>
          <w:b/>
          <w:strike w:val="false"/>
          <w:dstrike w:val="false"/>
          <w:color w:val="000000"/>
          <w:spacing w:val="0"/>
          <w:w w:val="100"/>
          <w:position w:val="0"/>
          <w:sz w:val="20"/>
          <w:sz w:val="20"/>
          <w:u w:val="single"/>
          <w:vertAlign w:val="baseline"/>
          <w:lang w:val="en-US"/>
        </w:rPr>
        <w:t>Further Directions</w:t>
      </w:r>
    </w:p>
    <w:p>
      <w:pPr>
        <w:sectPr>
          <w:type w:val="nextPage"/>
          <w:pgSz w:w="12240" w:h="15840"/>
          <w:pgMar w:left="1395" w:right="1335" w:header="0" w:top="1518" w:footer="0" w:bottom="1452" w:gutter="0"/>
          <w:pgNumType w:fmt="decimal"/>
          <w:formProt w:val="false"/>
          <w:textDirection w:val="lrTb"/>
          <w:docGrid w:type="default" w:linePitch="100" w:charSpace="4096"/>
        </w:sectPr>
        <w:pStyle w:val="Normal"/>
        <w:spacing w:lineRule="exact" w:line="365" w:before="180" w:after="0"/>
        <w:ind w:left="0" w:right="0" w:firstLine="720"/>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This paper has presented new evidence on the rate of return to corporate tangible </w:t>
      </w:r>
      <w:r>
        <w:rPr>
          <w:rFonts w:ascii="Arial" w:hAnsi="Arial"/>
          <w:b/>
          <w:strike w:val="false"/>
          <w:dstrike w:val="false"/>
          <w:color w:val="000000"/>
          <w:spacing w:val="6"/>
          <w:w w:val="100"/>
          <w:position w:val="0"/>
          <w:sz w:val="20"/>
          <w:sz w:val="20"/>
          <w:vertAlign w:val="baseline"/>
          <w:lang w:val="en-US"/>
        </w:rPr>
        <w:t>assets in the United States, and on relative movements in the share of capital and labor</w:t>
      </w:r>
    </w:p>
    <w:p>
      <w:pPr>
        <w:pStyle w:val="Normal"/>
        <w:spacing w:lineRule="exact" w:line="339" w:before="0" w:after="36"/>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27 </w:t>
        <w:br/>
      </w:r>
      <w:r>
        <w:rPr>
          <w:rFonts w:ascii="Arial" w:hAnsi="Arial"/>
          <w:b/>
          <w:strike w:val="false"/>
          <w:dstrike w:val="false"/>
          <w:color w:val="000000"/>
          <w:spacing w:val="1"/>
          <w:w w:val="100"/>
          <w:position w:val="0"/>
          <w:sz w:val="20"/>
          <w:sz w:val="20"/>
          <w:vertAlign w:val="baseline"/>
          <w:lang w:val="en-US"/>
        </w:rPr>
        <w:t>income in national income. Newly-revised estimates of the replacement cost of the corporate</w:t>
      </w:r>
    </w:p>
    <w:p>
      <w:pPr>
        <w:pStyle w:val="Normal"/>
        <w:spacing w:lineRule="auto" w:line="240" w:before="0" w:after="144"/>
        <w:ind w:left="1656" w:right="0" w:hanging="0"/>
        <w:jc w:val="left"/>
        <w:rPr>
          <w:rFonts w:ascii="Arial" w:hAnsi="Arial"/>
          <w:strike w:val="false"/>
          <w:dstrike w:val="false"/>
          <w:color w:val="000000"/>
          <w:spacing w:val="0"/>
          <w:w w:val="175"/>
          <w:position w:val="0"/>
          <w:sz w:val="22"/>
          <w:sz w:val="6"/>
          <w:vertAlign w:val="baseline"/>
          <w:lang w:val="en-US"/>
        </w:rPr>
      </w:pPr>
      <w:r>
        <w:rPr>
          <w:rFonts w:ascii="Arial" w:hAnsi="Arial"/>
          <w:strike w:val="false"/>
          <w:dstrike w:val="false"/>
          <w:color w:val="000000"/>
          <w:spacing w:val="0"/>
          <w:w w:val="175"/>
          <w:position w:val="0"/>
          <w:sz w:val="6"/>
          <w:sz w:val="6"/>
          <w:vertAlign w:val="baseline"/>
          <w:lang w:val="en-US"/>
        </w:rPr>
        <w:t>•</w:t>
      </w:r>
    </w:p>
    <w:p>
      <w:pPr>
        <w:pStyle w:val="Normal"/>
        <w:spacing w:lineRule="auto" w:line="480" w:before="0" w:after="0"/>
        <w:ind w:left="0" w:right="0" w:hanging="0"/>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capital stock suggest that the average pretax rate of return in the nonfinancial corporate sector, over the period 1959-1996, has been 8.5 percent. Taxes on corporations and the </w:t>
      </w:r>
      <w:r>
        <w:rPr>
          <w:rFonts w:ascii="Arial" w:hAnsi="Arial"/>
          <w:b/>
          <w:strike w:val="false"/>
          <w:dstrike w:val="false"/>
          <w:color w:val="000000"/>
          <w:spacing w:val="-1"/>
          <w:w w:val="100"/>
          <w:position w:val="0"/>
          <w:sz w:val="20"/>
          <w:sz w:val="20"/>
          <w:vertAlign w:val="baseline"/>
          <w:lang w:val="en-US"/>
        </w:rPr>
        <w:t xml:space="preserve">investors who supply capital to corporations have absorbed, on average, 54.1 percent of this </w:t>
      </w:r>
      <w:r>
        <w:rPr>
          <w:rFonts w:ascii="Arial" w:hAnsi="Arial"/>
          <w:b/>
          <w:strike w:val="false"/>
          <w:dstrike w:val="false"/>
          <w:color w:val="000000"/>
          <w:spacing w:val="6"/>
          <w:w w:val="100"/>
          <w:position w:val="0"/>
          <w:sz w:val="20"/>
          <w:sz w:val="20"/>
          <w:vertAlign w:val="baseline"/>
          <w:lang w:val="en-US"/>
        </w:rPr>
        <w:t xml:space="preserve">return, leaving an average after-tax return to investors of 3.9 percent. The paper also </w:t>
      </w:r>
      <w:r>
        <w:rPr>
          <w:rFonts w:ascii="Arial" w:hAnsi="Arial"/>
          <w:b/>
          <w:strike w:val="false"/>
          <w:dstrike w:val="false"/>
          <w:color w:val="000000"/>
          <w:spacing w:val="1"/>
          <w:w w:val="100"/>
          <w:position w:val="0"/>
          <w:sz w:val="20"/>
          <w:sz w:val="20"/>
          <w:vertAlign w:val="baseline"/>
          <w:lang w:val="en-US"/>
        </w:rPr>
        <w:t xml:space="preserve">considers movements in factor income shares, and finds that although rates of return on </w:t>
      </w:r>
      <w:r>
        <w:rPr>
          <w:rFonts w:ascii="Arial" w:hAnsi="Arial"/>
          <w:b/>
          <w:strike w:val="false"/>
          <w:dstrike w:val="false"/>
          <w:color w:val="000000"/>
          <w:spacing w:val="3"/>
          <w:w w:val="100"/>
          <w:position w:val="0"/>
          <w:sz w:val="20"/>
          <w:sz w:val="20"/>
          <w:vertAlign w:val="baseline"/>
          <w:lang w:val="en-US"/>
        </w:rPr>
        <w:t xml:space="preserve">corporate assets have increased in the 1990s, a decline in the capital-to-output ratio has </w:t>
      </w:r>
      <w:r>
        <w:rPr>
          <w:rFonts w:ascii="Arial" w:hAnsi="Arial"/>
          <w:b/>
          <w:strike w:val="false"/>
          <w:dstrike w:val="false"/>
          <w:color w:val="000000"/>
          <w:spacing w:val="0"/>
          <w:w w:val="100"/>
          <w:position w:val="0"/>
          <w:sz w:val="20"/>
          <w:sz w:val="20"/>
          <w:vertAlign w:val="baseline"/>
          <w:lang w:val="en-US"/>
        </w:rPr>
        <w:t xml:space="preserve">resulted in very little change in the national income shares accruing to capital and labor. The rise in rates of return in the United States during the current decade coincides with an increase </w:t>
      </w:r>
      <w:r>
        <w:rPr>
          <w:rFonts w:ascii="Arial" w:hAnsi="Arial"/>
          <w:b/>
          <w:strike w:val="false"/>
          <w:dstrike w:val="false"/>
          <w:color w:val="000000"/>
          <w:spacing w:val="1"/>
          <w:w w:val="100"/>
          <w:position w:val="0"/>
          <w:sz w:val="20"/>
          <w:sz w:val="20"/>
          <w:vertAlign w:val="baseline"/>
          <w:lang w:val="en-US"/>
        </w:rPr>
        <w:t>in returns in most other industrialized nations.</w:t>
      </w:r>
    </w:p>
    <w:p>
      <w:pPr>
        <w:pStyle w:val="Normal"/>
        <w:spacing w:lineRule="auto" w:line="480" w:before="252" w:after="0"/>
        <w:ind w:left="0" w:right="0" w:firstLine="648"/>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results in this study provide updated information of a type that has been used in </w:t>
      </w:r>
      <w:r>
        <w:rPr>
          <w:rFonts w:ascii="Arial" w:hAnsi="Arial"/>
          <w:b/>
          <w:strike w:val="false"/>
          <w:dstrike w:val="false"/>
          <w:color w:val="000000"/>
          <w:spacing w:val="-2"/>
          <w:w w:val="100"/>
          <w:position w:val="0"/>
          <w:sz w:val="20"/>
          <w:sz w:val="20"/>
          <w:vertAlign w:val="baseline"/>
          <w:lang w:val="en-US"/>
        </w:rPr>
        <w:t xml:space="preserve">past research to evaluate the social returns to capital formation. For those who rely on such </w:t>
      </w:r>
      <w:r>
        <w:rPr>
          <w:rFonts w:ascii="Arial" w:hAnsi="Arial"/>
          <w:b/>
          <w:strike w:val="false"/>
          <w:dstrike w:val="false"/>
          <w:color w:val="000000"/>
          <w:spacing w:val="1"/>
          <w:w w:val="100"/>
          <w:position w:val="0"/>
          <w:sz w:val="20"/>
          <w:sz w:val="20"/>
          <w:vertAlign w:val="baseline"/>
          <w:lang w:val="en-US"/>
        </w:rPr>
        <w:t xml:space="preserve">estimates, the new data should prove useful. However, this paper has not directly addressed </w:t>
      </w:r>
      <w:r>
        <w:rPr>
          <w:rFonts w:ascii="Arial" w:hAnsi="Arial"/>
          <w:b/>
          <w:strike w:val="false"/>
          <w:dstrike w:val="false"/>
          <w:color w:val="000000"/>
          <w:spacing w:val="0"/>
          <w:w w:val="100"/>
          <w:position w:val="0"/>
          <w:sz w:val="20"/>
          <w:sz w:val="20"/>
          <w:vertAlign w:val="baseline"/>
          <w:lang w:val="en-US"/>
        </w:rPr>
        <w:t xml:space="preserve">the set of difficult issues that arise in translating average returns such as those reported here </w:t>
      </w:r>
      <w:r>
        <w:rPr>
          <w:rFonts w:ascii="Arial" w:hAnsi="Arial"/>
          <w:b/>
          <w:strike w:val="false"/>
          <w:dstrike w:val="false"/>
          <w:color w:val="000000"/>
          <w:spacing w:val="3"/>
          <w:w w:val="100"/>
          <w:position w:val="0"/>
          <w:sz w:val="20"/>
          <w:sz w:val="20"/>
          <w:vertAlign w:val="baseline"/>
          <w:lang w:val="en-US"/>
        </w:rPr>
        <w:t xml:space="preserve">into estimates of the social return to additional capital accumulation. These include the </w:t>
      </w:r>
      <w:r>
        <w:rPr>
          <w:rFonts w:ascii="Arial" w:hAnsi="Arial"/>
          <w:b/>
          <w:strike w:val="false"/>
          <w:dstrike w:val="false"/>
          <w:color w:val="000000"/>
          <w:spacing w:val="-2"/>
          <w:w w:val="100"/>
          <w:position w:val="0"/>
          <w:sz w:val="20"/>
          <w:sz w:val="20"/>
          <w:vertAlign w:val="baseline"/>
          <w:lang w:val="en-US"/>
        </w:rPr>
        <w:t xml:space="preserve">difference between marginal and average returns, the choice between rate of return measures </w:t>
      </w:r>
      <w:r>
        <w:rPr>
          <w:rFonts w:ascii="Arial" w:hAnsi="Arial"/>
          <w:b/>
          <w:strike w:val="false"/>
          <w:dstrike w:val="false"/>
          <w:color w:val="000000"/>
          <w:spacing w:val="-1"/>
          <w:w w:val="100"/>
          <w:position w:val="0"/>
          <w:sz w:val="20"/>
          <w:sz w:val="20"/>
          <w:vertAlign w:val="baseline"/>
          <w:lang w:val="en-US"/>
        </w:rPr>
        <w:t xml:space="preserve">based on accounting data rather than financial market data, and the possibility that rents or </w:t>
      </w:r>
      <w:r>
        <w:rPr>
          <w:rFonts w:ascii="Arial" w:hAnsi="Arial"/>
          <w:b/>
          <w:strike w:val="false"/>
          <w:dstrike w:val="false"/>
          <w:color w:val="000000"/>
          <w:spacing w:val="1"/>
          <w:w w:val="100"/>
          <w:position w:val="0"/>
          <w:sz w:val="20"/>
          <w:sz w:val="20"/>
          <w:vertAlign w:val="baseline"/>
          <w:lang w:val="en-US"/>
        </w:rPr>
        <w:t xml:space="preserve">monopoly power make the social rate of return different from the private return. Rotemberg </w:t>
      </w:r>
      <w:r>
        <w:rPr>
          <w:rFonts w:ascii="Arial" w:hAnsi="Arial"/>
          <w:b/>
          <w:strike w:val="false"/>
          <w:dstrike w:val="false"/>
          <w:color w:val="000000"/>
          <w:spacing w:val="2"/>
          <w:w w:val="100"/>
          <w:position w:val="0"/>
          <w:sz w:val="20"/>
          <w:sz w:val="20"/>
          <w:vertAlign w:val="baseline"/>
          <w:lang w:val="en-US"/>
        </w:rPr>
        <w:t xml:space="preserve">and Woodford (1997) discuss some of these issues in the context of a general equilibrium </w:t>
      </w:r>
      <w:r>
        <w:rPr>
          <w:rFonts w:ascii="Arial" w:hAnsi="Arial"/>
          <w:b/>
          <w:strike w:val="false"/>
          <w:dstrike w:val="false"/>
          <w:color w:val="000000"/>
          <w:spacing w:val="3"/>
          <w:w w:val="100"/>
          <w:position w:val="0"/>
          <w:sz w:val="20"/>
          <w:sz w:val="20"/>
          <w:vertAlign w:val="baseline"/>
          <w:lang w:val="en-US"/>
        </w:rPr>
        <w:t>model with imperfect competition. All of these issues require further analysis.</w:t>
      </w:r>
    </w:p>
    <w:p>
      <w:pPr>
        <w:sectPr>
          <w:type w:val="nextPage"/>
          <w:pgSz w:w="12240" w:h="15840"/>
          <w:pgMar w:left="1415" w:right="1315" w:header="0" w:top="1460" w:footer="0" w:bottom="1510" w:gutter="0"/>
          <w:pgNumType w:fmt="decimal"/>
          <w:formProt w:val="false"/>
          <w:textDirection w:val="lrTb"/>
          <w:docGrid w:type="default" w:linePitch="100" w:charSpace="4096"/>
        </w:sectPr>
        <w:pStyle w:val="Normal"/>
        <w:spacing w:lineRule="auto" w:line="480" w:before="252" w:after="0"/>
        <w:ind w:left="0" w:right="0" w:firstLine="648"/>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This paper has also stopped short of explaining time series fluctuations in accounting </w:t>
      </w:r>
      <w:r>
        <w:rPr>
          <w:rFonts w:ascii="Arial" w:hAnsi="Arial"/>
          <w:b/>
          <w:strike w:val="false"/>
          <w:dstrike w:val="false"/>
          <w:color w:val="000000"/>
          <w:spacing w:val="1"/>
          <w:w w:val="100"/>
          <w:position w:val="0"/>
          <w:sz w:val="20"/>
          <w:sz w:val="20"/>
          <w:vertAlign w:val="baseline"/>
          <w:lang w:val="en-US"/>
        </w:rPr>
        <w:t xml:space="preserve">rates of return, or the financial market returns that are associated with claims on corporate </w:t>
      </w:r>
      <w:r>
        <w:rPr>
          <w:rFonts w:ascii="Arial" w:hAnsi="Arial"/>
          <w:b/>
          <w:strike w:val="false"/>
          <w:dstrike w:val="false"/>
          <w:color w:val="000000"/>
          <w:spacing w:val="-3"/>
          <w:w w:val="100"/>
          <w:position w:val="0"/>
          <w:sz w:val="20"/>
          <w:sz w:val="20"/>
          <w:vertAlign w:val="baseline"/>
          <w:lang w:val="en-US"/>
        </w:rPr>
        <w:t xml:space="preserve">assets. Any such analysis requires a fully-specified model of capital market equilibrium, with </w:t>
      </w:r>
      <w:r>
        <w:rPr>
          <w:rFonts w:ascii="Arial" w:hAnsi="Arial"/>
          <w:b/>
          <w:strike w:val="false"/>
          <w:dstrike w:val="false"/>
          <w:color w:val="000000"/>
          <w:spacing w:val="1"/>
          <w:w w:val="100"/>
          <w:position w:val="0"/>
          <w:sz w:val="20"/>
          <w:sz w:val="20"/>
          <w:vertAlign w:val="baseline"/>
          <w:lang w:val="en-US"/>
        </w:rPr>
        <w:t>appropriate attention to issues such as the degree of integration across international capital</w:t>
      </w:r>
    </w:p>
    <w:p>
      <w:pPr>
        <w:pStyle w:val="Normal"/>
        <w:spacing w:lineRule="exact" w:line="341" w:before="0" w:after="0"/>
        <w:ind w:left="0" w:right="0" w:hanging="0"/>
        <w:jc w:val="center"/>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 xml:space="preserve">28 </w:t>
        <w:br/>
      </w:r>
      <w:r>
        <w:rPr>
          <w:rFonts w:ascii="Arial" w:hAnsi="Arial"/>
          <w:b/>
          <w:strike w:val="false"/>
          <w:dstrike w:val="false"/>
          <w:color w:val="000000"/>
          <w:spacing w:val="1"/>
          <w:w w:val="100"/>
          <w:position w:val="0"/>
          <w:sz w:val="21"/>
          <w:sz w:val="21"/>
          <w:vertAlign w:val="baseline"/>
          <w:lang w:val="en-US"/>
        </w:rPr>
        <w:t>markets and the source of exogenous shocks to financial markets. Given the conflicting</w:t>
      </w:r>
    </w:p>
    <w:p>
      <w:pPr>
        <w:sectPr>
          <w:type w:val="nextPage"/>
          <w:pgSz w:w="12240" w:h="15840"/>
          <w:pgMar w:left="3852" w:right="3788" w:header="0" w:top="5748" w:footer="0" w:bottom="6622" w:gutter="0"/>
          <w:pgNumType w:fmt="decimal"/>
          <w:formProt w:val="false"/>
          <w:textDirection w:val="lrTb"/>
          <w:docGrid w:type="default" w:linePitch="100" w:charSpace="4096"/>
        </w:sectPr>
        <w:pStyle w:val="Normal"/>
        <w:spacing w:lineRule="exact" w:line="399" w:before="144" w:after="0"/>
        <w:ind w:left="0" w:right="72" w:hanging="0"/>
        <w:jc w:val="both"/>
        <w:rPr>
          <w:rFonts w:ascii="Arial" w:hAnsi="Arial"/>
          <w:b/>
          <w:b/>
          <w:strike w:val="false"/>
          <w:dstrike w:val="false"/>
          <w:color w:val="000000"/>
          <w:spacing w:val="0"/>
          <w:w w:val="100"/>
          <w:position w:val="0"/>
          <w:sz w:val="22"/>
          <w:sz w:val="21"/>
          <w:vertAlign w:val="baseline"/>
          <w:lang w:val="en-US"/>
        </w:rPr>
      </w:pPr>
      <w:r>
        <w:rPr>
          <w:rFonts w:ascii="Arial" w:hAnsi="Arial"/>
          <w:b/>
          <w:strike w:val="false"/>
          <w:dstrike w:val="false"/>
          <w:color w:val="000000"/>
          <w:spacing w:val="0"/>
          <w:w w:val="100"/>
          <w:position w:val="0"/>
          <w:sz w:val="21"/>
          <w:sz w:val="21"/>
          <w:vertAlign w:val="baseline"/>
          <w:lang w:val="en-US"/>
        </w:rPr>
        <w:t xml:space="preserve">empirical evidence to date on the degree of linkage in global capital markets, and the </w:t>
      </w:r>
      <w:r>
        <w:rPr>
          <w:rFonts w:ascii="Arial" w:hAnsi="Arial"/>
          <w:b/>
          <w:strike w:val="false"/>
          <w:dstrike w:val="false"/>
          <w:color w:val="000000"/>
          <w:spacing w:val="-3"/>
          <w:w w:val="100"/>
          <w:position w:val="0"/>
          <w:sz w:val="21"/>
          <w:sz w:val="21"/>
          <w:vertAlign w:val="baseline"/>
          <w:lang w:val="en-US"/>
        </w:rPr>
        <w:t xml:space="preserve">importance of such linkage for a range of questions in applied macroeconomics, further </w:t>
      </w:r>
      <w:r>
        <w:rPr>
          <w:rFonts w:ascii="Arial" w:hAnsi="Arial"/>
          <w:b/>
          <w:strike w:val="false"/>
          <w:dstrike w:val="false"/>
          <w:color w:val="000000"/>
          <w:spacing w:val="-1"/>
          <w:w w:val="100"/>
          <w:position w:val="0"/>
          <w:sz w:val="21"/>
          <w:sz w:val="21"/>
          <w:vertAlign w:val="baseline"/>
          <w:lang w:val="en-US"/>
        </w:rPr>
        <w:t>attention to these issues is warranted.</w:t>
      </w:r>
    </w:p>
    <w:p>
      <w:pPr>
        <w:pStyle w:val="Normal"/>
        <w:spacing w:lineRule="auto" w:line="48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29 </w:t>
        <w:br/>
        <w:t>REFERENCES</w:t>
      </w:r>
    </w:p>
    <w:p>
      <w:pPr>
        <w:pStyle w:val="Normal"/>
        <w:spacing w:lineRule="auto" w:line="240" w:before="180" w:after="0"/>
        <w:ind w:left="0" w:right="0" w:hanging="0"/>
        <w:jc w:val="left"/>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Abel, A., Mankiw, N.G., Summers, L., and Zeckhauser, R.</w:t>
      </w:r>
    </w:p>
    <w:p>
      <w:pPr>
        <w:pStyle w:val="Normal"/>
        <w:spacing w:lineRule="auto" w:line="240" w:before="0" w:after="0"/>
        <w:ind w:left="1368" w:right="72" w:hanging="72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(1989). Assessing Dynamic Efficiency: Theory and Evidence. </w:t>
      </w:r>
      <w:r>
        <w:rPr>
          <w:rFonts w:ascii="Arial" w:hAnsi="Arial"/>
          <w:b/>
          <w:strike w:val="false"/>
          <w:dstrike w:val="false"/>
          <w:color w:val="000000"/>
          <w:spacing w:val="0"/>
          <w:w w:val="100"/>
          <w:position w:val="0"/>
          <w:sz w:val="21"/>
          <w:sz w:val="21"/>
          <w:u w:val="single"/>
          <w:vertAlign w:val="baseline"/>
          <w:lang w:val="en-US"/>
        </w:rPr>
        <w:t xml:space="preserve">Review of Economic  </w:t>
      </w:r>
      <w:r>
        <w:rPr>
          <w:rFonts w:ascii="Arial" w:hAnsi="Arial"/>
          <w:b/>
          <w:strike w:val="false"/>
          <w:dstrike w:val="false"/>
          <w:color w:val="000000"/>
          <w:spacing w:val="6"/>
          <w:w w:val="100"/>
          <w:position w:val="0"/>
          <w:sz w:val="21"/>
          <w:sz w:val="21"/>
          <w:u w:val="single"/>
          <w:vertAlign w:val="baseline"/>
          <w:lang w:val="en-US"/>
        </w:rPr>
        <w:t>Studies,</w:t>
      </w:r>
      <w:r>
        <w:rPr>
          <w:rFonts w:ascii="Arial" w:hAnsi="Arial"/>
          <w:b/>
          <w:strike w:val="false"/>
          <w:dstrike w:val="false"/>
          <w:color w:val="000000"/>
          <w:spacing w:val="6"/>
          <w:w w:val="100"/>
          <w:position w:val="0"/>
          <w:sz w:val="20"/>
          <w:sz w:val="20"/>
          <w:vertAlign w:val="baseline"/>
          <w:lang w:val="en-US"/>
        </w:rPr>
        <w:t xml:space="preserve"> 56: 1-20.</w:t>
      </w:r>
    </w:p>
    <w:p>
      <w:pPr>
        <w:pStyle w:val="Normal"/>
        <w:spacing w:lineRule="auto" w:line="240" w:before="18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Baker, D.</w:t>
      </w:r>
    </w:p>
    <w:p>
      <w:pPr>
        <w:pStyle w:val="Normal"/>
        <w:spacing w:lineRule="auto" w:line="240" w:before="0" w:after="0"/>
        <w:ind w:left="1368" w:right="72" w:hanging="720"/>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(1996). Trends in Corporate Profitability: Getting More for Less? Economic Policy Institute, Washington, DC.</w:t>
      </w:r>
    </w:p>
    <w:p>
      <w:pPr>
        <w:pStyle w:val="Normal"/>
        <w:spacing w:lineRule="auto" w:line="240" w:before="180" w:after="0"/>
        <w:ind w:left="0" w:right="0" w:hanging="0"/>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Baker, D. and Mishel, L.</w:t>
      </w:r>
    </w:p>
    <w:p>
      <w:pPr>
        <w:pStyle w:val="Normal"/>
        <w:tabs>
          <w:tab w:val="clear" w:pos="720"/>
          <w:tab w:val="right" w:pos="8950" w:leader="none"/>
        </w:tabs>
        <w:spacing w:lineRule="auto" w:line="271" w:before="0" w:after="0"/>
        <w:ind w:left="648" w:right="0" w:hanging="0"/>
        <w:jc w:val="left"/>
        <w:rPr>
          <w:rFonts w:ascii="Arial" w:hAnsi="Arial"/>
          <w:b/>
          <w:b/>
          <w:strike w:val="false"/>
          <w:dstrike w:val="false"/>
          <w:color w:val="000000"/>
          <w:spacing w:val="14"/>
          <w:w w:val="100"/>
          <w:position w:val="0"/>
          <w:sz w:val="22"/>
          <w:sz w:val="20"/>
          <w:vertAlign w:val="baseline"/>
          <w:lang w:val="en-US"/>
        </w:rPr>
      </w:pPr>
      <w:r>
        <w:rPr>
          <w:rFonts w:ascii="Arial" w:hAnsi="Arial"/>
          <w:b/>
          <w:strike w:val="false"/>
          <w:dstrike w:val="false"/>
          <w:color w:val="000000"/>
          <w:spacing w:val="14"/>
          <w:w w:val="100"/>
          <w:position w:val="0"/>
          <w:sz w:val="20"/>
          <w:sz w:val="20"/>
          <w:vertAlign w:val="baseline"/>
          <w:lang w:val="en-US"/>
        </w:rPr>
        <w:t>(1995). Profits Up, Wages Down.</w:t>
        <w:tab/>
      </w:r>
      <w:r>
        <w:rPr>
          <w:rFonts w:ascii="Arial" w:hAnsi="Arial"/>
          <w:b/>
          <w:strike w:val="false"/>
          <w:dstrike w:val="false"/>
          <w:color w:val="000000"/>
          <w:spacing w:val="9"/>
          <w:w w:val="100"/>
          <w:position w:val="0"/>
          <w:sz w:val="20"/>
          <w:sz w:val="20"/>
          <w:vertAlign w:val="baseline"/>
          <w:lang w:val="en-US"/>
        </w:rPr>
        <w:t>Economic Policy Institute Briefing Paper,</w:t>
      </w:r>
    </w:p>
    <w:p>
      <w:pPr>
        <w:pStyle w:val="Normal"/>
        <w:spacing w:lineRule="auto" w:line="240" w:before="0" w:after="0"/>
        <w:ind w:left="1368"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Washington DC.</w:t>
      </w:r>
    </w:p>
    <w:p>
      <w:pPr>
        <w:pStyle w:val="Normal"/>
        <w:spacing w:lineRule="auto" w:line="240" w:before="252"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Barro, R., and Sala-i-Martin, X.</w:t>
      </w:r>
    </w:p>
    <w:p>
      <w:pPr>
        <w:pStyle w:val="Normal"/>
        <w:spacing w:lineRule="auto" w:line="240" w:before="0" w:after="0"/>
        <w:ind w:left="1368" w:right="72" w:hanging="720"/>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 xml:space="preserve">(1990). World Real Interest Rates. In 0. Blanchard and S. Fischer, eds., </w:t>
      </w:r>
      <w:r>
        <w:rPr>
          <w:rFonts w:ascii="Arial" w:hAnsi="Arial"/>
          <w:b/>
          <w:strike w:val="false"/>
          <w:dstrike w:val="false"/>
          <w:color w:val="000000"/>
          <w:spacing w:val="7"/>
          <w:w w:val="100"/>
          <w:position w:val="0"/>
          <w:sz w:val="21"/>
          <w:sz w:val="21"/>
          <w:u w:val="single"/>
          <w:vertAlign w:val="baseline"/>
          <w:lang w:val="en-US"/>
        </w:rPr>
        <w:t xml:space="preserve">NBER  </w:t>
      </w:r>
      <w:r>
        <w:rPr>
          <w:rFonts w:ascii="Arial" w:hAnsi="Arial"/>
          <w:b/>
          <w:strike w:val="false"/>
          <w:dstrike w:val="false"/>
          <w:color w:val="000000"/>
          <w:spacing w:val="2"/>
          <w:w w:val="100"/>
          <w:position w:val="0"/>
          <w:sz w:val="21"/>
          <w:sz w:val="21"/>
          <w:u w:val="single"/>
          <w:vertAlign w:val="baseline"/>
          <w:lang w:val="en-US"/>
        </w:rPr>
        <w:t>Macroeconomics Annual: 1990.</w:t>
      </w:r>
      <w:r>
        <w:rPr>
          <w:rFonts w:ascii="Arial" w:hAnsi="Arial"/>
          <w:b/>
          <w:strike w:val="false"/>
          <w:dstrike w:val="false"/>
          <w:color w:val="000000"/>
          <w:spacing w:val="2"/>
          <w:w w:val="100"/>
          <w:position w:val="0"/>
          <w:sz w:val="20"/>
          <w:sz w:val="20"/>
          <w:vertAlign w:val="baseline"/>
          <w:lang w:val="en-US"/>
        </w:rPr>
        <w:t xml:space="preserve"> Cambridge, MIT Press.</w:t>
      </w:r>
    </w:p>
    <w:p>
      <w:pPr>
        <w:pStyle w:val="Normal"/>
        <w:spacing w:lineRule="auto" w:line="240" w:before="252"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Bernstein, A.</w:t>
      </w:r>
    </w:p>
    <w:p>
      <w:pPr>
        <w:pStyle w:val="Normal"/>
        <w:spacing w:lineRule="auto" w:line="211" w:before="0" w:after="0"/>
        <w:ind w:left="648" w:right="0" w:hanging="0"/>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 xml:space="preserve">(1995). The Wage Squeeze. </w:t>
      </w:r>
      <w:r>
        <w:rPr>
          <w:rFonts w:ascii="Arial" w:hAnsi="Arial"/>
          <w:b/>
          <w:strike w:val="false"/>
          <w:dstrike w:val="false"/>
          <w:color w:val="000000"/>
          <w:spacing w:val="7"/>
          <w:w w:val="100"/>
          <w:position w:val="0"/>
          <w:sz w:val="21"/>
          <w:sz w:val="21"/>
          <w:u w:val="single"/>
          <w:vertAlign w:val="baseline"/>
          <w:lang w:val="en-US"/>
        </w:rPr>
        <w:t>Busine</w:t>
      </w:r>
      <w:r>
        <w:rPr>
          <w:rFonts w:ascii="Tahoma" w:hAnsi="Tahoma"/>
          <w:strike w:val="false"/>
          <w:dstrike w:val="false"/>
          <w:color w:val="000000"/>
          <w:spacing w:val="7"/>
          <w:w w:val="105"/>
          <w:position w:val="0"/>
          <w:sz w:val="24"/>
          <w:sz w:val="24"/>
          <w:u w:val="single"/>
          <w:vertAlign w:val="baseline"/>
          <w:lang w:val="en-US"/>
        </w:rPr>
        <w:t>s</w:t>
      </w:r>
      <w:r>
        <w:rPr>
          <w:rFonts w:ascii="Arial" w:hAnsi="Arial"/>
          <w:b/>
          <w:strike w:val="false"/>
          <w:dstrike w:val="false"/>
          <w:color w:val="000000"/>
          <w:spacing w:val="7"/>
          <w:w w:val="100"/>
          <w:position w:val="0"/>
          <w:sz w:val="21"/>
          <w:sz w:val="21"/>
          <w:u w:val="single"/>
          <w:vertAlign w:val="baseline"/>
          <w:lang w:val="en-US"/>
        </w:rPr>
        <w:t>s Week</w:t>
      </w:r>
      <w:r>
        <w:rPr>
          <w:rFonts w:ascii="Arial" w:hAnsi="Arial"/>
          <w:b/>
          <w:strike w:val="false"/>
          <w:dstrike w:val="false"/>
          <w:color w:val="000000"/>
          <w:spacing w:val="7"/>
          <w:w w:val="100"/>
          <w:position w:val="0"/>
          <w:sz w:val="20"/>
          <w:sz w:val="20"/>
          <w:vertAlign w:val="baseline"/>
          <w:lang w:val="en-US"/>
        </w:rPr>
        <w:t xml:space="preserve"> (July 17), 54-62.</w:t>
      </w:r>
    </w:p>
    <w:p>
      <w:pPr>
        <w:pStyle w:val="Normal"/>
        <w:spacing w:lineRule="auto" w:line="240" w:before="252"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Blanchard, 0.</w:t>
      </w:r>
    </w:p>
    <w:p>
      <w:pPr>
        <w:pStyle w:val="Normal"/>
        <w:spacing w:lineRule="auto" w:line="240" w:before="0" w:after="432"/>
        <w:ind w:left="1368" w:right="72" w:hanging="720"/>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 xml:space="preserve">(1996). Notes on the Evolution of Profit Rates in the OECD. MIT Department of </w:t>
      </w:r>
      <w:r>
        <w:rPr>
          <w:rFonts w:ascii="Arial" w:hAnsi="Arial"/>
          <w:b/>
          <w:strike w:val="false"/>
          <w:dstrike w:val="false"/>
          <w:color w:val="000000"/>
          <w:spacing w:val="0"/>
          <w:w w:val="100"/>
          <w:position w:val="0"/>
          <w:sz w:val="20"/>
          <w:sz w:val="20"/>
          <w:vertAlign w:val="baseline"/>
          <w:lang w:val="en-US"/>
        </w:rPr>
        <w:t>Economics mimeo.</w:t>
      </w:r>
    </w:p>
    <w:p>
      <w:pPr>
        <w:pStyle w:val="Normal"/>
        <w:spacing w:lineRule="auto" w:line="240" w:before="0" w:after="0"/>
        <w:ind w:left="0" w:right="0" w:hanging="0"/>
        <w:jc w:val="left"/>
        <w:rPr>
          <w:rFonts w:ascii="Arial" w:hAnsi="Arial"/>
          <w:b/>
          <w:b/>
          <w:strike w:val="false"/>
          <w:dstrike w:val="false"/>
          <w:color w:val="000000"/>
          <w:spacing w:val="3"/>
          <w:w w:val="100"/>
          <w:position w:val="0"/>
          <w:sz w:val="22"/>
          <w:sz w:val="20"/>
          <w:vertAlign w:val="baseline"/>
          <w:lang w:val="en-US"/>
        </w:rPr>
      </w:pPr>
      <w:r>
        <mc:AlternateContent>
          <mc:Choice Requires="wps">
            <w:drawing>
              <wp:anchor behindDoc="0" distT="0" distB="0" distL="114300" distR="114300" simplePos="0" locked="0" layoutInCell="1" allowOverlap="1" relativeHeight="20">
                <wp:simplePos x="0" y="0"/>
                <wp:positionH relativeFrom="column">
                  <wp:posOffset>0</wp:posOffset>
                </wp:positionH>
                <wp:positionV relativeFrom="paragraph">
                  <wp:posOffset>5080</wp:posOffset>
                </wp:positionV>
                <wp:extent cx="478155" cy="1270"/>
                <wp:effectExtent l="0" t="0" r="0" b="0"/>
                <wp:wrapNone/>
                <wp:docPr id="18" name=""/>
                <a:graphic xmlns:a="http://schemas.openxmlformats.org/drawingml/2006/main">
                  <a:graphicData uri="http://schemas.microsoft.com/office/word/2010/wordprocessingShape">
                    <wps:wsp>
                      <wps:cNvSpPr/>
                      <wps:spPr>
                        <a:xfrm>
                          <a:off x="0" y="0"/>
                          <a:ext cx="68004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0pt,0.4pt" to="53.5pt,0.4pt" stroked="t" style="position:absolute">
                <v:stroke color="black" weight="9000" joinstyle="round" endcap="flat"/>
                <v:fill o:detectmouseclick="t" on="false"/>
              </v:line>
            </w:pict>
          </mc:Fallback>
        </mc:AlternateContent>
      </w:r>
      <w:r>
        <w:rPr>
          <w:rFonts w:ascii="Arial" w:hAnsi="Arial"/>
          <w:b/>
          <w:strike w:val="false"/>
          <w:dstrike w:val="false"/>
          <w:color w:val="000000"/>
          <w:spacing w:val="3"/>
          <w:w w:val="100"/>
          <w:position w:val="0"/>
          <w:sz w:val="20"/>
          <w:sz w:val="20"/>
          <w:vertAlign w:val="baseline"/>
          <w:lang w:val="en-US"/>
        </w:rPr>
        <w:t>(</w:t>
      </w:r>
      <w:r>
        <w:rPr>
          <w:rFonts w:ascii="Arial" w:hAnsi="Arial"/>
          <w:b/>
          <w:strike w:val="false"/>
          <w:dstrike w:val="false"/>
          <w:color w:val="000000"/>
          <w:spacing w:val="3"/>
          <w:w w:val="100"/>
          <w:position w:val="0"/>
          <w:sz w:val="20"/>
          <w:sz w:val="20"/>
          <w:vertAlign w:val="baseline"/>
          <w:lang w:val="en-US"/>
        </w:rPr>
        <w:t xml:space="preserve">1997). The Medium Term. </w:t>
      </w:r>
      <w:r>
        <w:rPr>
          <w:rFonts w:ascii="Arial" w:hAnsi="Arial"/>
          <w:b/>
          <w:strike w:val="false"/>
          <w:dstrike w:val="false"/>
          <w:color w:val="000000"/>
          <w:spacing w:val="3"/>
          <w:w w:val="100"/>
          <w:position w:val="0"/>
          <w:sz w:val="21"/>
          <w:sz w:val="21"/>
          <w:u w:val="single"/>
          <w:vertAlign w:val="baseline"/>
          <w:lang w:val="en-US"/>
        </w:rPr>
        <w:t>Brookings Papers on Economic Activity</w:t>
      </w:r>
      <w:r>
        <w:rPr>
          <w:rFonts w:ascii="Arial" w:hAnsi="Arial"/>
          <w:b/>
          <w:strike w:val="false"/>
          <w:dstrike w:val="false"/>
          <w:color w:val="000000"/>
          <w:spacing w:val="3"/>
          <w:w w:val="100"/>
          <w:position w:val="0"/>
          <w:sz w:val="20"/>
          <w:sz w:val="20"/>
          <w:vertAlign w:val="baseline"/>
          <w:lang w:val="en-US"/>
        </w:rPr>
        <w:t xml:space="preserve"> 1997:2.</w:t>
      </w:r>
    </w:p>
    <w:p>
      <w:pPr>
        <w:pStyle w:val="Normal"/>
        <w:spacing w:lineRule="auto" w:line="240" w:before="252"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Blanchard, 0., and Summers, L.H.</w:t>
      </w:r>
    </w:p>
    <w:p>
      <w:pPr>
        <w:pStyle w:val="Normal"/>
        <w:spacing w:lineRule="auto" w:line="240" w:before="36" w:after="0"/>
        <w:ind w:left="1368" w:right="0" w:hanging="648"/>
        <w:jc w:val="left"/>
        <w:rPr>
          <w:rFonts w:ascii="Arial" w:hAnsi="Arial"/>
          <w:b/>
          <w:b/>
          <w:strike w:val="false"/>
          <w:dstrike w:val="false"/>
          <w:color w:val="000000"/>
          <w:spacing w:val="-6"/>
          <w:w w:val="100"/>
          <w:position w:val="0"/>
          <w:sz w:val="22"/>
          <w:sz w:val="20"/>
          <w:vertAlign w:val="baseline"/>
          <w:lang w:val="en-US"/>
        </w:rPr>
      </w:pPr>
      <w:r>
        <w:rPr>
          <w:rFonts w:ascii="Arial" w:hAnsi="Arial"/>
          <w:b/>
          <w:strike w:val="false"/>
          <w:dstrike w:val="false"/>
          <w:color w:val="000000"/>
          <w:spacing w:val="-6"/>
          <w:w w:val="100"/>
          <w:position w:val="0"/>
          <w:sz w:val="20"/>
          <w:sz w:val="20"/>
          <w:vertAlign w:val="baseline"/>
          <w:lang w:val="en-US"/>
        </w:rPr>
        <w:t xml:space="preserve">(1984). Perspectives on High World Real Interest Rates. </w:t>
      </w:r>
      <w:r>
        <w:rPr>
          <w:rFonts w:ascii="Arial" w:hAnsi="Arial"/>
          <w:b/>
          <w:strike w:val="false"/>
          <w:dstrike w:val="false"/>
          <w:color w:val="000000"/>
          <w:spacing w:val="-6"/>
          <w:w w:val="100"/>
          <w:position w:val="0"/>
          <w:sz w:val="21"/>
          <w:sz w:val="21"/>
          <w:u w:val="single"/>
          <w:vertAlign w:val="baseline"/>
          <w:lang w:val="en-US"/>
        </w:rPr>
        <w:t xml:space="preserve">Brookings Papers on Economic  </w:t>
      </w:r>
      <w:r>
        <w:rPr>
          <w:rFonts w:ascii="Arial" w:hAnsi="Arial"/>
          <w:b/>
          <w:strike w:val="false"/>
          <w:dstrike w:val="false"/>
          <w:color w:val="000000"/>
          <w:spacing w:val="12"/>
          <w:w w:val="100"/>
          <w:position w:val="0"/>
          <w:sz w:val="21"/>
          <w:sz w:val="21"/>
          <w:u w:val="single"/>
          <w:vertAlign w:val="baseline"/>
          <w:lang w:val="en-US"/>
        </w:rPr>
        <w:t>Activity</w:t>
      </w:r>
      <w:r>
        <w:rPr>
          <w:rFonts w:ascii="Arial" w:hAnsi="Arial"/>
          <w:b/>
          <w:strike w:val="false"/>
          <w:dstrike w:val="false"/>
          <w:color w:val="000000"/>
          <w:spacing w:val="12"/>
          <w:w w:val="100"/>
          <w:position w:val="0"/>
          <w:sz w:val="20"/>
          <w:sz w:val="20"/>
          <w:vertAlign w:val="baseline"/>
          <w:lang w:val="en-US"/>
        </w:rPr>
        <w:t xml:space="preserve"> 1984:2, 273-324.</w:t>
      </w:r>
    </w:p>
    <w:p>
      <w:pPr>
        <w:pStyle w:val="Normal"/>
        <w:spacing w:lineRule="auto" w:line="240" w:before="252" w:after="0"/>
        <w:ind w:left="0" w:right="0" w:hanging="0"/>
        <w:jc w:val="left"/>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Caballero, R. J., and Hammour, M. L.</w:t>
      </w:r>
    </w:p>
    <w:p>
      <w:pPr>
        <w:pStyle w:val="Normal"/>
        <w:spacing w:lineRule="auto" w:line="240" w:before="0" w:after="0"/>
        <w:ind w:left="1368" w:right="0" w:hanging="648"/>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(1997). Jobless Growth: Appropriability, Factor Substitution, and Unemployment. </w:t>
      </w:r>
      <w:r>
        <w:rPr>
          <w:rFonts w:ascii="Arial" w:hAnsi="Arial"/>
          <w:b/>
          <w:strike w:val="false"/>
          <w:dstrike w:val="false"/>
          <w:color w:val="000000"/>
          <w:spacing w:val="0"/>
          <w:w w:val="100"/>
          <w:position w:val="0"/>
          <w:sz w:val="20"/>
          <w:sz w:val="20"/>
          <w:vertAlign w:val="baseline"/>
          <w:lang w:val="en-US"/>
        </w:rPr>
        <w:t>Mimeo, MIT.</w:t>
      </w:r>
    </w:p>
    <w:p>
      <w:pPr>
        <w:pStyle w:val="Normal"/>
        <w:spacing w:lineRule="auto" w:line="240" w:before="288"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Diamond, P.</w:t>
      </w:r>
    </w:p>
    <w:p>
      <w:pPr>
        <w:pStyle w:val="Normal"/>
        <w:spacing w:lineRule="auto" w:line="240" w:before="0" w:after="0"/>
        <w:ind w:left="1368" w:right="0" w:hanging="648"/>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(1965). National Debt in a Neoclassical Growth Model, </w:t>
      </w:r>
      <w:r>
        <w:rPr>
          <w:rFonts w:ascii="Arial" w:hAnsi="Arial"/>
          <w:b/>
          <w:strike w:val="false"/>
          <w:dstrike w:val="false"/>
          <w:color w:val="000000"/>
          <w:spacing w:val="1"/>
          <w:w w:val="100"/>
          <w:position w:val="0"/>
          <w:sz w:val="21"/>
          <w:sz w:val="21"/>
          <w:u w:val="single"/>
          <w:vertAlign w:val="baseline"/>
          <w:lang w:val="en-US"/>
        </w:rPr>
        <w:t xml:space="preserve">American Economic Review  </w:t>
      </w:r>
      <w:r>
        <w:rPr>
          <w:rFonts w:ascii="Arial" w:hAnsi="Arial"/>
          <w:b/>
          <w:strike w:val="false"/>
          <w:dstrike w:val="false"/>
          <w:color w:val="000000"/>
          <w:spacing w:val="16"/>
          <w:w w:val="100"/>
          <w:position w:val="0"/>
          <w:sz w:val="20"/>
          <w:sz w:val="20"/>
          <w:vertAlign w:val="baseline"/>
          <w:lang w:val="en-US"/>
        </w:rPr>
        <w:t>55: 1126-1150.</w:t>
      </w:r>
    </w:p>
    <w:p>
      <w:pPr>
        <w:pStyle w:val="Normal"/>
        <w:spacing w:lineRule="auto" w:line="240" w:before="288"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Dhawan, J.</w:t>
      </w:r>
    </w:p>
    <w:p>
      <w:pPr>
        <w:pStyle w:val="Normal"/>
        <w:spacing w:lineRule="auto" w:line="240" w:before="36" w:after="0"/>
        <w:ind w:left="1368" w:right="0" w:hanging="648"/>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 xml:space="preserve">(1997). An Economic Revolution: Foreign Direct Investment. Boston: Wellington </w:t>
      </w:r>
      <w:r>
        <w:rPr>
          <w:rFonts w:ascii="Arial" w:hAnsi="Arial"/>
          <w:b/>
          <w:strike w:val="false"/>
          <w:dstrike w:val="false"/>
          <w:color w:val="000000"/>
          <w:spacing w:val="2"/>
          <w:w w:val="100"/>
          <w:position w:val="0"/>
          <w:sz w:val="20"/>
          <w:sz w:val="20"/>
          <w:vertAlign w:val="baseline"/>
          <w:lang w:val="en-US"/>
        </w:rPr>
        <w:t>Management Research.</w:t>
      </w:r>
    </w:p>
    <w:p>
      <w:pPr>
        <w:pStyle w:val="Normal"/>
        <w:spacing w:lineRule="auto" w:line="240" w:before="216"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Feldstein, M. S.</w:t>
      </w:r>
    </w:p>
    <w:p>
      <w:pPr>
        <w:sectPr>
          <w:type w:val="nextPage"/>
          <w:pgSz w:w="12240" w:h="15840"/>
          <w:pgMar w:left="1420" w:right="1360" w:header="0" w:top="1400" w:footer="0" w:bottom="1510" w:gutter="0"/>
          <w:pgNumType w:fmt="decimal"/>
          <w:formProt w:val="false"/>
          <w:textDirection w:val="lrTb"/>
          <w:docGrid w:type="default" w:linePitch="100" w:charSpace="4096"/>
        </w:sectPr>
        <w:pStyle w:val="Normal"/>
        <w:spacing w:lineRule="auto" w:line="240" w:before="0" w:after="0"/>
        <w:ind w:left="1368" w:right="0" w:hanging="648"/>
        <w:jc w:val="left"/>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 xml:space="preserve">(1977). Does the United States Save Too Little? </w:t>
      </w:r>
      <w:r>
        <w:rPr>
          <w:rFonts w:ascii="Arial" w:hAnsi="Arial"/>
          <w:b/>
          <w:strike w:val="false"/>
          <w:dstrike w:val="false"/>
          <w:color w:val="000000"/>
          <w:spacing w:val="5"/>
          <w:w w:val="100"/>
          <w:position w:val="0"/>
          <w:sz w:val="21"/>
          <w:sz w:val="21"/>
          <w:u w:val="single"/>
          <w:vertAlign w:val="baseline"/>
          <w:lang w:val="en-US"/>
        </w:rPr>
        <w:t>American Economic Review</w:t>
      </w:r>
      <w:r>
        <w:rPr>
          <w:rFonts w:ascii="Arial" w:hAnsi="Arial"/>
          <w:b/>
          <w:strike w:val="false"/>
          <w:dstrike w:val="false"/>
          <w:color w:val="000000"/>
          <w:spacing w:val="5"/>
          <w:w w:val="100"/>
          <w:position w:val="0"/>
          <w:sz w:val="20"/>
          <w:sz w:val="20"/>
          <w:vertAlign w:val="baseline"/>
          <w:lang w:val="en-US"/>
        </w:rPr>
        <w:t xml:space="preserve"> 67 </w:t>
      </w:r>
      <w:r>
        <w:rPr>
          <w:rFonts w:ascii="Arial" w:hAnsi="Arial"/>
          <w:b/>
          <w:strike w:val="false"/>
          <w:dstrike w:val="false"/>
          <w:color w:val="000000"/>
          <w:spacing w:val="12"/>
          <w:w w:val="100"/>
          <w:position w:val="0"/>
          <w:sz w:val="20"/>
          <w:sz w:val="20"/>
          <w:vertAlign w:val="baseline"/>
          <w:lang w:val="en-US"/>
        </w:rPr>
        <w:t>(May): 116-121.</w:t>
      </w:r>
    </w:p>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30</w:t>
      </w:r>
    </w:p>
    <w:p>
      <w:pPr>
        <w:pStyle w:val="Normal"/>
        <w:spacing w:lineRule="auto" w:line="240" w:before="0" w:after="0"/>
        <w:ind w:left="1368" w:right="0" w:hanging="720"/>
        <w:jc w:val="left"/>
        <w:rPr>
          <w:rFonts w:ascii="Arial" w:hAnsi="Arial"/>
          <w:b/>
          <w:b/>
          <w:strike w:val="false"/>
          <w:dstrike w:val="false"/>
          <w:color w:val="000000"/>
          <w:spacing w:val="5"/>
          <w:w w:val="100"/>
          <w:position w:val="0"/>
          <w:sz w:val="22"/>
          <w:sz w:val="20"/>
          <w:vertAlign w:val="baseline"/>
          <w:lang w:val="en-US"/>
        </w:rPr>
      </w:pPr>
      <w:r>
        <mc:AlternateContent>
          <mc:Choice Requires="wps">
            <w:drawing>
              <wp:anchor behindDoc="0" distT="0" distB="0" distL="114300" distR="114300" simplePos="0" locked="0" layoutInCell="1" allowOverlap="1" relativeHeight="21">
                <wp:simplePos x="0" y="0"/>
                <wp:positionH relativeFrom="page">
                  <wp:posOffset>917575</wp:posOffset>
                </wp:positionH>
                <wp:positionV relativeFrom="page">
                  <wp:posOffset>1885315</wp:posOffset>
                </wp:positionV>
                <wp:extent cx="425450" cy="1270"/>
                <wp:effectExtent l="0" t="0" r="0" b="0"/>
                <wp:wrapNone/>
                <wp:docPr id="19" name=""/>
                <a:graphic xmlns:a="http://schemas.openxmlformats.org/drawingml/2006/main">
                  <a:graphicData uri="http://schemas.microsoft.com/office/word/2010/wordprocessingShape">
                    <wps:wsp>
                      <wps:cNvSpPr/>
                      <wps:spPr>
                        <a:xfrm>
                          <a:off x="0" y="0"/>
                          <a:ext cx="60588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72.25pt,148.45pt" to="119.9pt,148.45pt" stroked="t" style="position:absolute;mso-position-horizontal-relative:page;mso-position-vertical-relative:page">
                <v:stroke color="black" weight="11520" joinstyle="round" endcap="flat"/>
                <v:fill o:detectmouseclick="t" on="false"/>
              </v:line>
            </w:pict>
          </mc:Fallback>
        </mc:AlternateContent>
      </w:r>
      <w:r>
        <w:rPr>
          <w:rFonts w:ascii="Arial" w:hAnsi="Arial"/>
          <w:b/>
          <w:strike w:val="false"/>
          <w:dstrike w:val="false"/>
          <w:color w:val="000000"/>
          <w:spacing w:val="5"/>
          <w:w w:val="100"/>
          <w:position w:val="0"/>
          <w:sz w:val="20"/>
          <w:sz w:val="20"/>
          <w:vertAlign w:val="baseline"/>
          <w:lang w:val="en-US"/>
        </w:rPr>
        <w:t>(</w:t>
      </w:r>
      <w:r>
        <w:rPr>
          <w:rFonts w:ascii="Arial" w:hAnsi="Arial"/>
          <w:b/>
          <w:strike w:val="false"/>
          <w:dstrike w:val="false"/>
          <w:color w:val="000000"/>
          <w:spacing w:val="5"/>
          <w:w w:val="100"/>
          <w:position w:val="0"/>
          <w:sz w:val="20"/>
          <w:sz w:val="20"/>
          <w:vertAlign w:val="baseline"/>
          <w:lang w:val="en-US"/>
        </w:rPr>
        <w:t xml:space="preserve">1996). The Missing Piece in Policy Analysis: Social Security Reform, </w:t>
      </w:r>
      <w:r>
        <w:rPr>
          <w:rFonts w:ascii="Arial" w:hAnsi="Arial"/>
          <w:b/>
          <w:strike w:val="false"/>
          <w:dstrike w:val="false"/>
          <w:color w:val="000000"/>
          <w:spacing w:val="5"/>
          <w:w w:val="100"/>
          <w:position w:val="0"/>
          <w:sz w:val="21"/>
          <w:sz w:val="21"/>
          <w:u w:val="single"/>
          <w:vertAlign w:val="baseline"/>
          <w:lang w:val="en-US"/>
        </w:rPr>
        <w:t xml:space="preserve">American </w:t>
      </w:r>
      <w:r>
        <w:rPr>
          <w:rFonts w:ascii="Arial" w:hAnsi="Arial"/>
          <w:b/>
          <w:strike w:val="false"/>
          <w:dstrike w:val="false"/>
          <w:color w:val="000000"/>
          <w:spacing w:val="4"/>
          <w:w w:val="100"/>
          <w:position w:val="0"/>
          <w:sz w:val="21"/>
          <w:sz w:val="21"/>
          <w:u w:val="single"/>
          <w:vertAlign w:val="baseline"/>
          <w:lang w:val="en-US"/>
        </w:rPr>
        <w:t>Economic Review</w:t>
      </w:r>
      <w:r>
        <w:rPr>
          <w:rFonts w:ascii="Arial" w:hAnsi="Arial"/>
          <w:b/>
          <w:strike w:val="false"/>
          <w:dstrike w:val="false"/>
          <w:color w:val="000000"/>
          <w:spacing w:val="4"/>
          <w:w w:val="100"/>
          <w:position w:val="0"/>
          <w:sz w:val="20"/>
          <w:sz w:val="20"/>
          <w:vertAlign w:val="baseline"/>
          <w:lang w:val="en-US"/>
        </w:rPr>
        <w:t xml:space="preserve"> 86 (May): 1-14.</w:t>
      </w:r>
    </w:p>
    <w:p>
      <w:pPr>
        <w:pStyle w:val="Normal"/>
        <w:spacing w:lineRule="auto" w:line="240" w:before="216"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Feldstein, M. S., Poterba, J., and Dicks-Mireaux, L.</w:t>
      </w:r>
    </w:p>
    <w:p>
      <w:pPr>
        <w:pStyle w:val="Normal"/>
        <w:spacing w:lineRule="auto" w:line="240" w:before="36" w:after="0"/>
        <w:ind w:left="1368" w:right="0" w:hanging="720"/>
        <w:jc w:val="left"/>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 xml:space="preserve">(1983). The Effective Tax Rate and the Pretax Rate of Return, </w:t>
      </w:r>
      <w:r>
        <w:rPr>
          <w:rFonts w:ascii="Arial" w:hAnsi="Arial"/>
          <w:b/>
          <w:strike w:val="false"/>
          <w:dstrike w:val="false"/>
          <w:color w:val="000000"/>
          <w:spacing w:val="5"/>
          <w:w w:val="100"/>
          <w:position w:val="0"/>
          <w:sz w:val="21"/>
          <w:sz w:val="21"/>
          <w:u w:val="single"/>
          <w:vertAlign w:val="baseline"/>
          <w:lang w:val="en-US"/>
        </w:rPr>
        <w:t xml:space="preserve">Journal of Public  </w:t>
      </w:r>
      <w:r>
        <w:rPr>
          <w:rFonts w:ascii="Arial" w:hAnsi="Arial"/>
          <w:b/>
          <w:strike w:val="false"/>
          <w:dstrike w:val="false"/>
          <w:color w:val="000000"/>
          <w:spacing w:val="6"/>
          <w:w w:val="100"/>
          <w:position w:val="0"/>
          <w:sz w:val="21"/>
          <w:sz w:val="21"/>
          <w:u w:val="single"/>
          <w:vertAlign w:val="baseline"/>
          <w:lang w:val="en-US"/>
        </w:rPr>
        <w:t>Economics</w:t>
      </w:r>
      <w:r>
        <w:rPr>
          <w:rFonts w:ascii="Arial" w:hAnsi="Arial"/>
          <w:b/>
          <w:strike w:val="false"/>
          <w:dstrike w:val="false"/>
          <w:color w:val="000000"/>
          <w:spacing w:val="6"/>
          <w:w w:val="100"/>
          <w:position w:val="0"/>
          <w:sz w:val="20"/>
          <w:sz w:val="20"/>
          <w:vertAlign w:val="baseline"/>
          <w:lang w:val="en-US"/>
        </w:rPr>
        <w:t xml:space="preserve"> 21: 129-158.</w:t>
      </w:r>
    </w:p>
    <w:p>
      <w:pPr>
        <w:pStyle w:val="Normal"/>
        <w:spacing w:lineRule="auto" w:line="240" w:before="216"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Feldstein, M. S., and Summers, L.</w:t>
      </w:r>
    </w:p>
    <w:p>
      <w:pPr>
        <w:pStyle w:val="Normal"/>
        <w:spacing w:lineRule="auto" w:line="240" w:before="0" w:after="432"/>
        <w:ind w:left="1368" w:right="0" w:hanging="72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(1977). Is the Rate of Profit Falling?, </w:t>
      </w:r>
      <w:r>
        <w:rPr>
          <w:rFonts w:ascii="Arial" w:hAnsi="Arial"/>
          <w:b/>
          <w:strike w:val="false"/>
          <w:dstrike w:val="false"/>
          <w:color w:val="000000"/>
          <w:spacing w:val="0"/>
          <w:w w:val="100"/>
          <w:position w:val="0"/>
          <w:sz w:val="21"/>
          <w:sz w:val="21"/>
          <w:u w:val="single"/>
          <w:vertAlign w:val="baseline"/>
          <w:lang w:val="en-US"/>
        </w:rPr>
        <w:t>Brookings Papers on Economic Activity</w:t>
      </w:r>
      <w:r>
        <w:rPr>
          <w:rFonts w:ascii="Arial" w:hAnsi="Arial"/>
          <w:b/>
          <w:strike w:val="false"/>
          <w:dstrike w:val="false"/>
          <w:color w:val="000000"/>
          <w:spacing w:val="0"/>
          <w:w w:val="100"/>
          <w:position w:val="0"/>
          <w:sz w:val="20"/>
          <w:sz w:val="20"/>
          <w:vertAlign w:val="baseline"/>
          <w:lang w:val="en-US"/>
        </w:rPr>
        <w:t xml:space="preserve"> 1: 211- 227.</w:t>
      </w:r>
    </w:p>
    <w:p>
      <w:pPr>
        <w:pStyle w:val="Normal"/>
        <w:spacing w:lineRule="auto" w:line="240" w:before="0" w:after="0"/>
        <w:ind w:left="1368" w:right="0" w:hanging="720"/>
        <w:jc w:val="left"/>
        <w:rPr>
          <w:rFonts w:ascii="Arial" w:hAnsi="Arial"/>
          <w:b/>
          <w:b/>
          <w:strike w:val="false"/>
          <w:dstrike w:val="false"/>
          <w:color w:val="000000"/>
          <w:spacing w:val="1"/>
          <w:w w:val="100"/>
          <w:position w:val="0"/>
          <w:sz w:val="22"/>
          <w:sz w:val="20"/>
          <w:vertAlign w:val="baseline"/>
          <w:lang w:val="en-US"/>
        </w:rPr>
      </w:pPr>
      <w:r>
        <mc:AlternateContent>
          <mc:Choice Requires="wps">
            <w:drawing>
              <wp:anchor behindDoc="0" distT="0" distB="0" distL="114300" distR="114300" simplePos="0" locked="0" layoutInCell="1" allowOverlap="1" relativeHeight="22">
                <wp:simplePos x="0" y="0"/>
                <wp:positionH relativeFrom="column">
                  <wp:posOffset>0</wp:posOffset>
                </wp:positionH>
                <wp:positionV relativeFrom="paragraph">
                  <wp:posOffset>6350</wp:posOffset>
                </wp:positionV>
                <wp:extent cx="476885" cy="1270"/>
                <wp:effectExtent l="0" t="0" r="0" b="0"/>
                <wp:wrapNone/>
                <wp:docPr id="20" name=""/>
                <a:graphic xmlns:a="http://schemas.openxmlformats.org/drawingml/2006/main">
                  <a:graphicData uri="http://schemas.microsoft.com/office/word/2010/wordprocessingShape">
                    <wps:wsp>
                      <wps:cNvSpPr/>
                      <wps:spPr>
                        <a:xfrm>
                          <a:off x="0" y="0"/>
                          <a:ext cx="67896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53.4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1"/>
          <w:w w:val="100"/>
          <w:position w:val="0"/>
          <w:sz w:val="20"/>
          <w:sz w:val="20"/>
          <w:vertAlign w:val="baseline"/>
          <w:lang w:val="en-US"/>
        </w:rPr>
        <w:t>(</w:t>
      </w:r>
      <w:r>
        <w:rPr>
          <w:rFonts w:ascii="Arial" w:hAnsi="Arial"/>
          <w:b/>
          <w:strike w:val="false"/>
          <w:dstrike w:val="false"/>
          <w:color w:val="000000"/>
          <w:spacing w:val="1"/>
          <w:w w:val="100"/>
          <w:position w:val="0"/>
          <w:sz w:val="20"/>
          <w:sz w:val="20"/>
          <w:vertAlign w:val="baseline"/>
          <w:lang w:val="en-US"/>
        </w:rPr>
        <w:t xml:space="preserve">1979). Inflation and the Taxation of Capital Income in the Corporate Sector, </w:t>
      </w:r>
      <w:r>
        <w:rPr>
          <w:rFonts w:ascii="Arial" w:hAnsi="Arial"/>
          <w:b/>
          <w:strike w:val="false"/>
          <w:dstrike w:val="false"/>
          <w:color w:val="000000"/>
          <w:spacing w:val="1"/>
          <w:w w:val="100"/>
          <w:position w:val="0"/>
          <w:sz w:val="21"/>
          <w:sz w:val="21"/>
          <w:u w:val="single"/>
          <w:vertAlign w:val="baseline"/>
          <w:lang w:val="en-US"/>
        </w:rPr>
        <w:t xml:space="preserve">National  </w:t>
      </w:r>
      <w:r>
        <w:rPr>
          <w:rFonts w:ascii="Arial" w:hAnsi="Arial"/>
          <w:b/>
          <w:strike w:val="false"/>
          <w:dstrike w:val="false"/>
          <w:color w:val="000000"/>
          <w:spacing w:val="8"/>
          <w:w w:val="100"/>
          <w:position w:val="0"/>
          <w:sz w:val="21"/>
          <w:sz w:val="21"/>
          <w:u w:val="single"/>
          <w:vertAlign w:val="baseline"/>
          <w:lang w:val="en-US"/>
        </w:rPr>
        <w:t>Tax Journal</w:t>
      </w:r>
      <w:r>
        <w:rPr>
          <w:rFonts w:ascii="Arial" w:hAnsi="Arial"/>
          <w:b/>
          <w:strike w:val="false"/>
          <w:dstrike w:val="false"/>
          <w:color w:val="000000"/>
          <w:spacing w:val="8"/>
          <w:w w:val="100"/>
          <w:position w:val="0"/>
          <w:sz w:val="20"/>
          <w:sz w:val="20"/>
          <w:vertAlign w:val="baseline"/>
          <w:lang w:val="en-US"/>
        </w:rPr>
        <w:t xml:space="preserve"> 32: 445-470.</w:t>
      </w:r>
    </w:p>
    <w:p>
      <w:pPr>
        <w:pStyle w:val="Normal"/>
        <w:spacing w:lineRule="auto" w:line="240" w:before="288" w:after="0"/>
        <w:ind w:left="0" w:right="0" w:hanging="0"/>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Fraumeni, B. M.</w:t>
      </w:r>
    </w:p>
    <w:p>
      <w:pPr>
        <w:pStyle w:val="Normal"/>
        <w:spacing w:lineRule="auto" w:line="240" w:before="0" w:after="0"/>
        <w:ind w:left="1368" w:right="0" w:hanging="648"/>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(1997). The Measurement of Depreciation in the U.S. National Income and Product </w:t>
      </w:r>
      <w:r>
        <w:rPr>
          <w:rFonts w:ascii="Arial" w:hAnsi="Arial"/>
          <w:b/>
          <w:strike w:val="false"/>
          <w:dstrike w:val="false"/>
          <w:color w:val="000000"/>
          <w:spacing w:val="2"/>
          <w:w w:val="100"/>
          <w:position w:val="0"/>
          <w:sz w:val="20"/>
          <w:sz w:val="20"/>
          <w:vertAlign w:val="baseline"/>
          <w:lang w:val="en-US"/>
        </w:rPr>
        <w:t xml:space="preserve">Accounts. </w:t>
      </w:r>
      <w:r>
        <w:rPr>
          <w:rFonts w:ascii="Arial" w:hAnsi="Arial"/>
          <w:b/>
          <w:strike w:val="false"/>
          <w:dstrike w:val="false"/>
          <w:color w:val="000000"/>
          <w:spacing w:val="2"/>
          <w:w w:val="100"/>
          <w:position w:val="0"/>
          <w:sz w:val="21"/>
          <w:sz w:val="21"/>
          <w:u w:val="single"/>
          <w:vertAlign w:val="baseline"/>
          <w:lang w:val="en-US"/>
        </w:rPr>
        <w:t>Survey of Current Business</w:t>
      </w:r>
      <w:r>
        <w:rPr>
          <w:rFonts w:ascii="Arial" w:hAnsi="Arial"/>
          <w:b/>
          <w:strike w:val="false"/>
          <w:dstrike w:val="false"/>
          <w:color w:val="000000"/>
          <w:spacing w:val="2"/>
          <w:w w:val="100"/>
          <w:position w:val="0"/>
          <w:sz w:val="20"/>
          <w:sz w:val="20"/>
          <w:vertAlign w:val="baseline"/>
          <w:lang w:val="en-US"/>
        </w:rPr>
        <w:t xml:space="preserve"> 77 (July): 7-23.</w:t>
      </w:r>
    </w:p>
    <w:p>
      <w:pPr>
        <w:pStyle w:val="Normal"/>
        <w:spacing w:lineRule="auto" w:line="240" w:before="288"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Gordon, R. H.</w:t>
      </w:r>
    </w:p>
    <w:p>
      <w:pPr>
        <w:pStyle w:val="Normal"/>
        <w:spacing w:lineRule="auto" w:line="240" w:before="0" w:after="0"/>
        <w:ind w:left="0" w:right="0" w:hanging="0"/>
        <w:jc w:val="righ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(1997). High Personal Tax Rates and Entrepreneurial Activity: Theory and Preliminary</w:t>
      </w:r>
    </w:p>
    <w:p>
      <w:pPr>
        <w:pStyle w:val="Normal"/>
        <w:spacing w:lineRule="auto" w:line="240" w:before="36" w:after="0"/>
        <w:ind w:left="1368" w:right="0" w:hanging="0"/>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Evidence for the United States, mimeo, University of Michigan.</w:t>
      </w:r>
    </w:p>
    <w:p>
      <w:pPr>
        <w:pStyle w:val="Normal"/>
        <w:spacing w:lineRule="auto" w:line="240" w:before="252"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Holland, D. and Myers, S.</w:t>
      </w:r>
    </w:p>
    <w:p>
      <w:pPr>
        <w:pStyle w:val="Normal"/>
        <w:spacing w:lineRule="auto" w:line="240" w:before="0" w:after="0"/>
        <w:ind w:left="1368" w:right="0" w:hanging="648"/>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(1979). Trends in Corporate Profitability and Capital Costs. In R. Lindsay, ed., </w:t>
      </w:r>
      <w:r>
        <w:rPr>
          <w:rFonts w:ascii="Arial" w:hAnsi="Arial"/>
          <w:b/>
          <w:strike w:val="false"/>
          <w:dstrike w:val="false"/>
          <w:color w:val="000000"/>
          <w:spacing w:val="1"/>
          <w:w w:val="100"/>
          <w:position w:val="0"/>
          <w:sz w:val="21"/>
          <w:sz w:val="21"/>
          <w:u w:val="single"/>
          <w:vertAlign w:val="baseline"/>
          <w:lang w:val="en-US"/>
        </w:rPr>
        <w:t xml:space="preserve">The  </w:t>
      </w:r>
      <w:r>
        <w:rPr>
          <w:rFonts w:ascii="Arial" w:hAnsi="Arial"/>
          <w:b/>
          <w:strike w:val="false"/>
          <w:dstrike w:val="false"/>
          <w:color w:val="000000"/>
          <w:spacing w:val="6"/>
          <w:w w:val="100"/>
          <w:position w:val="0"/>
          <w:sz w:val="21"/>
          <w:sz w:val="21"/>
          <w:u w:val="single"/>
          <w:vertAlign w:val="baseline"/>
          <w:lang w:val="en-US"/>
        </w:rPr>
        <w:t>Nation's Capital Needs: Three Studies.</w:t>
      </w:r>
      <w:r>
        <w:rPr>
          <w:rFonts w:ascii="Arial" w:hAnsi="Arial"/>
          <w:b/>
          <w:strike w:val="false"/>
          <w:dstrike w:val="false"/>
          <w:color w:val="000000"/>
          <w:spacing w:val="6"/>
          <w:w w:val="100"/>
          <w:position w:val="0"/>
          <w:sz w:val="20"/>
          <w:sz w:val="20"/>
          <w:vertAlign w:val="baseline"/>
          <w:lang w:val="en-US"/>
        </w:rPr>
        <w:t xml:space="preserve"> Washington, DC: Committee on </w:t>
      </w:r>
      <w:r>
        <w:rPr>
          <w:rFonts w:ascii="Arial" w:hAnsi="Arial"/>
          <w:b/>
          <w:strike w:val="false"/>
          <w:dstrike w:val="false"/>
          <w:color w:val="000000"/>
          <w:spacing w:val="0"/>
          <w:w w:val="100"/>
          <w:position w:val="0"/>
          <w:sz w:val="20"/>
          <w:sz w:val="20"/>
          <w:vertAlign w:val="baseline"/>
          <w:lang w:val="en-US"/>
        </w:rPr>
        <w:t>Economic Development.</w:t>
      </w:r>
    </w:p>
    <w:p>
      <w:pPr>
        <w:pStyle w:val="Normal"/>
        <w:spacing w:lineRule="auto" w:line="240" w:before="288"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Ibbotson Associates.</w:t>
      </w:r>
    </w:p>
    <w:p>
      <w:pPr>
        <w:pStyle w:val="Normal"/>
        <w:spacing w:lineRule="auto" w:line="240" w:before="0" w:after="0"/>
        <w:ind w:left="1368" w:right="0" w:hanging="648"/>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 xml:space="preserve">(1997). </w:t>
      </w:r>
      <w:r>
        <w:rPr>
          <w:rFonts w:ascii="Arial" w:hAnsi="Arial"/>
          <w:b/>
          <w:strike w:val="false"/>
          <w:dstrike w:val="false"/>
          <w:color w:val="000000"/>
          <w:spacing w:val="7"/>
          <w:w w:val="100"/>
          <w:position w:val="0"/>
          <w:sz w:val="21"/>
          <w:sz w:val="21"/>
          <w:u w:val="single"/>
          <w:vertAlign w:val="baseline"/>
          <w:lang w:val="en-US"/>
        </w:rPr>
        <w:t>Stocks Bonds Bills and Inflation: 1997 Yearbook.</w:t>
      </w:r>
      <w:r>
        <w:rPr>
          <w:rFonts w:ascii="Arial" w:hAnsi="Arial"/>
          <w:b/>
          <w:strike w:val="false"/>
          <w:dstrike w:val="false"/>
          <w:color w:val="000000"/>
          <w:spacing w:val="7"/>
          <w:w w:val="100"/>
          <w:position w:val="0"/>
          <w:sz w:val="20"/>
          <w:sz w:val="20"/>
          <w:vertAlign w:val="baseline"/>
          <w:lang w:val="en-US"/>
        </w:rPr>
        <w:t xml:space="preserve"> Chicago: Ibbotson </w:t>
      </w:r>
      <w:r>
        <w:rPr>
          <w:rFonts w:ascii="Arial" w:hAnsi="Arial"/>
          <w:b/>
          <w:strike w:val="false"/>
          <w:dstrike w:val="false"/>
          <w:color w:val="000000"/>
          <w:spacing w:val="0"/>
          <w:w w:val="100"/>
          <w:position w:val="0"/>
          <w:sz w:val="20"/>
          <w:sz w:val="20"/>
          <w:vertAlign w:val="baseline"/>
          <w:lang w:val="en-US"/>
        </w:rPr>
        <w:t>Associates.</w:t>
      </w:r>
    </w:p>
    <w:p>
      <w:pPr>
        <w:pStyle w:val="Normal"/>
        <w:spacing w:lineRule="auto" w:line="240" w:before="288" w:after="0"/>
        <w:ind w:left="0" w:right="0" w:hanging="0"/>
        <w:jc w:val="left"/>
        <w:rPr>
          <w:rFonts w:ascii="Arial" w:hAnsi="Arial"/>
          <w:b/>
          <w:b/>
          <w:strike w:val="false"/>
          <w:dstrike w:val="false"/>
          <w:color w:val="000000"/>
          <w:spacing w:val="6"/>
          <w:w w:val="100"/>
          <w:position w:val="0"/>
          <w:sz w:val="22"/>
          <w:sz w:val="20"/>
          <w:vertAlign w:val="baseline"/>
          <w:lang w:val="en-US"/>
        </w:rPr>
      </w:pPr>
      <w:r>
        <w:rPr>
          <w:rFonts w:ascii="Arial" w:hAnsi="Arial"/>
          <w:b/>
          <w:strike w:val="false"/>
          <w:dstrike w:val="false"/>
          <w:color w:val="000000"/>
          <w:spacing w:val="6"/>
          <w:w w:val="100"/>
          <w:position w:val="0"/>
          <w:sz w:val="20"/>
          <w:sz w:val="20"/>
          <w:vertAlign w:val="baseline"/>
          <w:lang w:val="en-US"/>
        </w:rPr>
        <w:t>Katz, A. J., and Herman, S. W.</w:t>
      </w:r>
    </w:p>
    <w:p>
      <w:pPr>
        <w:pStyle w:val="Normal"/>
        <w:spacing w:lineRule="auto" w:line="240" w:before="0" w:after="0"/>
        <w:ind w:left="1368" w:right="0" w:hanging="648"/>
        <w:jc w:val="left"/>
        <w:rPr>
          <w:rFonts w:ascii="Arial" w:hAnsi="Arial"/>
          <w:b/>
          <w:b/>
          <w:strike w:val="false"/>
          <w:dstrike w:val="false"/>
          <w:color w:val="000000"/>
          <w:spacing w:val="6"/>
          <w:w w:val="100"/>
          <w:position w:val="0"/>
          <w:sz w:val="22"/>
          <w:sz w:val="20"/>
          <w:vertAlign w:val="baseline"/>
          <w:lang w:val="en-US"/>
        </w:rPr>
      </w:pPr>
      <w:r>
        <w:rPr>
          <w:rFonts w:ascii="Arial" w:hAnsi="Arial"/>
          <w:b/>
          <w:strike w:val="false"/>
          <w:dstrike w:val="false"/>
          <w:color w:val="000000"/>
          <w:spacing w:val="6"/>
          <w:w w:val="100"/>
          <w:position w:val="0"/>
          <w:sz w:val="20"/>
          <w:sz w:val="20"/>
          <w:vertAlign w:val="baseline"/>
          <w:lang w:val="en-US"/>
        </w:rPr>
        <w:t xml:space="preserve">(1997). Improved Estimates of Fixed Reproducible Tangible Wealth, 1929-1995. </w:t>
      </w:r>
      <w:r>
        <w:rPr>
          <w:rFonts w:ascii="Arial" w:hAnsi="Arial"/>
          <w:b/>
          <w:strike w:val="false"/>
          <w:dstrike w:val="false"/>
          <w:color w:val="000000"/>
          <w:spacing w:val="3"/>
          <w:w w:val="100"/>
          <w:position w:val="0"/>
          <w:sz w:val="21"/>
          <w:sz w:val="21"/>
          <w:u w:val="single"/>
          <w:vertAlign w:val="baseline"/>
          <w:lang w:val="en-US"/>
        </w:rPr>
        <w:t>Survey of Current Business</w:t>
      </w:r>
      <w:r>
        <w:rPr>
          <w:rFonts w:ascii="Arial" w:hAnsi="Arial"/>
          <w:b/>
          <w:strike w:val="false"/>
          <w:dstrike w:val="false"/>
          <w:color w:val="000000"/>
          <w:spacing w:val="3"/>
          <w:w w:val="100"/>
          <w:position w:val="0"/>
          <w:sz w:val="20"/>
          <w:sz w:val="20"/>
          <w:vertAlign w:val="baseline"/>
          <w:lang w:val="en-US"/>
        </w:rPr>
        <w:t xml:space="preserve"> 77 (May): 69-92.</w:t>
      </w:r>
    </w:p>
    <w:p>
      <w:pPr>
        <w:pStyle w:val="Normal"/>
        <w:spacing w:lineRule="auto" w:line="240" w:before="288" w:after="0"/>
        <w:ind w:left="0" w:right="0" w:hanging="0"/>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Mishkin, F. S.</w:t>
      </w:r>
    </w:p>
    <w:p>
      <w:pPr>
        <w:pStyle w:val="Normal"/>
        <w:spacing w:lineRule="auto" w:line="240" w:before="0" w:after="0"/>
        <w:ind w:left="1368" w:right="0" w:hanging="648"/>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(1984). Are Real Interest Rates Equal Across Countries? An Empirical Investigation of </w:t>
      </w:r>
      <w:r>
        <w:rPr>
          <w:rFonts w:ascii="Arial" w:hAnsi="Arial"/>
          <w:b/>
          <w:strike w:val="false"/>
          <w:dstrike w:val="false"/>
          <w:color w:val="000000"/>
          <w:spacing w:val="4"/>
          <w:w w:val="100"/>
          <w:position w:val="0"/>
          <w:sz w:val="20"/>
          <w:sz w:val="20"/>
          <w:vertAlign w:val="baseline"/>
          <w:lang w:val="en-US"/>
        </w:rPr>
        <w:t xml:space="preserve">International Parity Conditions. </w:t>
      </w:r>
      <w:r>
        <w:rPr>
          <w:rFonts w:ascii="Arial" w:hAnsi="Arial"/>
          <w:b/>
          <w:strike w:val="false"/>
          <w:dstrike w:val="false"/>
          <w:color w:val="000000"/>
          <w:spacing w:val="4"/>
          <w:w w:val="100"/>
          <w:position w:val="0"/>
          <w:sz w:val="21"/>
          <w:sz w:val="21"/>
          <w:u w:val="single"/>
          <w:vertAlign w:val="baseline"/>
          <w:lang w:val="en-US"/>
        </w:rPr>
        <w:t>Journal of Finance</w:t>
      </w:r>
      <w:r>
        <w:rPr>
          <w:rFonts w:ascii="Arial" w:hAnsi="Arial"/>
          <w:b/>
          <w:strike w:val="false"/>
          <w:dstrike w:val="false"/>
          <w:color w:val="000000"/>
          <w:spacing w:val="4"/>
          <w:w w:val="100"/>
          <w:position w:val="0"/>
          <w:sz w:val="20"/>
          <w:sz w:val="20"/>
          <w:vertAlign w:val="baseline"/>
          <w:lang w:val="en-US"/>
        </w:rPr>
        <w:t xml:space="preserve"> 39: 1345-1357.</w:t>
      </w:r>
    </w:p>
    <w:p>
      <w:pPr>
        <w:pStyle w:val="Normal"/>
        <w:spacing w:lineRule="auto" w:line="240" w:before="252" w:after="0"/>
        <w:ind w:left="0" w:right="0" w:hanging="0"/>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Nordhaus, W. D.</w:t>
      </w:r>
    </w:p>
    <w:p>
      <w:pPr>
        <w:pStyle w:val="Normal"/>
        <w:spacing w:lineRule="exact" w:line="133" w:before="72" w:after="0"/>
        <w:ind w:left="0" w:right="0" w:hanging="0"/>
        <w:jc w:val="righ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(1974). The Falling Share of Profits. </w:t>
      </w:r>
      <w:r>
        <w:rPr>
          <w:rFonts w:ascii="Arial" w:hAnsi="Arial"/>
          <w:b/>
          <w:strike w:val="false"/>
          <w:dstrike w:val="false"/>
          <w:color w:val="000000"/>
          <w:spacing w:val="2"/>
          <w:w w:val="100"/>
          <w:position w:val="0"/>
          <w:sz w:val="21"/>
          <w:sz w:val="21"/>
          <w:u w:val="single"/>
          <w:vertAlign w:val="baseline"/>
          <w:lang w:val="en-US"/>
        </w:rPr>
        <w:t>Brookings Papers on Economic Activity</w:t>
      </w:r>
      <w:r>
        <w:rPr>
          <w:rFonts w:ascii="Arial" w:hAnsi="Arial"/>
          <w:b/>
          <w:strike w:val="false"/>
          <w:dstrike w:val="false"/>
          <w:color w:val="000000"/>
          <w:spacing w:val="2"/>
          <w:w w:val="100"/>
          <w:position w:val="0"/>
          <w:sz w:val="20"/>
          <w:sz w:val="20"/>
          <w:vertAlign w:val="baseline"/>
          <w:lang w:val="en-US"/>
        </w:rPr>
        <w:t xml:space="preserve"> 1: 1 69-</w:t>
      </w:r>
    </w:p>
    <w:p>
      <w:pPr>
        <w:pStyle w:val="Normal"/>
        <w:spacing w:lineRule="auto" w:line="360" w:before="0" w:after="0"/>
        <w:ind w:left="0" w:right="0" w:hanging="0"/>
        <w:jc w:val="right"/>
        <w:rPr>
          <w:rFonts w:ascii="Arial" w:hAnsi="Arial"/>
          <w:b/>
          <w:b/>
          <w:strike w:val="false"/>
          <w:dstrike w:val="false"/>
          <w:color w:val="000000"/>
          <w:spacing w:val="1122"/>
          <w:w w:val="100"/>
          <w:position w:val="0"/>
          <w:sz w:val="22"/>
          <w:sz w:val="20"/>
          <w:vertAlign w:val="baseline"/>
          <w:lang w:val="en-US"/>
        </w:rPr>
      </w:pPr>
      <w:r>
        <w:rPr>
          <w:rFonts w:ascii="Arial" w:hAnsi="Arial"/>
          <w:b/>
          <w:strike w:val="false"/>
          <w:dstrike w:val="false"/>
          <w:color w:val="000000"/>
          <w:spacing w:val="1122"/>
          <w:w w:val="100"/>
          <w:position w:val="0"/>
          <w:sz w:val="20"/>
          <w:sz w:val="20"/>
          <w:vertAlign w:val="baseline"/>
          <w:lang w:val="en-US"/>
        </w:rPr>
        <w:t xml:space="preserve"> </w:t>
      </w:r>
      <w:r>
        <w:rPr>
          <w:rFonts w:ascii="Arial" w:hAnsi="Arial"/>
          <w:b/>
          <w:strike w:val="false"/>
          <w:dstrike w:val="false"/>
          <w:color w:val="000000"/>
          <w:spacing w:val="1122"/>
          <w:w w:val="100"/>
          <w:position w:val="0"/>
          <w:sz w:val="20"/>
          <w:sz w:val="20"/>
          <w:vertAlign w:val="baseline"/>
          <w:lang w:val="en-US"/>
        </w:rPr>
        <w:t>208.</w:t>
      </w:r>
    </w:p>
    <w:p>
      <w:pPr>
        <w:pStyle w:val="Normal"/>
        <w:spacing w:lineRule="auto" w:line="240" w:before="216" w:after="0"/>
        <w:ind w:left="0" w:right="0" w:hanging="0"/>
        <w:jc w:val="left"/>
        <w:rPr>
          <w:rFonts w:ascii="Arial" w:hAnsi="Arial"/>
          <w:b/>
          <w:b/>
          <w:strike w:val="false"/>
          <w:dstrike w:val="false"/>
          <w:color w:val="000000"/>
          <w:spacing w:val="6"/>
          <w:w w:val="100"/>
          <w:position w:val="0"/>
          <w:sz w:val="22"/>
          <w:sz w:val="20"/>
          <w:vertAlign w:val="baseline"/>
          <w:lang w:val="en-US"/>
        </w:rPr>
      </w:pPr>
      <w:r>
        <w:rPr>
          <w:rFonts w:ascii="Arial" w:hAnsi="Arial"/>
          <w:b/>
          <w:strike w:val="false"/>
          <w:dstrike w:val="false"/>
          <w:color w:val="000000"/>
          <w:spacing w:val="6"/>
          <w:w w:val="100"/>
          <w:position w:val="0"/>
          <w:sz w:val="20"/>
          <w:sz w:val="20"/>
          <w:vertAlign w:val="baseline"/>
          <w:lang w:val="en-US"/>
        </w:rPr>
        <w:t>Orr, A., Edey, M., and Kennedy, M.</w:t>
      </w:r>
    </w:p>
    <w:p>
      <w:pPr>
        <w:sectPr>
          <w:type w:val="nextPage"/>
          <w:pgSz w:w="12240" w:h="15840"/>
          <w:pgMar w:left="1402" w:right="1342" w:header="0" w:top="1418" w:footer="0" w:bottom="1912" w:gutter="0"/>
          <w:pgNumType w:fmt="decimal"/>
          <w:formProt w:val="false"/>
          <w:textDirection w:val="lrTb"/>
          <w:docGrid w:type="default" w:linePitch="100" w:charSpace="4096"/>
        </w:sectPr>
        <w:pStyle w:val="Normal"/>
        <w:spacing w:lineRule="auto" w:line="240" w:before="0" w:after="0"/>
        <w:ind w:left="1368" w:right="0" w:hanging="648"/>
        <w:jc w:val="left"/>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 xml:space="preserve">(1995). The Determinants of Real Long-Term Interest Rates: Seventeen Country </w:t>
      </w:r>
      <w:r>
        <w:rPr>
          <w:rFonts w:ascii="Arial" w:hAnsi="Arial"/>
          <w:b/>
          <w:strike w:val="false"/>
          <w:dstrike w:val="false"/>
          <w:color w:val="000000"/>
          <w:spacing w:val="4"/>
          <w:w w:val="100"/>
          <w:position w:val="0"/>
          <w:sz w:val="20"/>
          <w:sz w:val="20"/>
          <w:vertAlign w:val="baseline"/>
          <w:lang w:val="en-US"/>
        </w:rPr>
        <w:t>Pooled Time-Series Evidence. OECD Economics Department Working Paper</w:t>
      </w:r>
    </w:p>
    <w:p>
      <w:pPr>
        <w:pStyle w:val="Normal"/>
        <w:spacing w:lineRule="auto" w:line="211" w:before="0" w:after="144"/>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31</w:t>
      </w:r>
    </w:p>
    <w:p>
      <w:pPr>
        <w:pStyle w:val="Normal"/>
        <w:spacing w:lineRule="auto" w:line="240" w:before="0" w:after="0"/>
        <w:ind w:left="1368"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155, Paris.</w:t>
      </w:r>
    </w:p>
    <w:p>
      <w:pPr>
        <w:pStyle w:val="Normal"/>
        <w:spacing w:lineRule="auto" w:line="240" w:before="216"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Phelps, E. S.</w:t>
      </w:r>
    </w:p>
    <w:p>
      <w:pPr>
        <w:pStyle w:val="Normal"/>
        <w:spacing w:lineRule="auto" w:line="240" w:before="0" w:after="0"/>
        <w:ind w:left="1368" w:right="0" w:hanging="648"/>
        <w:jc w:val="left"/>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 xml:space="preserve">(1961). The Golden Rule of Accumulation: A Fable for Growthmen. </w:t>
      </w:r>
      <w:r>
        <w:rPr>
          <w:rFonts w:ascii="Arial" w:hAnsi="Arial"/>
          <w:b/>
          <w:strike w:val="false"/>
          <w:dstrike w:val="false"/>
          <w:color w:val="000000"/>
          <w:spacing w:val="8"/>
          <w:w w:val="100"/>
          <w:position w:val="0"/>
          <w:sz w:val="21"/>
          <w:sz w:val="21"/>
          <w:u w:val="single"/>
          <w:vertAlign w:val="baseline"/>
          <w:lang w:val="en-US"/>
        </w:rPr>
        <w:t xml:space="preserve">American </w:t>
      </w:r>
      <w:r>
        <w:rPr>
          <w:rFonts w:ascii="Arial" w:hAnsi="Arial"/>
          <w:b/>
          <w:strike w:val="false"/>
          <w:dstrike w:val="false"/>
          <w:color w:val="000000"/>
          <w:spacing w:val="4"/>
          <w:w w:val="100"/>
          <w:position w:val="0"/>
          <w:sz w:val="21"/>
          <w:sz w:val="21"/>
          <w:u w:val="single"/>
          <w:vertAlign w:val="baseline"/>
          <w:lang w:val="en-US"/>
        </w:rPr>
        <w:t>Economic Review</w:t>
      </w:r>
      <w:r>
        <w:rPr>
          <w:rFonts w:ascii="Arial" w:hAnsi="Arial"/>
          <w:b/>
          <w:strike w:val="false"/>
          <w:dstrike w:val="false"/>
          <w:color w:val="000000"/>
          <w:spacing w:val="4"/>
          <w:w w:val="100"/>
          <w:position w:val="0"/>
          <w:sz w:val="20"/>
          <w:sz w:val="20"/>
          <w:vertAlign w:val="baseline"/>
          <w:lang w:val="en-US"/>
        </w:rPr>
        <w:t xml:space="preserve"> 51: 638-643.</w:t>
      </w:r>
    </w:p>
    <w:p>
      <w:pPr>
        <w:pStyle w:val="Normal"/>
        <w:spacing w:lineRule="auto" w:line="240" w:before="252"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Poterba, J. M.</w:t>
      </w:r>
    </w:p>
    <w:p>
      <w:pPr>
        <w:pStyle w:val="Normal"/>
        <w:spacing w:lineRule="auto" w:line="240" w:before="0" w:after="468"/>
        <w:ind w:left="1368" w:right="0" w:hanging="648"/>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(1987). Tax Policy and Corporate Saving </w:t>
      </w:r>
      <w:r>
        <w:rPr>
          <w:rFonts w:ascii="Arial" w:hAnsi="Arial"/>
          <w:b/>
          <w:strike w:val="false"/>
          <w:dstrike w:val="false"/>
          <w:color w:val="000000"/>
          <w:spacing w:val="1"/>
          <w:w w:val="100"/>
          <w:position w:val="0"/>
          <w:sz w:val="21"/>
          <w:sz w:val="21"/>
          <w:u w:val="single"/>
          <w:vertAlign w:val="baseline"/>
          <w:lang w:val="en-US"/>
        </w:rPr>
        <w:t xml:space="preserve">Brookings Papers on Economic Activity  </w:t>
      </w:r>
      <w:r>
        <w:rPr>
          <w:rFonts w:ascii="Arial" w:hAnsi="Arial"/>
          <w:b/>
          <w:strike w:val="false"/>
          <w:dstrike w:val="false"/>
          <w:color w:val="000000"/>
          <w:spacing w:val="14"/>
          <w:w w:val="100"/>
          <w:position w:val="0"/>
          <w:sz w:val="20"/>
          <w:sz w:val="20"/>
          <w:vertAlign w:val="baseline"/>
          <w:lang w:val="en-US"/>
        </w:rPr>
        <w:t>1987:2, 455-503.</w:t>
      </w:r>
    </w:p>
    <w:p>
      <w:pPr>
        <w:pStyle w:val="Normal"/>
        <w:spacing w:lineRule="auto" w:line="240" w:before="0" w:after="0"/>
        <w:ind w:left="1368" w:right="0" w:hanging="648"/>
        <w:jc w:val="both"/>
        <w:rPr>
          <w:rFonts w:ascii="Arial" w:hAnsi="Arial"/>
          <w:b/>
          <w:b/>
          <w:strike w:val="false"/>
          <w:dstrike w:val="false"/>
          <w:color w:val="000000"/>
          <w:spacing w:val="1"/>
          <w:w w:val="100"/>
          <w:position w:val="0"/>
          <w:sz w:val="22"/>
          <w:sz w:val="20"/>
          <w:vertAlign w:val="baseline"/>
          <w:lang w:val="en-US"/>
        </w:rPr>
      </w:pPr>
      <w:r>
        <mc:AlternateContent>
          <mc:Choice Requires="wps">
            <w:drawing>
              <wp:anchor behindDoc="0" distT="0" distB="0" distL="114300" distR="114300" simplePos="0" locked="0" layoutInCell="1" allowOverlap="1" relativeHeight="23">
                <wp:simplePos x="0" y="0"/>
                <wp:positionH relativeFrom="column">
                  <wp:posOffset>0</wp:posOffset>
                </wp:positionH>
                <wp:positionV relativeFrom="paragraph">
                  <wp:posOffset>6350</wp:posOffset>
                </wp:positionV>
                <wp:extent cx="531495" cy="1270"/>
                <wp:effectExtent l="0" t="0" r="0" b="0"/>
                <wp:wrapNone/>
                <wp:docPr id="21" name=""/>
                <a:graphic xmlns:a="http://schemas.openxmlformats.org/drawingml/2006/main">
                  <a:graphicData uri="http://schemas.microsoft.com/office/word/2010/wordprocessingShape">
                    <wps:wsp>
                      <wps:cNvSpPr/>
                      <wps:spPr>
                        <a:xfrm>
                          <a:off x="0" y="0"/>
                          <a:ext cx="75708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59.55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1"/>
          <w:w w:val="100"/>
          <w:position w:val="0"/>
          <w:sz w:val="20"/>
          <w:sz w:val="20"/>
          <w:vertAlign w:val="baseline"/>
          <w:lang w:val="en-US"/>
        </w:rPr>
        <w:t>(</w:t>
      </w:r>
      <w:r>
        <w:rPr>
          <w:rFonts w:ascii="Arial" w:hAnsi="Arial"/>
          <w:b/>
          <w:strike w:val="false"/>
          <w:dstrike w:val="false"/>
          <w:color w:val="000000"/>
          <w:spacing w:val="1"/>
          <w:w w:val="100"/>
          <w:position w:val="0"/>
          <w:sz w:val="20"/>
          <w:sz w:val="20"/>
          <w:vertAlign w:val="baseline"/>
          <w:lang w:val="en-US"/>
        </w:rPr>
        <w:t xml:space="preserve">1997). Taxation, Risk-Taking, and Household Portfolio Behavior. In A. Auerbach and M. Feldstein, eds., </w:t>
      </w:r>
      <w:r>
        <w:rPr>
          <w:rFonts w:ascii="Arial" w:hAnsi="Arial"/>
          <w:b/>
          <w:strike w:val="false"/>
          <w:dstrike w:val="false"/>
          <w:color w:val="000000"/>
          <w:spacing w:val="1"/>
          <w:w w:val="100"/>
          <w:position w:val="0"/>
          <w:sz w:val="21"/>
          <w:sz w:val="21"/>
          <w:u w:val="single"/>
          <w:vertAlign w:val="baseline"/>
          <w:lang w:val="en-US"/>
        </w:rPr>
        <w:t>Handbook gf Public Economics. Volume III.</w:t>
      </w:r>
      <w:r>
        <w:rPr>
          <w:rFonts w:ascii="Arial" w:hAnsi="Arial"/>
          <w:b/>
          <w:strike w:val="false"/>
          <w:dstrike w:val="false"/>
          <w:color w:val="000000"/>
          <w:spacing w:val="1"/>
          <w:w w:val="100"/>
          <w:position w:val="0"/>
          <w:sz w:val="20"/>
          <w:sz w:val="20"/>
          <w:vertAlign w:val="baseline"/>
          <w:lang w:val="en-US"/>
        </w:rPr>
        <w:t xml:space="preserve"> Amsterdam: </w:t>
      </w:r>
      <w:r>
        <w:rPr>
          <w:rFonts w:ascii="Arial" w:hAnsi="Arial"/>
          <w:b/>
          <w:strike w:val="false"/>
          <w:dstrike w:val="false"/>
          <w:color w:val="000000"/>
          <w:spacing w:val="0"/>
          <w:w w:val="100"/>
          <w:position w:val="0"/>
          <w:sz w:val="20"/>
          <w:sz w:val="20"/>
          <w:vertAlign w:val="baseline"/>
          <w:lang w:val="en-US"/>
        </w:rPr>
        <w:t>North Holland.</w:t>
      </w:r>
    </w:p>
    <w:p>
      <w:pPr>
        <w:pStyle w:val="Normal"/>
        <w:spacing w:lineRule="auto" w:line="240" w:before="288"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Rippe, R. D., and Lavin, R. J.</w:t>
      </w:r>
    </w:p>
    <w:p>
      <w:pPr>
        <w:pStyle w:val="Normal"/>
        <w:spacing w:lineRule="auto" w:line="240" w:before="0" w:after="0"/>
        <w:ind w:left="1368" w:right="0" w:hanging="648"/>
        <w:jc w:val="left"/>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(1995). Focus on ... Further Gains in Corporate Profitability, Prudential Securities </w:t>
      </w:r>
      <w:r>
        <w:rPr>
          <w:rFonts w:ascii="Arial" w:hAnsi="Arial"/>
          <w:b/>
          <w:strike w:val="false"/>
          <w:dstrike w:val="false"/>
          <w:color w:val="000000"/>
          <w:spacing w:val="2"/>
          <w:w w:val="100"/>
          <w:position w:val="0"/>
          <w:sz w:val="21"/>
          <w:sz w:val="21"/>
          <w:u w:val="single"/>
          <w:vertAlign w:val="baseline"/>
          <w:lang w:val="en-US"/>
        </w:rPr>
        <w:t>Economic Outlook Monthly,</w:t>
      </w:r>
      <w:r>
        <w:rPr>
          <w:rFonts w:ascii="Arial" w:hAnsi="Arial"/>
          <w:b/>
          <w:strike w:val="false"/>
          <w:dstrike w:val="false"/>
          <w:color w:val="000000"/>
          <w:spacing w:val="2"/>
          <w:w w:val="100"/>
          <w:position w:val="0"/>
          <w:sz w:val="20"/>
          <w:sz w:val="20"/>
          <w:vertAlign w:val="baseline"/>
          <w:lang w:val="en-US"/>
        </w:rPr>
        <w:t xml:space="preserve"> August, New York, NY.</w:t>
      </w:r>
    </w:p>
    <w:p>
      <w:pPr>
        <w:pStyle w:val="Normal"/>
        <w:spacing w:lineRule="auto" w:line="240" w:before="288" w:after="0"/>
        <w:ind w:left="0"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Rotemberg, J. J., and Woodford, M.</w:t>
      </w:r>
    </w:p>
    <w:p>
      <w:pPr>
        <w:pStyle w:val="Normal"/>
        <w:spacing w:lineRule="auto" w:line="264" w:before="0" w:after="0"/>
        <w:ind w:left="1368" w:right="0" w:hanging="648"/>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(1997). Markups, Factor Shares, and Profits Over the Business Cycle. Mimeo, MIT Sloan School of Management, January.</w:t>
      </w:r>
    </w:p>
    <w:p>
      <w:pPr>
        <w:pStyle w:val="Normal"/>
        <w:spacing w:lineRule="auto" w:line="240" w:before="252"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Slemrod, J.</w:t>
      </w:r>
    </w:p>
    <w:p>
      <w:pPr>
        <w:pStyle w:val="Normal"/>
        <w:spacing w:lineRule="auto" w:line="240" w:before="0" w:after="0"/>
        <w:ind w:left="1368" w:right="0" w:hanging="648"/>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(1996). Are the High-Income Surge and the Corporate Plunge Two Sides of the Same </w:t>
      </w:r>
      <w:r>
        <w:rPr>
          <w:rFonts w:ascii="Arial" w:hAnsi="Arial"/>
          <w:b/>
          <w:strike w:val="false"/>
          <w:dstrike w:val="false"/>
          <w:color w:val="000000"/>
          <w:spacing w:val="4"/>
          <w:w w:val="100"/>
          <w:position w:val="0"/>
          <w:sz w:val="20"/>
          <w:sz w:val="20"/>
          <w:vertAlign w:val="baseline"/>
          <w:lang w:val="en-US"/>
        </w:rPr>
        <w:t>Coin? Mimeo, University of Michigan, June.</w:t>
      </w:r>
    </w:p>
    <w:p>
      <w:pPr>
        <w:pStyle w:val="Normal"/>
        <w:spacing w:lineRule="auto" w:line="240" w:before="288"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Summers, L. H.</w:t>
      </w:r>
    </w:p>
    <w:p>
      <w:pPr>
        <w:pStyle w:val="Normal"/>
        <w:spacing w:lineRule="auto" w:line="240" w:before="0" w:after="0"/>
        <w:ind w:left="1368" w:right="0" w:hanging="648"/>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 xml:space="preserve">(1990). What is the Social Return to Capital Investment? In P. Diamond, </w:t>
      </w:r>
      <w:r>
        <w:rPr>
          <w:rFonts w:ascii="Arial" w:hAnsi="Arial"/>
          <w:b/>
          <w:strike w:val="false"/>
          <w:dstrike w:val="false"/>
          <w:color w:val="000000"/>
          <w:spacing w:val="4"/>
          <w:w w:val="100"/>
          <w:position w:val="0"/>
          <w:sz w:val="21"/>
          <w:sz w:val="21"/>
          <w:u w:val="single"/>
          <w:vertAlign w:val="baseline"/>
          <w:lang w:val="en-US"/>
        </w:rPr>
        <w:t xml:space="preserve">Growth, </w:t>
      </w:r>
      <w:r>
        <w:rPr>
          <w:rFonts w:ascii="Arial" w:hAnsi="Arial"/>
          <w:b/>
          <w:strike w:val="false"/>
          <w:dstrike w:val="false"/>
          <w:color w:val="000000"/>
          <w:spacing w:val="0"/>
          <w:w w:val="100"/>
          <w:position w:val="0"/>
          <w:sz w:val="21"/>
          <w:sz w:val="21"/>
          <w:u w:val="single"/>
          <w:vertAlign w:val="baseline"/>
          <w:lang w:val="en-US"/>
        </w:rPr>
        <w:t>Productivity, Employment.</w:t>
      </w:r>
      <w:r>
        <w:rPr>
          <w:rFonts w:ascii="Arial" w:hAnsi="Arial"/>
          <w:b/>
          <w:strike w:val="false"/>
          <w:dstrike w:val="false"/>
          <w:color w:val="000000"/>
          <w:spacing w:val="0"/>
          <w:w w:val="100"/>
          <w:position w:val="0"/>
          <w:sz w:val="20"/>
          <w:sz w:val="20"/>
          <w:vertAlign w:val="baseline"/>
          <w:lang w:val="en-US"/>
        </w:rPr>
        <w:t xml:space="preserve"> Cambridge: MIT Press.</w:t>
      </w:r>
    </w:p>
    <w:p>
      <w:pPr>
        <w:pStyle w:val="Normal"/>
        <w:spacing w:lineRule="auto" w:line="240" w:before="252" w:after="0"/>
        <w:ind w:left="0" w:right="0" w:hanging="0"/>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U.S. Congress, Congressional Budget Office.</w:t>
      </w:r>
    </w:p>
    <w:p>
      <w:pPr>
        <w:pStyle w:val="Normal"/>
        <w:spacing w:lineRule="auto" w:line="240" w:before="0" w:after="432"/>
        <w:ind w:left="1368" w:right="0" w:hanging="648"/>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(1991). </w:t>
      </w:r>
      <w:r>
        <w:rPr>
          <w:rFonts w:ascii="Arial" w:hAnsi="Arial"/>
          <w:b/>
          <w:strike w:val="false"/>
          <w:dstrike w:val="false"/>
          <w:color w:val="000000"/>
          <w:spacing w:val="0"/>
          <w:w w:val="100"/>
          <w:position w:val="0"/>
          <w:sz w:val="21"/>
          <w:sz w:val="21"/>
          <w:u w:val="single"/>
          <w:vertAlign w:val="baseline"/>
          <w:lang w:val="en-US"/>
        </w:rPr>
        <w:t>The Economic and Budget Outlook: Fiscal Years 1992-1996.</w:t>
      </w:r>
      <w:r>
        <w:rPr>
          <w:rFonts w:ascii="Arial" w:hAnsi="Arial"/>
          <w:b/>
          <w:strike w:val="false"/>
          <w:dstrike w:val="false"/>
          <w:color w:val="000000"/>
          <w:spacing w:val="0"/>
          <w:w w:val="100"/>
          <w:position w:val="0"/>
          <w:sz w:val="20"/>
          <w:sz w:val="20"/>
          <w:vertAlign w:val="baseline"/>
          <w:lang w:val="en-US"/>
        </w:rPr>
        <w:t xml:space="preserve"> Washington: Government Printing Office.</w:t>
      </w:r>
    </w:p>
    <w:p>
      <w:pPr>
        <w:sectPr>
          <w:type w:val="nextPage"/>
          <w:pgSz w:w="12240" w:h="15840"/>
          <w:pgMar w:left="1395" w:right="1335" w:header="0" w:top="1440" w:footer="0" w:bottom="1430" w:gutter="0"/>
          <w:pgNumType w:fmt="decimal"/>
          <w:formProt w:val="false"/>
          <w:textDirection w:val="lrTb"/>
          <w:docGrid w:type="default" w:linePitch="100" w:charSpace="4096"/>
        </w:sectPr>
        <w:pStyle w:val="Normal"/>
        <w:spacing w:lineRule="auto" w:line="240" w:before="0" w:after="0"/>
        <w:ind w:left="1368" w:right="0" w:hanging="648"/>
        <w:jc w:val="left"/>
        <w:rPr>
          <w:rFonts w:ascii="Arial" w:hAnsi="Arial"/>
          <w:b/>
          <w:b/>
          <w:strike w:val="false"/>
          <w:dstrike w:val="false"/>
          <w:color w:val="000000"/>
          <w:spacing w:val="0"/>
          <w:w w:val="100"/>
          <w:position w:val="0"/>
          <w:sz w:val="22"/>
          <w:sz w:val="20"/>
          <w:vertAlign w:val="baseline"/>
          <w:lang w:val="en-US"/>
        </w:rPr>
      </w:pPr>
      <w:r>
        <mc:AlternateContent>
          <mc:Choice Requires="wps">
            <w:drawing>
              <wp:anchor behindDoc="0" distT="0" distB="0" distL="114300" distR="114300" simplePos="0" locked="0" layoutInCell="1" allowOverlap="1" relativeHeight="24">
                <wp:simplePos x="0" y="0"/>
                <wp:positionH relativeFrom="column">
                  <wp:posOffset>0</wp:posOffset>
                </wp:positionH>
                <wp:positionV relativeFrom="paragraph">
                  <wp:posOffset>6350</wp:posOffset>
                </wp:positionV>
                <wp:extent cx="488315" cy="1270"/>
                <wp:effectExtent l="0" t="0" r="0" b="0"/>
                <wp:wrapNone/>
                <wp:docPr id="22" name=""/>
                <a:graphic xmlns:a="http://schemas.openxmlformats.org/drawingml/2006/main">
                  <a:graphicData uri="http://schemas.microsoft.com/office/word/2010/wordprocessingShape">
                    <wps:wsp>
                      <wps:cNvSpPr/>
                      <wps:spPr>
                        <a:xfrm>
                          <a:off x="0" y="0"/>
                          <a:ext cx="695160" cy="0"/>
                        </a:xfrm>
                        <a:prstGeom prst="line">
                          <a:avLst/>
                        </a:prstGeom>
                        <a:ln w="11520">
                          <a:solidFill>
                            <a:srgbClr val="000000"/>
                          </a:solidFill>
                          <a:round/>
                        </a:ln>
                      </wps:spPr>
                      <wps:style>
                        <a:lnRef idx="0"/>
                        <a:fillRef idx="0"/>
                        <a:effectRef idx="0"/>
                        <a:fontRef idx="minor"/>
                      </wps:style>
                      <wps:bodyPr/>
                    </wps:wsp>
                  </a:graphicData>
                </a:graphic>
              </wp:anchor>
            </w:drawing>
          </mc:Choice>
          <mc:Fallback>
            <w:pict>
              <v:line id="shape_0" from="0pt,0.5pt" to="54.7pt,0.5pt" stroked="t" style="position:absolute">
                <v:stroke color="black" weight="11520" joinstyle="round" endcap="flat"/>
                <v:fill o:detectmouseclick="t" on="false"/>
              </v:line>
            </w:pict>
          </mc:Fallback>
        </mc:AlternateContent>
      </w:r>
      <w:r>
        <w:rPr>
          <w:rFonts w:ascii="Arial" w:hAnsi="Arial"/>
          <w:b/>
          <w:strike w:val="false"/>
          <w:dstrike w:val="false"/>
          <w:color w:val="000000"/>
          <w:spacing w:val="0"/>
          <w:w w:val="100"/>
          <w:position w:val="0"/>
          <w:sz w:val="20"/>
          <w:sz w:val="20"/>
          <w:vertAlign w:val="baseline"/>
          <w:lang w:val="en-US"/>
        </w:rPr>
        <w:t>(</w:t>
      </w:r>
      <w:r>
        <w:rPr>
          <w:rFonts w:ascii="Arial" w:hAnsi="Arial"/>
          <w:b/>
          <w:strike w:val="false"/>
          <w:dstrike w:val="false"/>
          <w:color w:val="000000"/>
          <w:spacing w:val="0"/>
          <w:w w:val="100"/>
          <w:position w:val="0"/>
          <w:sz w:val="20"/>
          <w:sz w:val="20"/>
          <w:vertAlign w:val="baseline"/>
          <w:lang w:val="en-US"/>
        </w:rPr>
        <w:t xml:space="preserve">1993). </w:t>
      </w:r>
      <w:r>
        <w:rPr>
          <w:rFonts w:ascii="Arial" w:hAnsi="Arial"/>
          <w:b/>
          <w:strike w:val="false"/>
          <w:dstrike w:val="false"/>
          <w:color w:val="000000"/>
          <w:spacing w:val="0"/>
          <w:w w:val="100"/>
          <w:position w:val="0"/>
          <w:sz w:val="21"/>
          <w:sz w:val="21"/>
          <w:u w:val="single"/>
          <w:vertAlign w:val="baseline"/>
          <w:lang w:val="en-US"/>
        </w:rPr>
        <w:t>The Economic and Budget Outlook: Fiscal Years 1994-1998.</w:t>
      </w:r>
      <w:r>
        <w:rPr>
          <w:rFonts w:ascii="Arial" w:hAnsi="Arial"/>
          <w:b/>
          <w:strike w:val="false"/>
          <w:dstrike w:val="false"/>
          <w:color w:val="000000"/>
          <w:spacing w:val="0"/>
          <w:w w:val="100"/>
          <w:position w:val="0"/>
          <w:sz w:val="20"/>
          <w:sz w:val="20"/>
          <w:vertAlign w:val="baseline"/>
          <w:lang w:val="en-US"/>
        </w:rPr>
        <w:t xml:space="preserve"> Washington: </w:t>
      </w:r>
      <w:r>
        <w:rPr>
          <w:rFonts w:ascii="Arial" w:hAnsi="Arial"/>
          <w:b/>
          <w:strike w:val="false"/>
          <w:dstrike w:val="false"/>
          <w:color w:val="000000"/>
          <w:spacing w:val="2"/>
          <w:w w:val="100"/>
          <w:position w:val="0"/>
          <w:sz w:val="20"/>
          <w:sz w:val="20"/>
          <w:vertAlign w:val="baseline"/>
          <w:lang w:val="en-US"/>
        </w:rPr>
        <w:t>Government Printing Office.</w:t>
      </w:r>
    </w:p>
    <w:p>
      <w:pPr>
        <w:pStyle w:val="Normal"/>
        <w:spacing w:lineRule="exact" w:line="338"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32 </w:t>
        <w:br/>
      </w:r>
      <w:r>
        <w:rPr>
          <w:rFonts w:ascii="Arial" w:hAnsi="Arial"/>
          <w:b/>
          <w:strike w:val="false"/>
          <w:dstrike w:val="false"/>
          <w:color w:val="000000"/>
          <w:spacing w:val="5"/>
          <w:w w:val="100"/>
          <w:position w:val="0"/>
          <w:sz w:val="20"/>
          <w:sz w:val="20"/>
          <w:vertAlign w:val="baseline"/>
          <w:lang w:val="en-US"/>
        </w:rPr>
        <w:t>Table 1: Rate of Return on Nonfinancial Corporate Capital, 1959-1996</w:t>
      </w:r>
    </w:p>
    <w:tbl>
      <w:tblPr>
        <w:tblW w:w="9006" w:type="dxa"/>
        <w:jc w:val="left"/>
        <w:tblInd w:w="0" w:type="dxa"/>
        <w:tblCellMar>
          <w:top w:w="0" w:type="dxa"/>
          <w:left w:w="0" w:type="dxa"/>
          <w:bottom w:w="0" w:type="dxa"/>
          <w:right w:w="0" w:type="dxa"/>
        </w:tblCellMar>
      </w:tblPr>
      <w:tblGrid>
        <w:gridCol w:w="1807"/>
        <w:gridCol w:w="1368"/>
        <w:gridCol w:w="2343"/>
        <w:gridCol w:w="2402"/>
        <w:gridCol w:w="1086"/>
      </w:tblGrid>
      <w:tr>
        <w:trPr>
          <w:trHeight w:val="731" w:hRule="exact"/>
        </w:trPr>
        <w:tc>
          <w:tcPr>
            <w:tcW w:w="1807" w:type="dxa"/>
            <w:tcBorders>
              <w:top w:val="single" w:sz="4" w:space="0" w:color="000000"/>
              <w:bottom w:val="single" w:sz="4" w:space="0" w:color="000000"/>
            </w:tcBorders>
            <w:vAlign w:val="bottom"/>
          </w:tcPr>
          <w:p>
            <w:pPr>
              <w:pStyle w:val="Normal"/>
              <w:spacing w:lineRule="auto" w:line="240" w:before="288" w:after="0"/>
              <w:ind w:left="760" w:right="0" w:hanging="0"/>
              <w:jc w:val="left"/>
              <w:rPr>
                <w:rFonts w:ascii="Arial" w:hAnsi="Arial"/>
                <w:b/>
                <w:b/>
                <w:strike w:val="false"/>
                <w:dstrike w:val="false"/>
                <w:color w:val="000000"/>
                <w:spacing w:val="-34"/>
                <w:w w:val="100"/>
                <w:position w:val="0"/>
                <w:sz w:val="22"/>
                <w:sz w:val="20"/>
                <w:vertAlign w:val="baseline"/>
                <w:lang w:val="en-US"/>
              </w:rPr>
            </w:pPr>
            <w:r>
              <w:rPr>
                <w:rFonts w:ascii="Arial" w:hAnsi="Arial"/>
                <w:b/>
                <w:strike w:val="false"/>
                <w:dstrike w:val="false"/>
                <w:color w:val="000000"/>
                <w:spacing w:val="-34"/>
                <w:w w:val="100"/>
                <w:position w:val="0"/>
                <w:sz w:val="20"/>
                <w:sz w:val="20"/>
                <w:vertAlign w:val="baseline"/>
                <w:lang w:val="en-US"/>
              </w:rPr>
              <w:t>Before Property</w:t>
            </w:r>
          </w:p>
        </w:tc>
        <w:tc>
          <w:tcPr>
            <w:tcW w:w="1368" w:type="dxa"/>
            <w:tcBorders>
              <w:bottom w:val="single" w:sz="4" w:space="0" w:color="000000"/>
            </w:tcBorders>
            <w:vAlign w:val="center"/>
          </w:tcPr>
          <w:p>
            <w:pPr>
              <w:pStyle w:val="Normal"/>
              <w:spacing w:lineRule="exact" w:line="108" w:before="0" w:after="0"/>
              <w:ind w:left="0" w:right="1080" w:hanging="0"/>
              <w:jc w:val="right"/>
              <w:rPr>
                <w:rFonts w:ascii="Arial" w:hAnsi="Arial"/>
                <w:b/>
                <w:b/>
                <w:strike w:val="false"/>
                <w:dstrike w:val="false"/>
                <w:color w:val="000000"/>
                <w:spacing w:val="-45"/>
                <w:w w:val="100"/>
                <w:position w:val="0"/>
                <w:sz w:val="22"/>
                <w:sz w:val="20"/>
                <w:vertAlign w:val="baseline"/>
                <w:lang w:val="en-US"/>
              </w:rPr>
            </w:pPr>
            <w:r>
              <w:rPr>
                <w:rFonts w:ascii="Arial" w:hAnsi="Arial"/>
                <w:b/>
                <w:strike w:val="false"/>
                <w:dstrike w:val="false"/>
                <w:color w:val="000000"/>
                <w:spacing w:val="-45"/>
                <w:w w:val="100"/>
                <w:position w:val="0"/>
                <w:sz w:val="20"/>
                <w:sz w:val="20"/>
                <w:vertAlign w:val="baseline"/>
                <w:lang w:val="en-US"/>
              </w:rPr>
              <w:t>NFC</w:t>
            </w:r>
          </w:p>
          <w:p>
            <w:pPr>
              <w:pStyle w:val="Normal"/>
              <w:spacing w:lineRule="exact" w:line="174" w:before="0" w:after="0"/>
              <w:ind w:left="576" w:right="0" w:hanging="216"/>
              <w:jc w:val="left"/>
              <w:rPr>
                <w:rFonts w:ascii="Arial" w:hAnsi="Arial"/>
                <w:b/>
                <w:b/>
                <w:strike w:val="false"/>
                <w:dstrike w:val="false"/>
                <w:color w:val="000000"/>
                <w:spacing w:val="-28"/>
                <w:w w:val="100"/>
                <w:position w:val="0"/>
                <w:sz w:val="22"/>
                <w:sz w:val="20"/>
                <w:vertAlign w:val="baseline"/>
                <w:lang w:val="en-US"/>
              </w:rPr>
            </w:pPr>
            <w:r>
              <w:rPr>
                <w:rFonts w:ascii="Arial" w:hAnsi="Arial"/>
                <w:b/>
                <w:strike w:val="false"/>
                <w:dstrike w:val="false"/>
                <w:color w:val="000000"/>
                <w:spacing w:val="-28"/>
                <w:w w:val="100"/>
                <w:position w:val="0"/>
                <w:sz w:val="20"/>
                <w:sz w:val="20"/>
                <w:vertAlign w:val="baseline"/>
                <w:lang w:val="en-US"/>
              </w:rPr>
              <w:t xml:space="preserve">Pretax Return </w:t>
            </w:r>
            <w:r>
              <w:rPr>
                <w:rFonts w:ascii="Arial" w:hAnsi="Arial"/>
                <w:b/>
                <w:strike w:val="false"/>
                <w:dstrike w:val="false"/>
                <w:color w:val="000000"/>
                <w:spacing w:val="0"/>
                <w:w w:val="100"/>
                <w:position w:val="0"/>
                <w:sz w:val="20"/>
                <w:sz w:val="20"/>
                <w:vertAlign w:val="baseline"/>
                <w:lang w:val="en-US"/>
              </w:rPr>
              <w:t>Taxes</w:t>
            </w:r>
          </w:p>
        </w:tc>
        <w:tc>
          <w:tcPr>
            <w:tcW w:w="2343" w:type="dxa"/>
            <w:tcBorders/>
            <w:vAlign w:val="bottom"/>
          </w:tcPr>
          <w:p>
            <w:pPr>
              <w:pStyle w:val="Normal"/>
              <w:spacing w:lineRule="auto" w:line="240" w:before="324"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After Property Taxes</w:t>
            </w:r>
          </w:p>
        </w:tc>
        <w:tc>
          <w:tcPr>
            <w:tcW w:w="2402" w:type="dxa"/>
            <w:tcBorders/>
          </w:tcPr>
          <w:p>
            <w:pPr>
              <w:pStyle w:val="Normal"/>
              <w:spacing w:lineRule="auto" w:line="240" w:before="108" w:after="0"/>
              <w:ind w:left="0" w:right="0" w:hanging="0"/>
              <w:jc w:val="center"/>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NFC Return After: </w:t>
              <w:br/>
            </w:r>
            <w:r>
              <w:rPr>
                <w:rFonts w:ascii="Arial" w:hAnsi="Arial"/>
                <w:b/>
                <w:strike w:val="false"/>
                <w:dstrike w:val="false"/>
                <w:color w:val="000000"/>
                <w:spacing w:val="0"/>
                <w:w w:val="100"/>
                <w:position w:val="0"/>
                <w:sz w:val="20"/>
                <w:sz w:val="20"/>
                <w:vertAlign w:val="baseline"/>
                <w:lang w:val="en-US"/>
              </w:rPr>
              <w:t>Corporate-Level Taxes</w:t>
            </w:r>
          </w:p>
        </w:tc>
        <w:tc>
          <w:tcPr>
            <w:tcW w:w="1086" w:type="dxa"/>
            <w:tcBorders/>
            <w:vAlign w:val="bottom"/>
          </w:tcPr>
          <w:p>
            <w:pPr>
              <w:pStyle w:val="Normal"/>
              <w:spacing w:lineRule="auto" w:line="240" w:before="288"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All Taxes</w:t>
            </w:r>
          </w:p>
        </w:tc>
      </w:tr>
      <w:tr>
        <w:trPr>
          <w:trHeight w:val="349" w:hRule="exact"/>
        </w:trPr>
        <w:tc>
          <w:tcPr>
            <w:tcW w:w="1807" w:type="dxa"/>
            <w:tcBorders>
              <w:top w:val="single" w:sz="4" w:space="0" w:color="000000"/>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1959</w:t>
            </w:r>
          </w:p>
        </w:tc>
        <w:tc>
          <w:tcPr>
            <w:tcW w:w="1368" w:type="dxa"/>
            <w:tcBorders>
              <w:top w:val="single" w:sz="4" w:space="0" w:color="000000"/>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8.8</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w:t>
            </w:r>
          </w:p>
        </w:tc>
      </w:tr>
      <w:tr>
        <w:trPr>
          <w:trHeight w:val="241"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3.9</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2.9</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1961</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8.3</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7.4</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4.0</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3.0</w:t>
            </w:r>
          </w:p>
        </w:tc>
      </w:tr>
      <w:tr>
        <w:trPr>
          <w:trHeight w:val="241"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1962</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9.4</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5.1</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3.9</w:t>
            </w:r>
          </w:p>
        </w:tc>
      </w:tr>
      <w:tr>
        <w:trPr>
          <w:trHeight w:val="249"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1963</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9.2</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w:t>
            </w:r>
          </w:p>
        </w:tc>
      </w:tr>
      <w:tr>
        <w:trPr>
          <w:trHeight w:val="244"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1964</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9.9</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5.0</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1965</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12.0</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11.0</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w:t>
            </w:r>
          </w:p>
        </w:tc>
      </w:tr>
      <w:tr>
        <w:trPr>
          <w:trHeight w:val="249"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11.1</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w:t>
            </w:r>
          </w:p>
        </w:tc>
      </w:tr>
      <w:tr>
        <w:trPr>
          <w:trHeight w:val="248"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1967</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9.9</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5.0</w:t>
            </w:r>
          </w:p>
        </w:tc>
      </w:tr>
      <w:tr>
        <w:trPr>
          <w:trHeight w:val="252"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1968</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9.8</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w:t>
            </w:r>
          </w:p>
        </w:tc>
      </w:tr>
      <w:tr>
        <w:trPr>
          <w:trHeight w:val="241"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1969</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8.8</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5.3</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3.8</w:t>
            </w:r>
          </w:p>
        </w:tc>
      </w:tr>
      <w:tr>
        <w:trPr>
          <w:trHeight w:val="241"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2.9</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1971</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8.6</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7.4</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4.8</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w:t>
            </w:r>
          </w:p>
        </w:tc>
      </w:tr>
      <w:tr>
        <w:trPr>
          <w:trHeight w:val="249"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1972</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7.8</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5.0</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3.7</w:t>
            </w:r>
          </w:p>
        </w:tc>
      </w:tr>
      <w:tr>
        <w:trPr>
          <w:trHeight w:val="241"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1973</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7.8</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4.8</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1974</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7.4</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w:t>
            </w:r>
          </w:p>
        </w:tc>
      </w:tr>
      <w:tr>
        <w:trPr>
          <w:trHeight w:val="244"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1975</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7.4</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2.8</w:t>
            </w:r>
          </w:p>
        </w:tc>
      </w:tr>
      <w:tr>
        <w:trPr>
          <w:trHeight w:val="242"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1976</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2.9</w:t>
            </w:r>
          </w:p>
        </w:tc>
      </w:tr>
      <w:tr>
        <w:trPr>
          <w:trHeight w:val="244"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1977</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2.7</w:t>
            </w:r>
          </w:p>
        </w:tc>
      </w:tr>
      <w:tr>
        <w:trPr>
          <w:trHeight w:val="249"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1978</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2.8</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1979</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w:t>
            </w:r>
          </w:p>
        </w:tc>
      </w:tr>
      <w:tr>
        <w:trPr>
          <w:trHeight w:val="248"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5.1</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3.0</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w:t>
            </w:r>
          </w:p>
        </w:tc>
      </w:tr>
      <w:tr>
        <w:trPr>
          <w:trHeight w:val="248"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1981</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3.8</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w:t>
            </w:r>
          </w:p>
        </w:tc>
      </w:tr>
      <w:tr>
        <w:trPr>
          <w:trHeight w:val="242"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1982</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5.4</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w:t>
            </w:r>
          </w:p>
        </w:tc>
      </w:tr>
      <w:tr>
        <w:trPr>
          <w:trHeight w:val="248"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1983</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1984</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4.6</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1985</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4.6</w:t>
            </w:r>
          </w:p>
        </w:tc>
      </w:tr>
      <w:tr>
        <w:trPr>
          <w:trHeight w:val="248"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1986</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5.0</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w:t>
            </w:r>
          </w:p>
        </w:tc>
      </w:tr>
      <w:tr>
        <w:trPr>
          <w:trHeight w:val="241"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1987</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5.2</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1988</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8.3</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7.6</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4.8</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1989</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4.6</w:t>
            </w:r>
          </w:p>
        </w:tc>
      </w:tr>
      <w:tr>
        <w:trPr>
          <w:trHeight w:val="248"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5.4</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1991</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5.1</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w:t>
            </w:r>
          </w:p>
        </w:tc>
      </w:tr>
      <w:tr>
        <w:trPr>
          <w:trHeight w:val="248"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1992</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7.4</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5.1</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1993</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7.6</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5.1</w:t>
            </w:r>
          </w:p>
        </w:tc>
      </w:tr>
      <w:tr>
        <w:trPr>
          <w:trHeight w:val="249"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1994</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9.7</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8.8</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w:t>
            </w:r>
          </w:p>
        </w:tc>
      </w:tr>
      <w:tr>
        <w:trPr>
          <w:trHeight w:val="244"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1995</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9.5</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8.6</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5.4</w:t>
            </w:r>
          </w:p>
        </w:tc>
      </w:tr>
      <w:tr>
        <w:trPr>
          <w:trHeight w:val="364" w:hRule="exact"/>
        </w:trPr>
        <w:tc>
          <w:tcPr>
            <w:tcW w:w="1807" w:type="dxa"/>
            <w:tcBorders/>
          </w:tcPr>
          <w:p>
            <w:pPr>
              <w:pStyle w:val="Normal"/>
              <w:spacing w:lineRule="auto" w:line="240" w:before="0" w:after="0"/>
              <w:ind w:left="4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1996</w:t>
            </w:r>
          </w:p>
        </w:tc>
        <w:tc>
          <w:tcPr>
            <w:tcW w:w="1368" w:type="dxa"/>
            <w:tcBorders/>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9.0</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w:t>
            </w:r>
          </w:p>
        </w:tc>
        <w:tc>
          <w:tcPr>
            <w:tcW w:w="1086" w:type="dxa"/>
            <w:tcBorders/>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w:t>
            </w:r>
          </w:p>
        </w:tc>
      </w:tr>
      <w:tr>
        <w:trPr>
          <w:trHeight w:val="367"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1959-96 Average</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7.6</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5.1</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3.9</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1960-69 Average</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10.3</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9.3</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1970-79 Average</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2.9</w:t>
            </w:r>
          </w:p>
        </w:tc>
      </w:tr>
      <w:tr>
        <w:trPr>
          <w:trHeight w:val="245"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1980-89 Average</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4.8</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3.8</w:t>
            </w:r>
          </w:p>
        </w:tc>
      </w:tr>
      <w:tr>
        <w:trPr>
          <w:trHeight w:val="293" w:hRule="exact"/>
        </w:trPr>
        <w:tc>
          <w:tcPr>
            <w:tcW w:w="1807" w:type="dxa"/>
            <w:tcBorders/>
            <w:vAlign w:val="center"/>
          </w:tcPr>
          <w:p>
            <w:pPr>
              <w:pStyle w:val="Normal"/>
              <w:spacing w:lineRule="auto" w:line="240" w:before="0" w:after="0"/>
              <w:ind w:left="40" w:right="0" w:hanging="0"/>
              <w:jc w:val="left"/>
              <w:rPr>
                <w:rFonts w:ascii="Arial" w:hAnsi="Arial"/>
                <w:b/>
                <w:b/>
                <w:strike w:val="false"/>
                <w:dstrike w:val="false"/>
                <w:color w:val="000000"/>
                <w:spacing w:val="7"/>
                <w:w w:val="100"/>
                <w:position w:val="0"/>
                <w:sz w:val="22"/>
                <w:sz w:val="20"/>
                <w:vertAlign w:val="baseline"/>
                <w:lang w:val="en-US"/>
              </w:rPr>
            </w:pPr>
            <w:r>
              <w:rPr>
                <w:rFonts w:ascii="Arial" w:hAnsi="Arial"/>
                <w:b/>
                <w:strike w:val="false"/>
                <w:dstrike w:val="false"/>
                <w:color w:val="000000"/>
                <w:spacing w:val="7"/>
                <w:w w:val="100"/>
                <w:position w:val="0"/>
                <w:sz w:val="20"/>
                <w:sz w:val="20"/>
                <w:vertAlign w:val="baseline"/>
                <w:lang w:val="en-US"/>
              </w:rPr>
              <w:t>1990-96 Average</w:t>
            </w:r>
          </w:p>
        </w:tc>
        <w:tc>
          <w:tcPr>
            <w:tcW w:w="1368" w:type="dxa"/>
            <w:tcBorders/>
            <w:vAlign w:val="center"/>
          </w:tcPr>
          <w:p>
            <w:pPr>
              <w:pStyle w:val="Normal"/>
              <w:tabs>
                <w:tab w:val="clear" w:pos="720"/>
                <w:tab w:val="decimal" w:pos="3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8.6</w:t>
            </w:r>
          </w:p>
        </w:tc>
        <w:tc>
          <w:tcPr>
            <w:tcW w:w="2343" w:type="dxa"/>
            <w:tcBorders/>
            <w:vAlign w:val="center"/>
          </w:tcPr>
          <w:p>
            <w:pPr>
              <w:pStyle w:val="Normal"/>
              <w:tabs>
                <w:tab w:val="clear" w:pos="720"/>
                <w:tab w:val="decimal" w:pos="11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402" w:type="dxa"/>
            <w:tcBorders/>
            <w:vAlign w:val="center"/>
          </w:tcPr>
          <w:p>
            <w:pPr>
              <w:pStyle w:val="Normal"/>
              <w:tabs>
                <w:tab w:val="clear" w:pos="720"/>
                <w:tab w:val="decimal" w:pos="90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w:t>
            </w:r>
          </w:p>
        </w:tc>
        <w:tc>
          <w:tcPr>
            <w:tcW w:w="1086" w:type="dxa"/>
            <w:tcBorders/>
            <w:vAlign w:val="center"/>
          </w:tcPr>
          <w:p>
            <w:pPr>
              <w:pStyle w:val="Normal"/>
              <w:tabs>
                <w:tab w:val="clear" w:pos="720"/>
                <w:tab w:val="decimal" w:pos="4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5.0</w:t>
            </w:r>
          </w:p>
        </w:tc>
      </w:tr>
    </w:tbl>
    <w:p>
      <w:pPr>
        <w:pStyle w:val="Normal"/>
        <w:spacing w:lineRule="exact" w:line="20" w:before="0" w:after="52"/>
        <w:rPr/>
      </w:pPr>
      <w:r>
        <w:rPr/>
      </w:r>
    </w:p>
    <w:p>
      <w:pPr>
        <w:sectPr>
          <w:type w:val="nextPage"/>
          <w:pgSz w:w="12240" w:h="15840"/>
          <w:pgMar w:left="1585" w:right="1145" w:header="0" w:top="1420" w:footer="0" w:bottom="1530" w:gutter="0"/>
          <w:pgNumType w:fmt="decimal"/>
          <w:formProt w:val="false"/>
          <w:textDirection w:val="lrTb"/>
          <w:docGrid w:type="default" w:linePitch="100" w:charSpace="4096"/>
        </w:sectPr>
        <w:pStyle w:val="Normal"/>
        <w:spacing w:lineRule="auto" w:line="240" w:before="108" w:after="0"/>
        <w:ind w:left="0" w:right="0" w:hanging="0"/>
        <w:jc w:val="both"/>
        <w:rPr>
          <w:rFonts w:ascii="Arial" w:hAnsi="Arial"/>
          <w:b/>
          <w:b/>
          <w:strike w:val="false"/>
          <w:dstrike w:val="false"/>
          <w:color w:val="000000"/>
          <w:spacing w:val="-1"/>
          <w:w w:val="100"/>
          <w:position w:val="0"/>
          <w:sz w:val="22"/>
          <w:sz w:val="20"/>
          <w:vertAlign w:val="baseline"/>
          <w:lang w:val="en-US"/>
        </w:rPr>
      </w:pPr>
      <w:r>
        <mc:AlternateContent>
          <mc:Choice Requires="wps">
            <w:drawing>
              <wp:anchor behindDoc="0" distT="0" distB="0" distL="114300" distR="114300" simplePos="0" locked="0" layoutInCell="1" allowOverlap="1" relativeHeight="25">
                <wp:simplePos x="0" y="0"/>
                <wp:positionH relativeFrom="column">
                  <wp:posOffset>1090930</wp:posOffset>
                </wp:positionH>
                <wp:positionV relativeFrom="paragraph">
                  <wp:posOffset>7620</wp:posOffset>
                </wp:positionV>
                <wp:extent cx="3248660" cy="1270"/>
                <wp:effectExtent l="0" t="0" r="0" b="0"/>
                <wp:wrapNone/>
                <wp:docPr id="23" name=""/>
                <a:graphic xmlns:a="http://schemas.openxmlformats.org/drawingml/2006/main">
                  <a:graphicData uri="http://schemas.microsoft.com/office/word/2010/wordprocessingShape">
                    <wps:wsp>
                      <wps:cNvSpPr/>
                      <wps:spPr>
                        <a:xfrm>
                          <a:off x="0" y="0"/>
                          <a:ext cx="4628520" cy="0"/>
                        </a:xfrm>
                        <a:prstGeom prst="line">
                          <a:avLst/>
                        </a:prstGeom>
                        <a:ln w="14040">
                          <a:solidFill>
                            <a:srgbClr val="000000"/>
                          </a:solidFill>
                          <a:prstDash val="dash"/>
                          <a:round/>
                        </a:ln>
                      </wps:spPr>
                      <wps:style>
                        <a:lnRef idx="0"/>
                        <a:fillRef idx="0"/>
                        <a:effectRef idx="0"/>
                        <a:fontRef idx="minor"/>
                      </wps:style>
                      <wps:bodyPr/>
                    </wps:wsp>
                  </a:graphicData>
                </a:graphic>
              </wp:anchor>
            </w:drawing>
          </mc:Choice>
          <mc:Fallback>
            <w:pict>
              <v:line id="shape_0" from="85.9pt,0.6pt" to="450.3pt,0.6pt" stroked="t" style="position:absolute">
                <v:stroke color="black" weight="14040" dashstyle="dash" joinstyle="round" endcap="flat"/>
                <v:fill o:detectmouseclick="t" on="false"/>
              </v:line>
            </w:pict>
          </mc:Fallback>
        </mc:AlternateContent>
      </w:r>
      <w:r>
        <w:rPr>
          <w:rFonts w:ascii="Arial" w:hAnsi="Arial"/>
          <w:b/>
          <w:strike w:val="false"/>
          <w:dstrike w:val="false"/>
          <w:color w:val="000000"/>
          <w:spacing w:val="-1"/>
          <w:w w:val="100"/>
          <w:position w:val="0"/>
          <w:sz w:val="20"/>
          <w:sz w:val="20"/>
          <w:vertAlign w:val="baseline"/>
          <w:lang w:val="en-US"/>
        </w:rPr>
        <w:t>N</w:t>
      </w:r>
      <w:r>
        <w:rPr>
          <w:rFonts w:ascii="Arial" w:hAnsi="Arial"/>
          <w:b/>
          <w:strike w:val="false"/>
          <w:dstrike w:val="false"/>
          <w:color w:val="000000"/>
          <w:spacing w:val="-1"/>
          <w:w w:val="100"/>
          <w:position w:val="0"/>
          <w:sz w:val="20"/>
          <w:sz w:val="20"/>
          <w:vertAlign w:val="baseline"/>
          <w:lang w:val="en-US"/>
        </w:rPr>
        <w:t xml:space="preserve">otes: Column 1 equals (NFC Pre-tax Profits with IVA &amp; CCA + Net Interest + NFC Property </w:t>
      </w:r>
      <w:r>
        <w:rPr>
          <w:rFonts w:ascii="Arial" w:hAnsi="Arial"/>
          <w:b/>
          <w:strike w:val="false"/>
          <w:dstrike w:val="false"/>
          <w:color w:val="000000"/>
          <w:spacing w:val="6"/>
          <w:w w:val="100"/>
          <w:position w:val="0"/>
          <w:sz w:val="20"/>
          <w:sz w:val="20"/>
          <w:vertAlign w:val="baseline"/>
          <w:lang w:val="en-US"/>
        </w:rPr>
        <w:t xml:space="preserve">Taxes)/NFC Tangible Assets at Current Cost. Column 2 omits property taxes from the </w:t>
      </w:r>
      <w:r>
        <w:rPr>
          <w:rFonts w:ascii="Arial" w:hAnsi="Arial"/>
          <w:b/>
          <w:strike w:val="false"/>
          <w:dstrike w:val="false"/>
          <w:color w:val="000000"/>
          <w:spacing w:val="4"/>
          <w:w w:val="100"/>
          <w:position w:val="0"/>
          <w:sz w:val="20"/>
          <w:sz w:val="20"/>
          <w:vertAlign w:val="baseline"/>
          <w:lang w:val="en-US"/>
        </w:rPr>
        <w:t xml:space="preserve">numerator. Column 3 replaces before tax profits in column 2 with after-tax profits. Column </w:t>
      </w:r>
      <w:r>
        <w:rPr>
          <w:rFonts w:ascii="Arial" w:hAnsi="Arial"/>
          <w:b/>
          <w:strike w:val="false"/>
          <w:dstrike w:val="false"/>
          <w:color w:val="000000"/>
          <w:spacing w:val="3"/>
          <w:w w:val="100"/>
          <w:position w:val="0"/>
          <w:sz w:val="20"/>
          <w:sz w:val="20"/>
          <w:vertAlign w:val="baseline"/>
          <w:lang w:val="en-US"/>
        </w:rPr>
        <w:t>4 subtracts an estimate, described in the appendix, of taxes on corporate capital income.</w:t>
      </w:r>
    </w:p>
    <w:p>
      <w:pPr>
        <w:pStyle w:val="Normal"/>
        <w:spacing w:lineRule="exact" w:line="341"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33 </w:t>
        <w:br/>
      </w:r>
      <w:r>
        <w:rPr>
          <w:rFonts w:ascii="Arial" w:hAnsi="Arial"/>
          <w:b/>
          <w:strike w:val="false"/>
          <w:dstrike w:val="false"/>
          <w:color w:val="000000"/>
          <w:spacing w:val="6"/>
          <w:w w:val="100"/>
          <w:position w:val="0"/>
          <w:sz w:val="20"/>
          <w:sz w:val="20"/>
          <w:vertAlign w:val="baseline"/>
          <w:lang w:val="en-US"/>
        </w:rPr>
        <w:t>Table 2: Components of Tax Burden on Earnings of NFCs, 1959-1996</w:t>
      </w:r>
    </w:p>
    <w:tbl>
      <w:tblPr>
        <w:tblW w:w="9420" w:type="dxa"/>
        <w:jc w:val="left"/>
        <w:tblInd w:w="0" w:type="dxa"/>
        <w:tblCellMar>
          <w:top w:w="0" w:type="dxa"/>
          <w:left w:w="0" w:type="dxa"/>
          <w:bottom w:w="0" w:type="dxa"/>
          <w:right w:w="0" w:type="dxa"/>
        </w:tblCellMar>
      </w:tblPr>
      <w:tblGrid>
        <w:gridCol w:w="2022"/>
        <w:gridCol w:w="1541"/>
        <w:gridCol w:w="2024"/>
        <w:gridCol w:w="1995"/>
        <w:gridCol w:w="1838"/>
      </w:tblGrid>
      <w:tr>
        <w:trPr>
          <w:trHeight w:val="716" w:hRule="exact"/>
        </w:trPr>
        <w:tc>
          <w:tcPr>
            <w:tcW w:w="2022" w:type="dxa"/>
            <w:tcBorders>
              <w:top w:val="single" w:sz="6" w:space="0" w:color="000000"/>
            </w:tcBorders>
          </w:tcPr>
          <w:p>
            <w:pPr>
              <w:pStyle w:val="Normal"/>
              <w:spacing w:lineRule="auto" w:line="240" w:before="108" w:after="0"/>
              <w:ind w:left="0" w:right="0"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Corporate</w:t>
            </w:r>
          </w:p>
          <w:p>
            <w:pPr>
              <w:pStyle w:val="Normal"/>
              <w:spacing w:lineRule="auto" w:line="206" w:before="0" w:after="0"/>
              <w:ind w:left="0" w:right="0"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w:t>
            </w:r>
          </w:p>
        </w:tc>
        <w:tc>
          <w:tcPr>
            <w:tcW w:w="1541" w:type="dxa"/>
            <w:tcBorders/>
            <w:vAlign w:val="center"/>
          </w:tcPr>
          <w:p>
            <w:pPr>
              <w:pStyle w:val="Normal"/>
              <w:spacing w:lineRule="auto" w:line="240" w:before="0" w:after="0"/>
              <w:ind w:left="0" w:right="504" w:firstLine="360"/>
              <w:jc w:val="left"/>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 xml:space="preserve">Income </w:t>
            </w:r>
            <w:r>
              <w:rPr>
                <w:rFonts w:ascii="Arial" w:hAnsi="Arial"/>
                <w:b/>
                <w:strike w:val="false"/>
                <w:dstrike w:val="false"/>
                <w:color w:val="000000"/>
                <w:spacing w:val="0"/>
                <w:w w:val="100"/>
                <w:position w:val="0"/>
                <w:sz w:val="20"/>
                <w:sz w:val="20"/>
                <w:vertAlign w:val="baseline"/>
                <w:lang w:val="en-US"/>
              </w:rPr>
              <w:t>Taxes</w:t>
            </w:r>
          </w:p>
        </w:tc>
        <w:tc>
          <w:tcPr>
            <w:tcW w:w="2024" w:type="dxa"/>
            <w:tcBorders/>
            <w:vAlign w:val="center"/>
          </w:tcPr>
          <w:p>
            <w:pPr>
              <w:pStyle w:val="Normal"/>
              <w:spacing w:lineRule="auto" w:line="240" w:before="0" w:after="0"/>
              <w:ind w:left="0" w:right="731"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Property</w:t>
            </w:r>
          </w:p>
          <w:p>
            <w:pPr>
              <w:pStyle w:val="Normal"/>
              <w:spacing w:lineRule="auto" w:line="211" w:before="0" w:after="0"/>
              <w:ind w:left="0" w:right="731"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Taxes</w:t>
            </w:r>
          </w:p>
        </w:tc>
        <w:tc>
          <w:tcPr>
            <w:tcW w:w="1995" w:type="dxa"/>
            <w:tcBorders/>
            <w:vAlign w:val="center"/>
          </w:tcPr>
          <w:p>
            <w:pPr>
              <w:pStyle w:val="Normal"/>
              <w:spacing w:lineRule="auto" w:line="206" w:before="0" w:after="0"/>
              <w:ind w:left="735"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Investor</w:t>
            </w:r>
          </w:p>
          <w:p>
            <w:pPr>
              <w:pStyle w:val="Normal"/>
              <w:spacing w:lineRule="auto" w:line="211" w:before="36" w:after="0"/>
              <w:ind w:left="735"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Taxes</w:t>
            </w:r>
          </w:p>
        </w:tc>
        <w:tc>
          <w:tcPr>
            <w:tcW w:w="1838" w:type="dxa"/>
            <w:tcBorders/>
          </w:tcPr>
          <w:p>
            <w:pPr>
              <w:pStyle w:val="Normal"/>
              <w:spacing w:lineRule="auto" w:line="240" w:before="108" w:after="0"/>
              <w:ind w:left="216"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Total </w:t>
              <w:br/>
              <w:t>Tax Burden</w:t>
            </w:r>
          </w:p>
        </w:tc>
      </w:tr>
      <w:tr>
        <w:trPr>
          <w:trHeight w:val="368"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1959</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43.1</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9.2</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63.9</w:t>
            </w:r>
          </w:p>
        </w:tc>
      </w:tr>
      <w:tr>
        <w:trPr>
          <w:trHeight w:val="241"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41.5</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10.4</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12.9</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64.8</w:t>
            </w:r>
          </w:p>
        </w:tc>
      </w:tr>
      <w:tr>
        <w:trPr>
          <w:trHeight w:val="241"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1961</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40.5</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10.8</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12.6</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63.8</w:t>
            </w:r>
          </w:p>
        </w:tc>
      </w:tr>
      <w:tr>
        <w:trPr>
          <w:trHeight w:val="248"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1962</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36.6</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9.9</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58.3</w:t>
            </w:r>
          </w:p>
        </w:tc>
      </w:tr>
      <w:tr>
        <w:trPr>
          <w:trHeight w:val="242"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1963</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36.3</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9.4</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57.5</w:t>
            </w:r>
          </w:p>
        </w:tc>
      </w:tr>
      <w:tr>
        <w:trPr>
          <w:trHeight w:val="244"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1964</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34.3</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9.1</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10.7</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54.1</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1965</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33.5</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10.4</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52.4</w:t>
            </w:r>
          </w:p>
        </w:tc>
      </w:tr>
      <w:tr>
        <w:trPr>
          <w:trHeight w:val="249"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33.7</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53.6</w:t>
            </w:r>
          </w:p>
        </w:tc>
      </w:tr>
      <w:tr>
        <w:trPr>
          <w:trHeight w:val="244"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1967</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32.3</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12.3</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54.2</w:t>
            </w:r>
          </w:p>
        </w:tc>
      </w:tr>
      <w:tr>
        <w:trPr>
          <w:trHeight w:val="249"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1968</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36.1</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9.9</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13.7</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59.7</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1969</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36.1</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11.0</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15.0</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62.1</w:t>
            </w:r>
          </w:p>
        </w:tc>
      </w:tr>
      <w:tr>
        <w:trPr>
          <w:trHeight w:val="244"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32.4</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13.9</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17.4</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63.6</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1971</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31.0</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13.3</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60.2</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1972</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31.1</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12.4</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14.9</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58.4</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1973</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33.8</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17.3</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63.2</w:t>
            </w:r>
          </w:p>
        </w:tc>
      </w:tr>
      <w:tr>
        <w:trPr>
          <w:trHeight w:val="241"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1974</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37.1</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14.0</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24.1</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75.2</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1975</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30.4</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12.7</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18.9</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61.9</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1976</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33.8</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16.5</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62.1</w:t>
            </w:r>
          </w:p>
        </w:tc>
      </w:tr>
      <w:tr>
        <w:trPr>
          <w:trHeight w:val="244"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1977</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34.6</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11.5</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18.2</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64.3</w:t>
            </w:r>
          </w:p>
        </w:tc>
      </w:tr>
      <w:tr>
        <w:trPr>
          <w:trHeight w:val="249"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1978</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34.9</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19.1</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64.2</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1979</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36.2</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20.1</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66.6</w:t>
            </w:r>
          </w:p>
        </w:tc>
      </w:tr>
      <w:tr>
        <w:trPr>
          <w:trHeight w:val="244"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35.8</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25.2</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72.3</w:t>
            </w:r>
          </w:p>
        </w:tc>
      </w:tr>
      <w:tr>
        <w:trPr>
          <w:trHeight w:val="249"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1981</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27.6</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10.5</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22.3</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60.3</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1982</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18.4</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10.7</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17.5</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46.6</w:t>
            </w:r>
          </w:p>
        </w:tc>
      </w:tr>
      <w:tr>
        <w:trPr>
          <w:trHeight w:val="248"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1983</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20.7</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10.0</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45.1</w:t>
            </w:r>
          </w:p>
        </w:tc>
      </w:tr>
      <w:tr>
        <w:trPr>
          <w:trHeight w:val="241"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1984</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20.6</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8.6</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11.9</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41.2</w:t>
            </w:r>
          </w:p>
        </w:tc>
      </w:tr>
      <w:tr>
        <w:trPr>
          <w:trHeight w:val="249"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1985</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19.1</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8.9</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11.6</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39.6</w:t>
            </w:r>
          </w:p>
        </w:tc>
      </w:tr>
      <w:tr>
        <w:trPr>
          <w:trHeight w:val="244"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1986</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21.1</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42.7</w:t>
            </w:r>
          </w:p>
        </w:tc>
      </w:tr>
      <w:tr>
        <w:trPr>
          <w:trHeight w:val="242"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1987</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23.4</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8.9</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11.9</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44.2</w:t>
            </w:r>
          </w:p>
        </w:tc>
      </w:tr>
      <w:tr>
        <w:trPr>
          <w:trHeight w:val="244"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1988</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22.5</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8.3</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11.2</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42.0</w:t>
            </w:r>
          </w:p>
        </w:tc>
      </w:tr>
      <w:tr>
        <w:trPr>
          <w:trHeight w:val="242"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1989</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21.3</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9.0</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12.4</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42.7</w:t>
            </w:r>
          </w:p>
        </w:tc>
      </w:tr>
      <w:tr>
        <w:trPr>
          <w:trHeight w:val="248"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20.4</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9.7</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13.0</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43.1</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1991</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19.0</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12.4</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41.6</w:t>
            </w:r>
          </w:p>
        </w:tc>
      </w:tr>
      <w:tr>
        <w:trPr>
          <w:trHeight w:val="248"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1992</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20.4</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10.4</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11.0</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41.8</w:t>
            </w:r>
          </w:p>
        </w:tc>
      </w:tr>
      <w:tr>
        <w:trPr>
          <w:trHeight w:val="249"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1993</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20.8</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10.7</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41.7</w:t>
            </w:r>
          </w:p>
        </w:tc>
      </w:tr>
      <w:tr>
        <w:trPr>
          <w:trHeight w:val="248"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1994</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23.0</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9.5</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42.1</w:t>
            </w:r>
          </w:p>
        </w:tc>
      </w:tr>
      <w:tr>
        <w:trPr>
          <w:trHeight w:val="252"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1995</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23.9</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10.0</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43.5</w:t>
            </w:r>
          </w:p>
        </w:tc>
      </w:tr>
      <w:tr>
        <w:trPr>
          <w:trHeight w:val="360" w:hRule="exact"/>
        </w:trPr>
        <w:tc>
          <w:tcPr>
            <w:tcW w:w="2022" w:type="dxa"/>
            <w:tcBorders/>
          </w:tcPr>
          <w:p>
            <w:pPr>
              <w:pStyle w:val="Normal"/>
              <w:spacing w:lineRule="auto" w:line="240" w:before="0" w:after="0"/>
              <w:ind w:left="241"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1996</w:t>
            </w:r>
          </w:p>
        </w:tc>
        <w:tc>
          <w:tcPr>
            <w:tcW w:w="1541" w:type="dxa"/>
            <w:tcBorders/>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23.0</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9.2</w:t>
            </w:r>
          </w:p>
        </w:tc>
        <w:tc>
          <w:tcPr>
            <w:tcW w:w="1995" w:type="dxa"/>
            <w:tcBorders/>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9.0</w:t>
            </w:r>
          </w:p>
        </w:tc>
        <w:tc>
          <w:tcPr>
            <w:tcW w:w="1838" w:type="dxa"/>
            <w:tcBorders/>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41.2</w:t>
            </w:r>
          </w:p>
        </w:tc>
      </w:tr>
      <w:tr>
        <w:trPr>
          <w:trHeight w:val="367"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Average 1959-96</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29.5</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10.3</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54.1</w:t>
            </w:r>
          </w:p>
        </w:tc>
      </w:tr>
      <w:tr>
        <w:trPr>
          <w:trHeight w:val="245"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Average 1960-69</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36.1</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9.7</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12.3</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58.1</w:t>
            </w:r>
          </w:p>
        </w:tc>
      </w:tr>
      <w:tr>
        <w:trPr>
          <w:trHeight w:val="238"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Average 1970-79</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33.5</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12.2</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18.2</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64.0</w:t>
            </w:r>
          </w:p>
        </w:tc>
      </w:tr>
      <w:tr>
        <w:trPr>
          <w:trHeight w:val="248"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Average 1980-89</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23.0</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47.7</w:t>
            </w:r>
          </w:p>
        </w:tc>
      </w:tr>
      <w:tr>
        <w:trPr>
          <w:trHeight w:val="294" w:hRule="exact"/>
        </w:trPr>
        <w:tc>
          <w:tcPr>
            <w:tcW w:w="2022" w:type="dxa"/>
            <w:tcBorders/>
            <w:vAlign w:val="center"/>
          </w:tcPr>
          <w:p>
            <w:pPr>
              <w:pStyle w:val="Normal"/>
              <w:spacing w:lineRule="auto" w:line="240" w:before="0" w:after="0"/>
              <w:ind w:left="241" w:right="0" w:hanging="0"/>
              <w:jc w:val="left"/>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Average 1990-96</w:t>
            </w:r>
          </w:p>
        </w:tc>
        <w:tc>
          <w:tcPr>
            <w:tcW w:w="1541" w:type="dxa"/>
            <w:tcBorders/>
            <w:vAlign w:val="center"/>
          </w:tcPr>
          <w:p>
            <w:pPr>
              <w:pStyle w:val="Normal"/>
              <w:tabs>
                <w:tab w:val="clear" w:pos="720"/>
                <w:tab w:val="decimal" w:pos="32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21.5</w:t>
            </w:r>
          </w:p>
        </w:tc>
        <w:tc>
          <w:tcPr>
            <w:tcW w:w="2024" w:type="dxa"/>
            <w:tcBorders/>
            <w:vAlign w:val="center"/>
          </w:tcPr>
          <w:p>
            <w:pPr>
              <w:pStyle w:val="Normal"/>
              <w:tabs>
                <w:tab w:val="clear" w:pos="720"/>
                <w:tab w:val="decimal" w:pos="101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9.8</w:t>
            </w:r>
          </w:p>
        </w:tc>
        <w:tc>
          <w:tcPr>
            <w:tcW w:w="1995" w:type="dxa"/>
            <w:tcBorders/>
            <w:vAlign w:val="center"/>
          </w:tcPr>
          <w:p>
            <w:pPr>
              <w:pStyle w:val="Normal"/>
              <w:tabs>
                <w:tab w:val="clear" w:pos="720"/>
                <w:tab w:val="decimal" w:pos="105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10.8</w:t>
            </w:r>
          </w:p>
        </w:tc>
        <w:tc>
          <w:tcPr>
            <w:tcW w:w="1838" w:type="dxa"/>
            <w:tcBorders/>
            <w:vAlign w:val="center"/>
          </w:tcPr>
          <w:p>
            <w:pPr>
              <w:pStyle w:val="Normal"/>
              <w:tabs>
                <w:tab w:val="clear" w:pos="720"/>
                <w:tab w:val="decimal" w:pos="9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42.1</w:t>
            </w:r>
          </w:p>
        </w:tc>
      </w:tr>
    </w:tbl>
    <w:p>
      <w:pPr>
        <w:pStyle w:val="Normal"/>
        <w:spacing w:lineRule="exact" w:line="20" w:before="0" w:after="52"/>
        <w:rPr/>
      </w:pPr>
      <w:r>
        <w:rPr/>
      </w:r>
    </w:p>
    <w:p>
      <w:pPr>
        <w:sectPr>
          <w:type w:val="nextPage"/>
          <w:pgSz w:w="12240" w:h="15840"/>
          <w:pgMar w:left="1394" w:right="1336" w:header="0" w:top="1422" w:footer="0" w:bottom="1548" w:gutter="0"/>
          <w:pgNumType w:fmt="decimal"/>
          <w:formProt w:val="false"/>
          <w:textDirection w:val="lrTb"/>
          <w:docGrid w:type="default" w:linePitch="100" w:charSpace="4096"/>
        </w:sectPr>
        <w:pStyle w:val="Normal"/>
        <w:spacing w:lineRule="auto" w:line="240" w:before="108" w:after="0"/>
        <w:ind w:left="216" w:right="0" w:hanging="0"/>
        <w:jc w:val="left"/>
        <w:rPr>
          <w:rFonts w:ascii="Arial" w:hAnsi="Arial"/>
          <w:b/>
          <w:b/>
          <w:strike w:val="false"/>
          <w:dstrike w:val="false"/>
          <w:color w:val="000000"/>
          <w:spacing w:val="2"/>
          <w:w w:val="100"/>
          <w:position w:val="0"/>
          <w:sz w:val="22"/>
          <w:sz w:val="20"/>
          <w:vertAlign w:val="baseline"/>
          <w:lang w:val="en-US"/>
        </w:rPr>
      </w:pPr>
      <w:r>
        <mc:AlternateContent>
          <mc:Choice Requires="wps">
            <w:drawing>
              <wp:anchor behindDoc="0" distT="0" distB="0" distL="114300" distR="114300" simplePos="0" locked="0" layoutInCell="1" allowOverlap="1" relativeHeight="26">
                <wp:simplePos x="0" y="0"/>
                <wp:positionH relativeFrom="column">
                  <wp:posOffset>157480</wp:posOffset>
                </wp:positionH>
                <wp:positionV relativeFrom="paragraph">
                  <wp:posOffset>7620</wp:posOffset>
                </wp:positionV>
                <wp:extent cx="3533775" cy="1270"/>
                <wp:effectExtent l="0" t="0" r="0" b="0"/>
                <wp:wrapNone/>
                <wp:docPr id="24" name=""/>
                <a:graphic xmlns:a="http://schemas.openxmlformats.org/drawingml/2006/main">
                  <a:graphicData uri="http://schemas.microsoft.com/office/word/2010/wordprocessingShape">
                    <wps:wsp>
                      <wps:cNvSpPr/>
                      <wps:spPr>
                        <a:xfrm>
                          <a:off x="0" y="0"/>
                          <a:ext cx="5034960" cy="0"/>
                        </a:xfrm>
                        <a:prstGeom prst="line">
                          <a:avLst/>
                        </a:prstGeom>
                        <a:ln w="14040">
                          <a:solidFill>
                            <a:srgbClr val="000000"/>
                          </a:solidFill>
                          <a:prstDash val="dash"/>
                          <a:round/>
                        </a:ln>
                      </wps:spPr>
                      <wps:style>
                        <a:lnRef idx="0"/>
                        <a:fillRef idx="0"/>
                        <a:effectRef idx="0"/>
                        <a:fontRef idx="minor"/>
                      </wps:style>
                      <wps:bodyPr/>
                    </wps:wsp>
                  </a:graphicData>
                </a:graphic>
              </wp:anchor>
            </w:drawing>
          </mc:Choice>
          <mc:Fallback>
            <w:pict>
              <v:line id="shape_0" from="12.4pt,0.6pt" to="408.8pt,0.6pt" stroked="t" style="position:absolute">
                <v:stroke color="black" weight="14040" dashstyle="dash" joinstyle="round" endcap="flat"/>
                <v:fill o:detectmouseclick="t" on="false"/>
              </v:line>
            </w:pict>
          </mc:Fallback>
        </mc:AlternateContent>
      </w:r>
      <w:r>
        <w:rPr>
          <w:rFonts w:ascii="Arial" w:hAnsi="Arial"/>
          <w:b/>
          <w:strike w:val="false"/>
          <w:dstrike w:val="false"/>
          <w:color w:val="000000"/>
          <w:spacing w:val="2"/>
          <w:w w:val="100"/>
          <w:position w:val="0"/>
          <w:sz w:val="20"/>
          <w:sz w:val="20"/>
          <w:vertAlign w:val="baseline"/>
          <w:lang w:val="en-US"/>
        </w:rPr>
        <w:t>S</w:t>
      </w:r>
      <w:r>
        <w:rPr>
          <w:rFonts w:ascii="Arial" w:hAnsi="Arial"/>
          <w:b/>
          <w:strike w:val="false"/>
          <w:dstrike w:val="false"/>
          <w:color w:val="000000"/>
          <w:spacing w:val="2"/>
          <w:w w:val="100"/>
          <w:position w:val="0"/>
          <w:sz w:val="20"/>
          <w:sz w:val="20"/>
          <w:vertAlign w:val="baseline"/>
          <w:lang w:val="en-US"/>
        </w:rPr>
        <w:t>ource: Author's calculations described in more detail in the appendix.</w:t>
      </w:r>
    </w:p>
    <w:p>
      <w:pPr>
        <w:pStyle w:val="Normal"/>
        <w:spacing w:lineRule="auto" w:line="211" w:before="0" w:after="0"/>
        <w:ind w:left="468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w:t>
      </w:r>
    </w:p>
    <w:p>
      <w:pPr>
        <w:pStyle w:val="Normal"/>
        <w:spacing w:lineRule="auto" w:line="240" w:before="144" w:after="0"/>
        <w:ind w:left="504" w:right="0" w:hanging="0"/>
        <w:jc w:val="left"/>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TABLE 3: Profit and Corporate Capital Income as a Share of National Income, 1959-96</w:t>
      </w:r>
    </w:p>
    <w:tbl>
      <w:tblPr>
        <w:tblW w:w="9349" w:type="dxa"/>
        <w:jc w:val="left"/>
        <w:tblInd w:w="72" w:type="dxa"/>
        <w:tblCellMar>
          <w:top w:w="0" w:type="dxa"/>
          <w:left w:w="0" w:type="dxa"/>
          <w:bottom w:w="0" w:type="dxa"/>
          <w:right w:w="0" w:type="dxa"/>
        </w:tblCellMar>
      </w:tblPr>
      <w:tblGrid>
        <w:gridCol w:w="1397"/>
        <w:gridCol w:w="1148"/>
        <w:gridCol w:w="2395"/>
        <w:gridCol w:w="2293"/>
        <w:gridCol w:w="2116"/>
      </w:tblGrid>
      <w:tr>
        <w:trPr>
          <w:trHeight w:val="745" w:hRule="exact"/>
        </w:trPr>
        <w:tc>
          <w:tcPr>
            <w:tcW w:w="1397" w:type="dxa"/>
            <w:tcBorders>
              <w:bottom w:val="single" w:sz="6" w:space="0" w:color="000000"/>
            </w:tcBorders>
            <w:vAlign w:val="bottom"/>
          </w:tcPr>
          <w:p>
            <w:pPr>
              <w:pStyle w:val="Normal"/>
              <w:spacing w:lineRule="auto" w:line="240" w:before="324"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Year</w:t>
            </w:r>
          </w:p>
        </w:tc>
        <w:tc>
          <w:tcPr>
            <w:tcW w:w="1148" w:type="dxa"/>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Profit </w:t>
              <w:br/>
              <w:t>Share</w:t>
            </w:r>
          </w:p>
        </w:tc>
        <w:tc>
          <w:tcPr>
            <w:tcW w:w="2395" w:type="dxa"/>
            <w:tcBorders/>
            <w:vAlign w:val="center"/>
          </w:tcPr>
          <w:p>
            <w:pPr>
              <w:pStyle w:val="Normal"/>
              <w:spacing w:lineRule="auto" w:line="240" w:before="0" w:after="0"/>
              <w:ind w:left="720" w:right="324" w:hanging="324"/>
              <w:jc w:val="left"/>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 xml:space="preserve">Corporate Capital </w:t>
            </w:r>
            <w:r>
              <w:rPr>
                <w:rFonts w:ascii="Arial" w:hAnsi="Arial"/>
                <w:b/>
                <w:strike w:val="false"/>
                <w:dstrike w:val="false"/>
                <w:color w:val="000000"/>
                <w:spacing w:val="-2"/>
                <w:w w:val="100"/>
                <w:position w:val="0"/>
                <w:sz w:val="20"/>
                <w:sz w:val="20"/>
                <w:vertAlign w:val="baseline"/>
                <w:lang w:val="en-US"/>
              </w:rPr>
              <w:t>Income Share</w:t>
            </w:r>
          </w:p>
        </w:tc>
        <w:tc>
          <w:tcPr>
            <w:tcW w:w="2293" w:type="dxa"/>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(Corporate Capital </w:t>
              <w:br/>
              <w:t>Income)/Assets</w:t>
            </w:r>
          </w:p>
        </w:tc>
        <w:tc>
          <w:tcPr>
            <w:tcW w:w="2116" w:type="dxa"/>
            <w:tcBorders/>
            <w:vAlign w:val="center"/>
          </w:tcPr>
          <w:p>
            <w:pPr>
              <w:pStyle w:val="Normal"/>
              <w:spacing w:lineRule="auto" w:line="240" w:before="0" w:after="0"/>
              <w:ind w:left="288" w:right="108" w:hanging="0"/>
              <w:jc w:val="left"/>
              <w:rPr>
                <w:rFonts w:ascii="Arial" w:hAnsi="Arial"/>
                <w:b/>
                <w:b/>
                <w:strike w:val="false"/>
                <w:dstrike w:val="false"/>
                <w:color w:val="000000"/>
                <w:spacing w:val="-5"/>
                <w:w w:val="100"/>
                <w:position w:val="0"/>
                <w:sz w:val="22"/>
                <w:sz w:val="20"/>
                <w:vertAlign w:val="baseline"/>
                <w:lang w:val="en-US"/>
              </w:rPr>
            </w:pPr>
            <w:r>
              <w:rPr>
                <w:rFonts w:ascii="Arial" w:hAnsi="Arial"/>
                <w:b/>
                <w:strike w:val="false"/>
                <w:dstrike w:val="false"/>
                <w:color w:val="000000"/>
                <w:spacing w:val="-5"/>
                <w:w w:val="100"/>
                <w:position w:val="0"/>
                <w:sz w:val="20"/>
                <w:sz w:val="20"/>
                <w:vertAlign w:val="baseline"/>
                <w:lang w:val="en-US"/>
              </w:rPr>
              <w:t xml:space="preserve">Corporate Assets/ </w:t>
            </w:r>
            <w:r>
              <w:rPr>
                <w:rFonts w:ascii="Arial" w:hAnsi="Arial"/>
                <w:b/>
                <w:strike w:val="false"/>
                <w:dstrike w:val="false"/>
                <w:color w:val="000000"/>
                <w:spacing w:val="0"/>
                <w:w w:val="100"/>
                <w:position w:val="0"/>
                <w:sz w:val="20"/>
                <w:sz w:val="20"/>
                <w:vertAlign w:val="baseline"/>
                <w:lang w:val="en-US"/>
              </w:rPr>
              <w:t>National Income</w:t>
            </w:r>
          </w:p>
        </w:tc>
      </w:tr>
      <w:tr>
        <w:trPr>
          <w:trHeight w:val="360" w:hRule="exact"/>
        </w:trPr>
        <w:tc>
          <w:tcPr>
            <w:tcW w:w="1397" w:type="dxa"/>
            <w:tcBorders>
              <w:top w:val="single" w:sz="6" w:space="0" w:color="000000"/>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1959</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12.6</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12.6</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1.793</w:t>
            </w:r>
          </w:p>
        </w:tc>
      </w:tr>
      <w:tr>
        <w:trPr>
          <w:trHeight w:val="249"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1.788</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1961</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11.6</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1.770</w:t>
            </w:r>
          </w:p>
        </w:tc>
      </w:tr>
      <w:tr>
        <w:trPr>
          <w:trHeight w:val="24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1962</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12.4</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12.6</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7.5</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1.686</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1963</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12.9</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13.0</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1.656</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1964</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13.3</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13.5</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8.4</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1.598</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1965</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14.0</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9.3</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1.542</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13.6</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9.3</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1.508</w:t>
            </w:r>
          </w:p>
        </w:tc>
      </w:tr>
      <w:tr>
        <w:trPr>
          <w:trHeight w:val="24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1967</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13.3</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8.6</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1.544</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1968</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12.3</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13.1</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8.6</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1.526</w:t>
            </w:r>
          </w:p>
        </w:tc>
      </w:tr>
      <w:tr>
        <w:trPr>
          <w:trHeight w:val="24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1969</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10.9</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1.536</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8.9</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1.613</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1971</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9.8</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11.0</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1.621</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1972</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10.3</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11.4</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1.594</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1973</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1.560</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1974</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10.1</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1.683</w:t>
            </w:r>
          </w:p>
        </w:tc>
      </w:tr>
      <w:tr>
        <w:trPr>
          <w:trHeight w:val="24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1975</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9.4</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11.0</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1.843</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1976</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1.853</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1977</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10.9</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1.833</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1978</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10.8</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12.3</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1.790</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1979</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9.8</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11.6</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1.831</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10.4</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5.3</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1981</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7.7</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10.5</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5.3</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1.999</w:t>
            </w:r>
          </w:p>
        </w:tc>
      </w:tr>
      <w:tr>
        <w:trPr>
          <w:trHeight w:val="24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1982</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9.4</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2.107</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1983</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10.6</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5.2</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2.051</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1984</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8.6</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11.5</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1.858</w:t>
            </w:r>
          </w:p>
        </w:tc>
      </w:tr>
      <w:tr>
        <w:trPr>
          <w:trHeight w:val="249"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1985</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1.798</w:t>
            </w:r>
          </w:p>
        </w:tc>
      </w:tr>
      <w:tr>
        <w:trPr>
          <w:trHeight w:val="24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1986</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7.8</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10.8</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1.765</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1987</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8.3</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11.4</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1.690</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1988</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8.8</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1.637</w:t>
            </w:r>
          </w:p>
        </w:tc>
      </w:tr>
      <w:tr>
        <w:trPr>
          <w:trHeight w:val="24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1989</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1.643</w:t>
            </w:r>
          </w:p>
        </w:tc>
      </w:tr>
      <w:tr>
        <w:trPr>
          <w:trHeight w:val="249"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1.643</w:t>
            </w:r>
          </w:p>
        </w:tc>
      </w:tr>
      <w:tr>
        <w:trPr>
          <w:trHeight w:val="24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1991</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11.1</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1.626</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1992</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10.5</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1.502</w:t>
            </w:r>
          </w:p>
        </w:tc>
      </w:tr>
      <w:tr>
        <w:trPr>
          <w:trHeight w:val="242"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1993</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9.1</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1.407</w:t>
            </w:r>
          </w:p>
        </w:tc>
      </w:tr>
      <w:tr>
        <w:trPr>
          <w:trHeight w:val="244"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1994</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9.7</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1.383</w:t>
            </w:r>
          </w:p>
        </w:tc>
      </w:tr>
      <w:tr>
        <w:trPr>
          <w:trHeight w:val="249"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1995</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10.0</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8.8</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1.368</w:t>
            </w:r>
          </w:p>
        </w:tc>
      </w:tr>
      <w:tr>
        <w:trPr>
          <w:trHeight w:val="248"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1996</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10.5</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9.3</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1.346</w:t>
            </w:r>
          </w:p>
        </w:tc>
      </w:tr>
      <w:tr>
        <w:trPr>
          <w:trHeight w:val="209" w:hRule="exact"/>
        </w:trPr>
        <w:tc>
          <w:tcPr>
            <w:tcW w:w="1397" w:type="dxa"/>
            <w:tcBorders>
              <w:bottom w:val="single" w:sz="6" w:space="0" w:color="000000"/>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Averages:</w:t>
            </w:r>
          </w:p>
        </w:tc>
        <w:tc>
          <w:tcPr>
            <w:tcW w:w="1148"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2395"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2293"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2116"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r>
      <w:tr>
        <w:trPr>
          <w:trHeight w:val="284" w:hRule="exact"/>
        </w:trPr>
        <w:tc>
          <w:tcPr>
            <w:tcW w:w="1397" w:type="dxa"/>
            <w:tcBorders>
              <w:top w:val="single" w:sz="6" w:space="0" w:color="000000"/>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1959-96</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10.0</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1.683</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1960-69</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12.9</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1.615</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1970-79</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9.9</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11.2</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1.722</w:t>
            </w:r>
          </w:p>
        </w:tc>
      </w:tr>
      <w:tr>
        <w:trPr>
          <w:trHeight w:val="245"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1980-89</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10.9</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1.851</w:t>
            </w:r>
          </w:p>
        </w:tc>
      </w:tr>
      <w:tr>
        <w:trPr>
          <w:trHeight w:val="261" w:hRule="exact"/>
        </w:trPr>
        <w:tc>
          <w:tcPr>
            <w:tcW w:w="1397" w:type="dxa"/>
            <w:tcBorders/>
            <w:vAlign w:val="center"/>
          </w:tcPr>
          <w:p>
            <w:pPr>
              <w:pStyle w:val="Normal"/>
              <w:spacing w:lineRule="auto" w:line="240" w:before="0" w:after="0"/>
              <w:ind w:left="267"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1990-96</w:t>
            </w:r>
          </w:p>
        </w:tc>
        <w:tc>
          <w:tcPr>
            <w:tcW w:w="1148" w:type="dxa"/>
            <w:tcBorders/>
            <w:vAlign w:val="center"/>
          </w:tcPr>
          <w:p>
            <w:pPr>
              <w:pStyle w:val="Normal"/>
              <w:tabs>
                <w:tab w:val="clear" w:pos="720"/>
                <w:tab w:val="decimal" w:pos="57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9.1</w:t>
            </w:r>
          </w:p>
        </w:tc>
        <w:tc>
          <w:tcPr>
            <w:tcW w:w="2395" w:type="dxa"/>
            <w:tcBorders/>
            <w:vAlign w:val="center"/>
          </w:tcPr>
          <w:p>
            <w:pPr>
              <w:pStyle w:val="Normal"/>
              <w:tabs>
                <w:tab w:val="clear" w:pos="720"/>
                <w:tab w:val="decimal" w:pos="121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11.5</w:t>
            </w:r>
          </w:p>
        </w:tc>
        <w:tc>
          <w:tcPr>
            <w:tcW w:w="2293" w:type="dxa"/>
            <w:tcBorders/>
            <w:vAlign w:val="center"/>
          </w:tcPr>
          <w:p>
            <w:pPr>
              <w:pStyle w:val="Normal"/>
              <w:tabs>
                <w:tab w:val="clear" w:pos="720"/>
                <w:tab w:val="decimal" w:pos="107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w:t>
            </w:r>
          </w:p>
        </w:tc>
        <w:tc>
          <w:tcPr>
            <w:tcW w:w="2116" w:type="dxa"/>
            <w:tcBorders/>
            <w:vAlign w:val="center"/>
          </w:tcPr>
          <w:p>
            <w:pPr>
              <w:pStyle w:val="Normal"/>
              <w:tabs>
                <w:tab w:val="clear" w:pos="720"/>
                <w:tab w:val="decimal" w:pos="110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1.468</w:t>
            </w:r>
          </w:p>
        </w:tc>
      </w:tr>
    </w:tbl>
    <w:p>
      <w:pPr>
        <w:pStyle w:val="Normal"/>
        <w:spacing w:lineRule="exact" w:line="20" w:before="0" w:after="88"/>
        <w:rPr/>
      </w:pPr>
      <w:r>
        <w:rPr/>
      </w:r>
    </w:p>
    <w:p>
      <w:pPr>
        <w:sectPr>
          <w:type w:val="nextPage"/>
          <w:pgSz w:w="12240" w:h="15840"/>
          <w:pgMar w:left="1394" w:right="1336" w:header="0" w:top="1440" w:footer="0" w:bottom="1250" w:gutter="0"/>
          <w:pgNumType w:fmt="decimal"/>
          <w:formProt w:val="false"/>
          <w:textDirection w:val="lrTb"/>
          <w:docGrid w:type="default" w:linePitch="100" w:charSpace="4096"/>
        </w:sectPr>
        <w:pStyle w:val="Normal"/>
        <w:spacing w:lineRule="auto" w:line="240" w:before="108" w:after="0"/>
        <w:ind w:left="360" w:right="72" w:hanging="0"/>
        <w:jc w:val="both"/>
        <w:rPr>
          <w:rFonts w:ascii="Arial" w:hAnsi="Arial"/>
          <w:b/>
          <w:b/>
          <w:strike w:val="false"/>
          <w:dstrike w:val="false"/>
          <w:color w:val="000000"/>
          <w:spacing w:val="3"/>
          <w:w w:val="100"/>
          <w:position w:val="0"/>
          <w:sz w:val="22"/>
          <w:sz w:val="20"/>
          <w:vertAlign w:val="baseline"/>
          <w:lang w:val="en-US"/>
        </w:rPr>
      </w:pPr>
      <w:r>
        <mc:AlternateContent>
          <mc:Choice Requires="wps">
            <w:drawing>
              <wp:anchor behindDoc="0" distT="0" distB="0" distL="114300" distR="114300" simplePos="0" locked="0" layoutInCell="1" allowOverlap="1" relativeHeight="27">
                <wp:simplePos x="0" y="0"/>
                <wp:positionH relativeFrom="column">
                  <wp:posOffset>720725</wp:posOffset>
                </wp:positionH>
                <wp:positionV relativeFrom="paragraph">
                  <wp:posOffset>7620</wp:posOffset>
                </wp:positionV>
                <wp:extent cx="3647440" cy="1270"/>
                <wp:effectExtent l="0" t="0" r="0" b="0"/>
                <wp:wrapNone/>
                <wp:docPr id="25" name=""/>
                <a:graphic xmlns:a="http://schemas.openxmlformats.org/drawingml/2006/main">
                  <a:graphicData uri="http://schemas.microsoft.com/office/word/2010/wordprocessingShape">
                    <wps:wsp>
                      <wps:cNvSpPr/>
                      <wps:spPr>
                        <a:xfrm>
                          <a:off x="0" y="0"/>
                          <a:ext cx="5196960" cy="0"/>
                        </a:xfrm>
                        <a:prstGeom prst="line">
                          <a:avLst/>
                        </a:prstGeom>
                        <a:ln w="14040">
                          <a:solidFill>
                            <a:srgbClr val="000000"/>
                          </a:solidFill>
                          <a:prstDash val="dash"/>
                          <a:round/>
                        </a:ln>
                      </wps:spPr>
                      <wps:style>
                        <a:lnRef idx="0"/>
                        <a:fillRef idx="0"/>
                        <a:effectRef idx="0"/>
                        <a:fontRef idx="minor"/>
                      </wps:style>
                      <wps:bodyPr/>
                    </wps:wsp>
                  </a:graphicData>
                </a:graphic>
              </wp:anchor>
            </w:drawing>
          </mc:Choice>
          <mc:Fallback>
            <w:pict>
              <v:line id="shape_0" from="56.75pt,0.6pt" to="465.9pt,0.6pt" stroked="t" style="position:absolute">
                <v:stroke color="black" weight="14040" dashstyle="dash" joinstyle="round" endcap="flat"/>
                <v:fill o:detectmouseclick="t" on="false"/>
              </v:line>
            </w:pict>
          </mc:Fallback>
        </mc:AlternateContent>
      </w:r>
      <w:r>
        <w:rPr>
          <w:rFonts w:ascii="Arial" w:hAnsi="Arial"/>
          <w:b/>
          <w:strike w:val="false"/>
          <w:dstrike w:val="false"/>
          <w:color w:val="000000"/>
          <w:spacing w:val="3"/>
          <w:w w:val="100"/>
          <w:position w:val="0"/>
          <w:sz w:val="20"/>
          <w:sz w:val="20"/>
          <w:vertAlign w:val="baseline"/>
          <w:lang w:val="en-US"/>
        </w:rPr>
        <w:t>S</w:t>
      </w:r>
      <w:r>
        <w:rPr>
          <w:rFonts w:ascii="Arial" w:hAnsi="Arial"/>
          <w:b/>
          <w:strike w:val="false"/>
          <w:dstrike w:val="false"/>
          <w:color w:val="000000"/>
          <w:spacing w:val="3"/>
          <w:w w:val="100"/>
          <w:position w:val="0"/>
          <w:sz w:val="20"/>
          <w:sz w:val="20"/>
          <w:vertAlign w:val="baseline"/>
          <w:lang w:val="en-US"/>
        </w:rPr>
        <w:t xml:space="preserve">ource: Author's calculations based on data from Table 1.16 of the NIPA, and Table Z.1 of </w:t>
      </w:r>
      <w:r>
        <w:rPr>
          <w:rFonts w:ascii="Arial" w:hAnsi="Arial"/>
          <w:b/>
          <w:strike w:val="false"/>
          <w:dstrike w:val="false"/>
          <w:color w:val="000000"/>
          <w:spacing w:val="-3"/>
          <w:w w:val="100"/>
          <w:position w:val="0"/>
          <w:sz w:val="20"/>
          <w:sz w:val="20"/>
          <w:vertAlign w:val="baseline"/>
          <w:lang w:val="en-US"/>
        </w:rPr>
        <w:t xml:space="preserve">the Federal Reserve Board </w:t>
      </w:r>
      <w:r>
        <w:rPr>
          <w:rFonts w:ascii="Arial" w:hAnsi="Arial"/>
          <w:b/>
          <w:strike w:val="false"/>
          <w:dstrike w:val="false"/>
          <w:color w:val="000000"/>
          <w:spacing w:val="-3"/>
          <w:w w:val="100"/>
          <w:position w:val="0"/>
          <w:sz w:val="20"/>
          <w:sz w:val="20"/>
          <w:u w:val="single"/>
          <w:vertAlign w:val="baseline"/>
          <w:lang w:val="en-US"/>
        </w:rPr>
        <w:t>Balance Sheets of the U.S. Economy,</w:t>
      </w:r>
      <w:r>
        <w:rPr>
          <w:rFonts w:ascii="Arial" w:hAnsi="Arial"/>
          <w:b/>
          <w:strike w:val="false"/>
          <w:dstrike w:val="false"/>
          <w:color w:val="000000"/>
          <w:spacing w:val="-3"/>
          <w:w w:val="100"/>
          <w:position w:val="0"/>
          <w:sz w:val="20"/>
          <w:sz w:val="20"/>
          <w:vertAlign w:val="baseline"/>
          <w:lang w:val="en-US"/>
        </w:rPr>
        <w:t xml:space="preserve"> updated to incorporate newly </w:t>
      </w:r>
      <w:r>
        <w:rPr>
          <w:rFonts w:ascii="Arial" w:hAnsi="Arial"/>
          <w:b/>
          <w:strike w:val="false"/>
          <w:dstrike w:val="false"/>
          <w:color w:val="000000"/>
          <w:spacing w:val="-1"/>
          <w:w w:val="100"/>
          <w:position w:val="0"/>
          <w:sz w:val="20"/>
          <w:sz w:val="20"/>
          <w:vertAlign w:val="baseline"/>
          <w:lang w:val="en-US"/>
        </w:rPr>
        <w:t xml:space="preserve">revised estimates of the replacement cost of the residential and nonresidental capital stock. </w:t>
      </w:r>
      <w:r>
        <w:rPr>
          <w:rFonts w:ascii="Arial" w:hAnsi="Arial"/>
          <w:b/>
          <w:strike w:val="false"/>
          <w:dstrike w:val="false"/>
          <w:color w:val="000000"/>
          <w:spacing w:val="4"/>
          <w:w w:val="100"/>
          <w:position w:val="0"/>
          <w:sz w:val="20"/>
          <w:sz w:val="20"/>
          <w:vertAlign w:val="baseline"/>
          <w:lang w:val="en-US"/>
        </w:rPr>
        <w:t>Tangible assets entry for 1995 year end is extrapolated based on 1994 value.</w:t>
      </w:r>
    </w:p>
    <w:p>
      <w:pPr>
        <w:pStyle w:val="Normal"/>
        <w:spacing w:lineRule="exact" w:line="326" w:before="0" w:after="72"/>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w:t>
      </w:r>
      <w:r>
        <w:rPr>
          <w:rFonts w:ascii="Arial" w:hAnsi="Arial"/>
          <w:b/>
          <w:strike w:val="false"/>
          <w:dstrike w:val="false"/>
          <w:color w:val="000000"/>
          <w:spacing w:val="0"/>
          <w:w w:val="100"/>
          <w:position w:val="0"/>
          <w:sz w:val="20"/>
          <w:sz w:val="20"/>
          <w:vertAlign w:val="baseline"/>
          <w:lang w:val="en-US"/>
        </w:rPr>
        <w:t xml:space="preserve">5 </w:t>
        <w:br/>
      </w:r>
      <w:r>
        <w:rPr>
          <w:rFonts w:ascii="Arial" w:hAnsi="Arial"/>
          <w:b/>
          <w:strike w:val="false"/>
          <w:dstrike w:val="false"/>
          <w:color w:val="000000"/>
          <w:spacing w:val="7"/>
          <w:w w:val="100"/>
          <w:position w:val="0"/>
          <w:sz w:val="20"/>
          <w:sz w:val="20"/>
          <w:vertAlign w:val="baseline"/>
          <w:lang w:val="en-US"/>
        </w:rPr>
        <w:t>Table 4: Labor Income Shares of National Income, 1959-1996</w:t>
      </w:r>
      <w:r>
        <mc:AlternateContent>
          <mc:Choice Requires="wps">
            <w:drawing>
              <wp:anchor behindDoc="1" distT="0" distB="0" distL="0" distR="0" simplePos="0" locked="0" layoutInCell="1" allowOverlap="1" relativeHeight="19">
                <wp:simplePos x="0" y="0"/>
                <wp:positionH relativeFrom="column">
                  <wp:posOffset>635</wp:posOffset>
                </wp:positionH>
                <wp:positionV relativeFrom="paragraph">
                  <wp:posOffset>8216900</wp:posOffset>
                </wp:positionV>
                <wp:extent cx="5981700" cy="290195"/>
                <wp:effectExtent l="0" t="0" r="0" b="0"/>
                <wp:wrapSquare wrapText="bothSides"/>
                <wp:docPr id="26" name="Frame3"/>
                <a:graphic xmlns:a="http://schemas.openxmlformats.org/drawingml/2006/main">
                  <a:graphicData uri="http://schemas.microsoft.com/office/word/2010/wordprocessingShape">
                    <wps:wsp>
                      <wps:cNvSpPr txBox="1"/>
                      <wps:spPr>
                        <a:xfrm>
                          <a:off x="0" y="0"/>
                          <a:ext cx="5981700" cy="290195"/>
                        </a:xfrm>
                        <a:prstGeom prst="rect"/>
                      </wps:spPr>
                      <wps:txbx>
                        <w:txbxContent>
                          <w:p>
                            <w:pPr>
                              <w:pStyle w:val="FrameContents"/>
                              <w:spacing w:lineRule="exact" w:line="228" w:before="0" w:after="0"/>
                              <w:ind w:left="216" w:right="216" w:hanging="0"/>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Source: Author's calculations based on data from Table 1.16 of the National Income and </w:t>
                            </w:r>
                            <w:r>
                              <w:rPr>
                                <w:rFonts w:ascii="Arial" w:hAnsi="Arial"/>
                                <w:b/>
                                <w:strike w:val="false"/>
                                <w:dstrike w:val="false"/>
                                <w:color w:val="000000"/>
                                <w:spacing w:val="0"/>
                                <w:w w:val="100"/>
                                <w:position w:val="0"/>
                                <w:sz w:val="20"/>
                                <w:sz w:val="20"/>
                                <w:vertAlign w:val="baseline"/>
                                <w:lang w:val="en-US"/>
                              </w:rPr>
                              <w:t>Product Accounts.</w:t>
                            </w:r>
                          </w:p>
                        </w:txbxContent>
                      </wps:txbx>
                      <wps:bodyPr anchor="t" lIns="0" tIns="0" rIns="0" bIns="0">
                        <a:noAutofit/>
                      </wps:bodyPr>
                    </wps:wsp>
                  </a:graphicData>
                </a:graphic>
              </wp:anchor>
            </w:drawing>
          </mc:Choice>
          <mc:Fallback>
            <w:pict>
              <v:rect stroked="f" strokeweight="0pt" style="position:absolute;rotation:0;width:471pt;height:22.85pt;mso-wrap-distance-left:0pt;mso-wrap-distance-right:0pt;mso-wrap-distance-top:0pt;mso-wrap-distance-bottom:0pt;margin-top:647pt;mso-position-vertical-relative:text;margin-left:0.05pt;mso-position-horizontal-relative:text">
                <v:textbox inset="0in,0in,0in,0in">
                  <w:txbxContent>
                    <w:p>
                      <w:pPr>
                        <w:pStyle w:val="FrameContents"/>
                        <w:spacing w:lineRule="exact" w:line="228" w:before="0" w:after="0"/>
                        <w:ind w:left="216" w:right="216" w:hanging="0"/>
                        <w:jc w:val="lef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Source: Author's calculations based on data from Table 1.16 of the National Income and </w:t>
                      </w:r>
                      <w:r>
                        <w:rPr>
                          <w:rFonts w:ascii="Arial" w:hAnsi="Arial"/>
                          <w:b/>
                          <w:strike w:val="false"/>
                          <w:dstrike w:val="false"/>
                          <w:color w:val="000000"/>
                          <w:spacing w:val="0"/>
                          <w:w w:val="100"/>
                          <w:position w:val="0"/>
                          <w:sz w:val="20"/>
                          <w:sz w:val="20"/>
                          <w:vertAlign w:val="baseline"/>
                          <w:lang w:val="en-US"/>
                        </w:rPr>
                        <w:t>Product Accounts.</w:t>
                      </w:r>
                    </w:p>
                  </w:txbxContent>
                </v:textbox>
                <w10:wrap type="square"/>
              </v:rect>
            </w:pict>
          </mc:Fallback>
        </mc:AlternateContent>
      </w:r>
    </w:p>
    <w:p>
      <w:pPr>
        <w:pStyle w:val="Normal"/>
        <w:spacing w:lineRule="auto" w:before="0" w:after="0"/>
        <w:rPr/>
      </w:pPr>
      <w:r>
        <w:rPr/>
        <mc:AlternateContent>
          <mc:Choice Requires="wps">
            <w:drawing>
              <wp:anchor behindDoc="0" distT="0" distB="0" distL="114300" distR="114300" simplePos="0" locked="0" layoutInCell="1" allowOverlap="1" relativeHeight="28">
                <wp:simplePos x="0" y="0"/>
                <wp:positionH relativeFrom="column">
                  <wp:posOffset>394335</wp:posOffset>
                </wp:positionH>
                <wp:positionV relativeFrom="paragraph">
                  <wp:posOffset>7644130</wp:posOffset>
                </wp:positionV>
                <wp:extent cx="3820160" cy="1270"/>
                <wp:effectExtent l="0" t="0" r="0" b="0"/>
                <wp:wrapNone/>
                <wp:docPr id="27" name=""/>
                <a:graphic xmlns:a="http://schemas.openxmlformats.org/drawingml/2006/main">
                  <a:graphicData uri="http://schemas.microsoft.com/office/word/2010/wordprocessingShape">
                    <wps:wsp>
                      <wps:cNvSpPr/>
                      <wps:spPr>
                        <a:xfrm>
                          <a:off x="0" y="0"/>
                          <a:ext cx="5443200" cy="0"/>
                        </a:xfrm>
                        <a:prstGeom prst="line">
                          <a:avLst/>
                        </a:prstGeom>
                        <a:ln w="14040">
                          <a:solidFill>
                            <a:srgbClr val="000000"/>
                          </a:solidFill>
                          <a:prstDash val="dash"/>
                          <a:round/>
                        </a:ln>
                      </wps:spPr>
                      <wps:style>
                        <a:lnRef idx="0"/>
                        <a:fillRef idx="0"/>
                        <a:effectRef idx="0"/>
                        <a:fontRef idx="minor"/>
                      </wps:style>
                      <wps:bodyPr/>
                    </wps:wsp>
                  </a:graphicData>
                </a:graphic>
              </wp:anchor>
            </w:drawing>
          </mc:Choice>
          <mc:Fallback>
            <w:pict>
              <v:line id="shape_0" from="31.05pt,601.9pt" to="459.6pt,601.9pt" stroked="t" style="position:absolute">
                <v:stroke color="black" weight="14040" dashstyle="dash" joinstyle="round" endcap="flat"/>
                <v:fill o:detectmouseclick="t" on="false"/>
              </v:line>
            </w:pict>
          </mc:Fallback>
        </mc:AlternateContent>
      </w:r>
    </w:p>
    <w:tbl>
      <w:tblPr>
        <w:tblW w:w="9204" w:type="dxa"/>
        <w:jc w:val="left"/>
        <w:tblInd w:w="216" w:type="dxa"/>
        <w:tblCellMar>
          <w:top w:w="0" w:type="dxa"/>
          <w:left w:w="0" w:type="dxa"/>
          <w:bottom w:w="0" w:type="dxa"/>
          <w:right w:w="0" w:type="dxa"/>
        </w:tblCellMar>
      </w:tblPr>
      <w:tblGrid>
        <w:gridCol w:w="1121"/>
        <w:gridCol w:w="2772"/>
        <w:gridCol w:w="2213"/>
        <w:gridCol w:w="3097"/>
      </w:tblGrid>
      <w:tr>
        <w:trPr>
          <w:trHeight w:val="756" w:hRule="exact"/>
        </w:trPr>
        <w:tc>
          <w:tcPr>
            <w:tcW w:w="1121" w:type="dxa"/>
            <w:tcBorders>
              <w:bottom w:val="single" w:sz="6" w:space="0" w:color="000000"/>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2772" w:type="dxa"/>
            <w:tcBorders/>
            <w:vAlign w:val="bottom"/>
          </w:tcPr>
          <w:p>
            <w:pPr>
              <w:pStyle w:val="Normal"/>
              <w:spacing w:lineRule="auto" w:line="240" w:before="324"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Employee Compensation</w:t>
            </w:r>
          </w:p>
        </w:tc>
        <w:tc>
          <w:tcPr>
            <w:tcW w:w="2213" w:type="dxa"/>
            <w:tcBorders/>
            <w:vAlign w:val="bottom"/>
          </w:tcPr>
          <w:p>
            <w:pPr>
              <w:pStyle w:val="Normal"/>
              <w:spacing w:lineRule="auto" w:line="240" w:before="324" w:after="0"/>
              <w:ind w:left="0" w:right="0" w:hanging="0"/>
              <w:jc w:val="center"/>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Wages &amp; Salaries</w:t>
            </w:r>
          </w:p>
        </w:tc>
        <w:tc>
          <w:tcPr>
            <w:tcW w:w="3097" w:type="dxa"/>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Employee Compensation &amp; </w:t>
              <w:br/>
              <w:t>Proprietors' Income</w:t>
            </w:r>
          </w:p>
        </w:tc>
      </w:tr>
      <w:tr>
        <w:trPr>
          <w:trHeight w:val="360" w:hRule="exact"/>
        </w:trPr>
        <w:tc>
          <w:tcPr>
            <w:tcW w:w="1121" w:type="dxa"/>
            <w:tcBorders>
              <w:top w:val="single" w:sz="6" w:space="0" w:color="000000"/>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1959</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67.9</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62.8</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80.5</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69.0</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63.5</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81.1</w:t>
            </w:r>
          </w:p>
        </w:tc>
      </w:tr>
      <w:tr>
        <w:trPr>
          <w:trHeight w:val="249"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1961</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68.7</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63.1</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80.9</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1962</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68.4</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62.5</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80.1</w:t>
            </w:r>
          </w:p>
        </w:tc>
      </w:tr>
      <w:tr>
        <w:trPr>
          <w:trHeight w:val="244"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1963</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68.2</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62.2</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79.7</w:t>
            </w:r>
          </w:p>
        </w:tc>
      </w:tr>
      <w:tr>
        <w:trPr>
          <w:trHeight w:val="242"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1964</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68.2</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62.1</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79.3</w:t>
            </w:r>
          </w:p>
        </w:tc>
      </w:tr>
      <w:tr>
        <w:trPr>
          <w:trHeight w:val="244"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1965</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67.5</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61.4</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78.5</w:t>
            </w:r>
          </w:p>
        </w:tc>
      </w:tr>
      <w:tr>
        <w:trPr>
          <w:trHeight w:val="242"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68.3</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61.7</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79.0</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1967</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69.4</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79.7</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1968</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70.2</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63.1</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80.3</w:t>
            </w:r>
          </w:p>
        </w:tc>
      </w:tr>
      <w:tr>
        <w:trPr>
          <w:trHeight w:val="23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1969</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71.8</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64.4</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81.6</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73.5</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83.1</w:t>
            </w:r>
          </w:p>
        </w:tc>
      </w:tr>
      <w:tr>
        <w:trPr>
          <w:trHeight w:val="242"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1971</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72.7</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64.3</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82.2</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1972</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72.3</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63.5</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82.1</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1973</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71.8</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82.1</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1974 •</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73.5</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83.0</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1975</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72.8</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62.4</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82.2</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1976</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72.7</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81.9</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1977</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72.2</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60.7</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81.2</w:t>
            </w:r>
          </w:p>
        </w:tc>
      </w:tr>
      <w:tr>
        <w:trPr>
          <w:trHeight w:val="244"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1978</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71.9</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60.2</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81.0</w:t>
            </w:r>
          </w:p>
        </w:tc>
      </w:tr>
      <w:tr>
        <w:trPr>
          <w:trHeight w:val="242"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1979</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72.3</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60.4</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81.2</w:t>
            </w:r>
          </w:p>
        </w:tc>
      </w:tr>
      <w:tr>
        <w:trPr>
          <w:trHeight w:val="241"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73.7</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61.4</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81.6</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1981</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73.1</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60.7</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80.6</w:t>
            </w:r>
          </w:p>
        </w:tc>
      </w:tr>
      <w:tr>
        <w:trPr>
          <w:trHeight w:val="241"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1982</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74.1</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61.3</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81.0</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1983</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73.2</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60.3</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80.1</w:t>
            </w:r>
          </w:p>
        </w:tc>
      </w:tr>
      <w:tr>
        <w:trPr>
          <w:trHeight w:val="249"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1984</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71.3</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79.2</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1985</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71.7</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59.0</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79.6</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1986</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72.5</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80.3</w:t>
            </w:r>
          </w:p>
        </w:tc>
      </w:tr>
      <w:tr>
        <w:trPr>
          <w:trHeight w:val="252"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1987</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72.3</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80.3</w:t>
            </w:r>
          </w:p>
        </w:tc>
      </w:tr>
      <w:tr>
        <w:trPr>
          <w:trHeight w:val="249"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1988</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71.7</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59.2</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79.8</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1989</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71.7</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59.1</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79.8</w:t>
            </w:r>
          </w:p>
        </w:tc>
      </w:tr>
      <w:tr>
        <w:trPr>
          <w:trHeight w:val="244"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72.1</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59.3</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80.1</w:t>
            </w:r>
          </w:p>
        </w:tc>
      </w:tr>
      <w:tr>
        <w:trPr>
          <w:trHeight w:val="242"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1991</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72.6</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59.4</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80.5</w:t>
            </w:r>
          </w:p>
        </w:tc>
      </w:tr>
      <w:tr>
        <w:trPr>
          <w:trHeight w:val="241"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1992</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73.0</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59.5</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81.5</w:t>
            </w:r>
          </w:p>
        </w:tc>
      </w:tr>
      <w:tr>
        <w:trPr>
          <w:trHeight w:val="241"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1993</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72.7</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59.1</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81.0</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1994</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72.4</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58.8</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80.8</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1995</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72.4</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58.9</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80.8</w:t>
            </w:r>
          </w:p>
        </w:tc>
      </w:tr>
      <w:tr>
        <w:trPr>
          <w:trHeight w:val="367" w:hRule="exact"/>
        </w:trPr>
        <w:tc>
          <w:tcPr>
            <w:tcW w:w="1121" w:type="dxa"/>
            <w:tcBorders/>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1996</w:t>
            </w:r>
          </w:p>
        </w:tc>
        <w:tc>
          <w:tcPr>
            <w:tcW w:w="2772" w:type="dxa"/>
            <w:tcBorders/>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72.2</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58.9</w:t>
            </w:r>
          </w:p>
        </w:tc>
        <w:tc>
          <w:tcPr>
            <w:tcW w:w="3097" w:type="dxa"/>
            <w:tcBorders/>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80.6</w:t>
            </w:r>
          </w:p>
        </w:tc>
      </w:tr>
      <w:tr>
        <w:trPr>
          <w:trHeight w:val="335" w:hRule="exact"/>
        </w:trPr>
        <w:tc>
          <w:tcPr>
            <w:tcW w:w="1121" w:type="dxa"/>
            <w:tcBorders>
              <w:bottom w:val="single" w:sz="6" w:space="0" w:color="000000"/>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Averages:</w:t>
            </w:r>
          </w:p>
        </w:tc>
        <w:tc>
          <w:tcPr>
            <w:tcW w:w="2772"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2213"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3097"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r>
      <w:tr>
        <w:trPr>
          <w:trHeight w:val="284" w:hRule="exact"/>
        </w:trPr>
        <w:tc>
          <w:tcPr>
            <w:tcW w:w="1121" w:type="dxa"/>
            <w:tcBorders>
              <w:top w:val="single" w:sz="6" w:space="0" w:color="000000"/>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1959-96</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71.5</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61.2</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80.7</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1960-69</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69.0</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62.6</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80.0</w:t>
            </w:r>
          </w:p>
        </w:tc>
      </w:tr>
      <w:tr>
        <w:trPr>
          <w:trHeight w:val="245"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1970-79</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72.6</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62.5</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82.0</w:t>
            </w:r>
          </w:p>
        </w:tc>
      </w:tr>
      <w:tr>
        <w:trPr>
          <w:trHeight w:val="248"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1980-89</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72.5</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59.9</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80.2</w:t>
            </w:r>
          </w:p>
        </w:tc>
      </w:tr>
      <w:tr>
        <w:trPr>
          <w:trHeight w:val="267" w:hRule="exact"/>
        </w:trPr>
        <w:tc>
          <w:tcPr>
            <w:tcW w:w="1121" w:type="dxa"/>
            <w:tcBorders/>
            <w:vAlign w:val="center"/>
          </w:tcPr>
          <w:p>
            <w:pPr>
              <w:pStyle w:val="Normal"/>
              <w:spacing w:lineRule="auto" w:line="240" w:before="0" w:after="0"/>
              <w:ind w:left="19"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1990-96</w:t>
            </w:r>
          </w:p>
        </w:tc>
        <w:tc>
          <w:tcPr>
            <w:tcW w:w="2772" w:type="dxa"/>
            <w:tcBorders/>
            <w:vAlign w:val="center"/>
          </w:tcPr>
          <w:p>
            <w:pPr>
              <w:pStyle w:val="Normal"/>
              <w:tabs>
                <w:tab w:val="clear" w:pos="720"/>
                <w:tab w:val="decimal" w:pos="12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72.5</w:t>
            </w:r>
          </w:p>
        </w:tc>
        <w:tc>
          <w:tcPr>
            <w:tcW w:w="2213" w:type="dxa"/>
            <w:tcBorders/>
            <w:vAlign w:val="center"/>
          </w:tcPr>
          <w:p>
            <w:pPr>
              <w:pStyle w:val="Normal"/>
              <w:tabs>
                <w:tab w:val="clear" w:pos="720"/>
                <w:tab w:val="decimal" w:pos="107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59.1</w:t>
            </w:r>
          </w:p>
        </w:tc>
        <w:tc>
          <w:tcPr>
            <w:tcW w:w="3097" w:type="dxa"/>
            <w:tcBorders/>
            <w:vAlign w:val="center"/>
          </w:tcPr>
          <w:p>
            <w:pPr>
              <w:pStyle w:val="Normal"/>
              <w:tabs>
                <w:tab w:val="clear" w:pos="720"/>
                <w:tab w:val="decimal" w:pos="142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80.8</w:t>
            </w:r>
          </w:p>
        </w:tc>
      </w:tr>
    </w:tbl>
    <w:p>
      <w:pPr>
        <w:sectPr>
          <w:type w:val="nextPage"/>
          <w:pgSz w:w="12240" w:h="15840"/>
          <w:pgMar w:left="1395" w:right="1335" w:header="0" w:top="1496" w:footer="0" w:bottom="1134" w:gutter="0"/>
          <w:pgNumType w:fmt="decimal"/>
          <w:formProt w:val="false"/>
          <w:textDirection w:val="lrTb"/>
          <w:docGrid w:type="default" w:linePitch="100" w:charSpace="4096"/>
        </w:sectPr>
      </w:pPr>
    </w:p>
    <w:p>
      <w:pPr>
        <w:pStyle w:val="Normal"/>
        <w:spacing w:lineRule="exact" w:line="331" w:before="0" w:after="0"/>
        <w:ind w:left="0" w:right="0" w:hanging="0"/>
        <w:jc w:val="center"/>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 xml:space="preserve">36 </w:t>
        <w:br/>
      </w:r>
      <w:r>
        <w:rPr>
          <w:rFonts w:ascii="Tahoma" w:hAnsi="Tahoma"/>
          <w:b/>
          <w:strike w:val="false"/>
          <w:dstrike w:val="false"/>
          <w:color w:val="000000"/>
          <w:spacing w:val="4"/>
          <w:w w:val="100"/>
          <w:position w:val="0"/>
          <w:sz w:val="19"/>
          <w:sz w:val="19"/>
          <w:vertAlign w:val="baseline"/>
          <w:lang w:val="en-US"/>
        </w:rPr>
        <w:t>Table 5: Standard Deviation of Year-to-Year Changes in National Income Shares, 1959-96</w:t>
      </w:r>
    </w:p>
    <w:p>
      <w:pPr>
        <w:pStyle w:val="Normal"/>
        <w:spacing w:lineRule="auto" w:before="0" w:after="0"/>
        <w:rPr/>
      </w:pPr>
      <w:r>
        <w:rPr/>
        <mc:AlternateContent>
          <mc:Choice Requires="wps">
            <w:drawing>
              <wp:anchor behindDoc="0" distT="0" distB="0" distL="114300" distR="114300" simplePos="0" locked="0" layoutInCell="1" allowOverlap="1" relativeHeight="29">
                <wp:simplePos x="0" y="0"/>
                <wp:positionH relativeFrom="column">
                  <wp:posOffset>151130</wp:posOffset>
                </wp:positionH>
                <wp:positionV relativeFrom="paragraph">
                  <wp:posOffset>5080</wp:posOffset>
                </wp:positionV>
                <wp:extent cx="1038860" cy="1270"/>
                <wp:effectExtent l="0" t="0" r="0" b="0"/>
                <wp:wrapNone/>
                <wp:docPr id="28" name=""/>
                <a:graphic xmlns:a="http://schemas.openxmlformats.org/drawingml/2006/main">
                  <a:graphicData uri="http://schemas.microsoft.com/office/word/2010/wordprocessingShape">
                    <wps:wsp>
                      <wps:cNvSpPr/>
                      <wps:spPr>
                        <a:xfrm>
                          <a:off x="0" y="0"/>
                          <a:ext cx="147960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1.9pt,0.4pt" to="128.35pt,0.4pt" stroked="t" style="position:absolute">
                <v:stroke color="black" weight="9000" joinstyle="round" endcap="flat"/>
                <v:fill o:detectmouseclick="t" on="false"/>
              </v:line>
            </w:pict>
          </mc:Fallback>
        </mc:AlternateContent>
      </w:r>
    </w:p>
    <w:tbl>
      <w:tblPr>
        <w:tblW w:w="9204" w:type="dxa"/>
        <w:jc w:val="left"/>
        <w:tblInd w:w="216" w:type="dxa"/>
        <w:tblCellMar>
          <w:top w:w="0" w:type="dxa"/>
          <w:left w:w="0" w:type="dxa"/>
          <w:bottom w:w="0" w:type="dxa"/>
          <w:right w:w="0" w:type="dxa"/>
        </w:tblCellMar>
      </w:tblPr>
      <w:tblGrid>
        <w:gridCol w:w="3412"/>
        <w:gridCol w:w="1901"/>
        <w:gridCol w:w="3891"/>
      </w:tblGrid>
      <w:tr>
        <w:trPr>
          <w:trHeight w:val="743" w:hRule="exact"/>
        </w:trPr>
        <w:tc>
          <w:tcPr>
            <w:tcW w:w="3412" w:type="dxa"/>
            <w:tcBorders>
              <w:bottom w:val="single" w:sz="4" w:space="0" w:color="000000"/>
            </w:tcBorders>
            <w:vAlign w:val="bottom"/>
          </w:tcPr>
          <w:p>
            <w:pPr>
              <w:pStyle w:val="Normal"/>
              <w:spacing w:lineRule="auto" w:line="240" w:before="324" w:after="0"/>
              <w:ind w:left="0" w:right="0"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One</w:t>
            </w:r>
          </w:p>
        </w:tc>
        <w:tc>
          <w:tcPr>
            <w:tcW w:w="5792" w:type="dxa"/>
            <w:gridSpan w:val="2"/>
            <w:tcBorders/>
            <w:vAlign w:val="center"/>
          </w:tcPr>
          <w:p>
            <w:pPr>
              <w:pStyle w:val="Normal"/>
              <w:spacing w:lineRule="auto" w:line="204" w:before="0" w:after="0"/>
              <w:ind w:left="0" w:right="3225"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Standard Deviation</w:t>
            </w:r>
          </w:p>
          <w:p>
            <w:pPr>
              <w:pStyle w:val="Normal"/>
              <w:tabs>
                <w:tab w:val="clear" w:pos="720"/>
                <w:tab w:val="right" w:pos="4202" w:leader="none"/>
              </w:tabs>
              <w:spacing w:lineRule="auto" w:line="240" w:before="0" w:after="0"/>
              <w:ind w:left="0" w:right="1515"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Year Change</w:t>
              <w:tab/>
            </w:r>
            <w:r>
              <w:rPr>
                <w:rFonts w:ascii="Tahoma" w:hAnsi="Tahoma"/>
                <w:b/>
                <w:strike w:val="false"/>
                <w:dstrike w:val="false"/>
                <w:color w:val="000000"/>
                <w:spacing w:val="2"/>
                <w:w w:val="100"/>
                <w:position w:val="0"/>
                <w:sz w:val="19"/>
                <w:sz w:val="19"/>
                <w:vertAlign w:val="baseline"/>
                <w:lang w:val="en-US"/>
              </w:rPr>
              <w:t>Four Year Change</w:t>
            </w:r>
          </w:p>
        </w:tc>
      </w:tr>
      <w:tr>
        <w:trPr>
          <w:trHeight w:val="360" w:hRule="exact"/>
        </w:trPr>
        <w:tc>
          <w:tcPr>
            <w:tcW w:w="3412" w:type="dxa"/>
            <w:tcBorders>
              <w:top w:val="single" w:sz="4" w:space="0" w:color="000000"/>
            </w:tcBorders>
            <w:vAlign w:val="center"/>
          </w:tcPr>
          <w:p>
            <w:pPr>
              <w:pStyle w:val="Normal"/>
              <w:spacing w:lineRule="auto" w:line="240" w:before="0" w:after="0"/>
              <w:ind w:left="19"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Corporate Profits</w:t>
            </w:r>
          </w:p>
        </w:tc>
        <w:tc>
          <w:tcPr>
            <w:tcW w:w="1901" w:type="dxa"/>
            <w:tcBorders/>
            <w:vAlign w:val="center"/>
          </w:tcPr>
          <w:p>
            <w:pPr>
              <w:pStyle w:val="Normal"/>
              <w:tabs>
                <w:tab w:val="clear" w:pos="720"/>
                <w:tab w:val="decimal" w:pos="36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0.85</w:t>
            </w:r>
          </w:p>
        </w:tc>
        <w:tc>
          <w:tcPr>
            <w:tcW w:w="3891" w:type="dxa"/>
            <w:tcBorders/>
            <w:vAlign w:val="center"/>
          </w:tcPr>
          <w:p>
            <w:pPr>
              <w:pStyle w:val="Normal"/>
              <w:tabs>
                <w:tab w:val="clear" w:pos="720"/>
                <w:tab w:val="decimal" w:pos="1107"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1.81</w:t>
            </w:r>
          </w:p>
        </w:tc>
      </w:tr>
      <w:tr>
        <w:trPr>
          <w:trHeight w:val="245" w:hRule="exact"/>
        </w:trPr>
        <w:tc>
          <w:tcPr>
            <w:tcW w:w="3412" w:type="dxa"/>
            <w:tcBorders/>
            <w:vAlign w:val="center"/>
          </w:tcPr>
          <w:p>
            <w:pPr>
              <w:pStyle w:val="Normal"/>
              <w:spacing w:lineRule="auto" w:line="240" w:before="0" w:after="0"/>
              <w:ind w:left="19"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Corporate Capital Income</w:t>
            </w:r>
          </w:p>
        </w:tc>
        <w:tc>
          <w:tcPr>
            <w:tcW w:w="1901" w:type="dxa"/>
            <w:tcBorders/>
            <w:vAlign w:val="center"/>
          </w:tcPr>
          <w:p>
            <w:pPr>
              <w:pStyle w:val="Normal"/>
              <w:tabs>
                <w:tab w:val="clear" w:pos="720"/>
                <w:tab w:val="decimal" w:pos="36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0.71</w:t>
            </w:r>
          </w:p>
        </w:tc>
        <w:tc>
          <w:tcPr>
            <w:tcW w:w="3891" w:type="dxa"/>
            <w:tcBorders/>
            <w:vAlign w:val="center"/>
          </w:tcPr>
          <w:p>
            <w:pPr>
              <w:pStyle w:val="Normal"/>
              <w:tabs>
                <w:tab w:val="clear" w:pos="720"/>
                <w:tab w:val="decimal" w:pos="1107"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1.45</w:t>
            </w:r>
          </w:p>
        </w:tc>
      </w:tr>
      <w:tr>
        <w:trPr>
          <w:trHeight w:val="244" w:hRule="exact"/>
        </w:trPr>
        <w:tc>
          <w:tcPr>
            <w:tcW w:w="3412" w:type="dxa"/>
            <w:tcBorders/>
            <w:vAlign w:val="center"/>
          </w:tcPr>
          <w:p>
            <w:pPr>
              <w:pStyle w:val="Normal"/>
              <w:spacing w:lineRule="auto" w:line="240" w:before="0" w:after="0"/>
              <w:ind w:left="19"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Employee Compensation</w:t>
            </w:r>
          </w:p>
        </w:tc>
        <w:tc>
          <w:tcPr>
            <w:tcW w:w="1901" w:type="dxa"/>
            <w:tcBorders/>
            <w:vAlign w:val="center"/>
          </w:tcPr>
          <w:p>
            <w:pPr>
              <w:pStyle w:val="Normal"/>
              <w:tabs>
                <w:tab w:val="clear" w:pos="720"/>
                <w:tab w:val="decimal" w:pos="36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0.80</w:t>
            </w:r>
          </w:p>
        </w:tc>
        <w:tc>
          <w:tcPr>
            <w:tcW w:w="3891" w:type="dxa"/>
            <w:tcBorders/>
            <w:vAlign w:val="center"/>
          </w:tcPr>
          <w:p>
            <w:pPr>
              <w:pStyle w:val="Normal"/>
              <w:tabs>
                <w:tab w:val="clear" w:pos="720"/>
                <w:tab w:val="decimal" w:pos="1107"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1.60</w:t>
            </w:r>
          </w:p>
        </w:tc>
      </w:tr>
      <w:tr>
        <w:trPr>
          <w:trHeight w:val="245" w:hRule="exact"/>
        </w:trPr>
        <w:tc>
          <w:tcPr>
            <w:tcW w:w="3412" w:type="dxa"/>
            <w:tcBorders/>
            <w:vAlign w:val="center"/>
          </w:tcPr>
          <w:p>
            <w:pPr>
              <w:pStyle w:val="Normal"/>
              <w:spacing w:lineRule="auto" w:line="240" w:before="0" w:after="0"/>
              <w:ind w:left="19" w:right="0" w:hanging="0"/>
              <w:jc w:val="left"/>
              <w:rPr>
                <w:rFonts w:ascii="Tahoma" w:hAnsi="Tahoma"/>
                <w:b/>
                <w:b/>
                <w:strike w:val="false"/>
                <w:dstrike w:val="false"/>
                <w:color w:val="000000"/>
                <w:spacing w:val="2"/>
                <w:w w:val="100"/>
                <w:position w:val="0"/>
                <w:sz w:val="22"/>
                <w:sz w:val="19"/>
                <w:vertAlign w:val="baseline"/>
                <w:lang w:val="en-US"/>
              </w:rPr>
            </w:pPr>
            <w:r>
              <w:rPr>
                <w:rFonts w:ascii="Tahoma" w:hAnsi="Tahoma"/>
                <w:b/>
                <w:strike w:val="false"/>
                <w:dstrike w:val="false"/>
                <w:color w:val="000000"/>
                <w:spacing w:val="2"/>
                <w:w w:val="100"/>
                <w:position w:val="0"/>
                <w:sz w:val="19"/>
                <w:sz w:val="19"/>
                <w:vertAlign w:val="baseline"/>
                <w:lang w:val="en-US"/>
              </w:rPr>
              <w:t>Wages and Salaries</w:t>
            </w:r>
          </w:p>
        </w:tc>
        <w:tc>
          <w:tcPr>
            <w:tcW w:w="1901" w:type="dxa"/>
            <w:tcBorders/>
            <w:vAlign w:val="center"/>
          </w:tcPr>
          <w:p>
            <w:pPr>
              <w:pStyle w:val="Normal"/>
              <w:tabs>
                <w:tab w:val="clear" w:pos="720"/>
                <w:tab w:val="decimal" w:pos="36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0.72</w:t>
            </w:r>
          </w:p>
        </w:tc>
        <w:tc>
          <w:tcPr>
            <w:tcW w:w="3891" w:type="dxa"/>
            <w:tcBorders/>
            <w:vAlign w:val="center"/>
          </w:tcPr>
          <w:p>
            <w:pPr>
              <w:pStyle w:val="Normal"/>
              <w:tabs>
                <w:tab w:val="clear" w:pos="720"/>
                <w:tab w:val="decimal" w:pos="1107"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1.50</w:t>
            </w:r>
          </w:p>
        </w:tc>
      </w:tr>
      <w:tr>
        <w:trPr>
          <w:trHeight w:val="238" w:hRule="exact"/>
        </w:trPr>
        <w:tc>
          <w:tcPr>
            <w:tcW w:w="3412" w:type="dxa"/>
            <w:tcBorders/>
            <w:vAlign w:val="center"/>
          </w:tcPr>
          <w:p>
            <w:pPr>
              <w:pStyle w:val="Normal"/>
              <w:spacing w:lineRule="auto" w:line="240" w:before="0" w:after="0"/>
              <w:ind w:left="19"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Employee Compensation</w:t>
            </w:r>
          </w:p>
        </w:tc>
        <w:tc>
          <w:tcPr>
            <w:tcW w:w="1901"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3891"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r>
      <w:tr>
        <w:trPr>
          <w:trHeight w:val="252" w:hRule="exact"/>
        </w:trPr>
        <w:tc>
          <w:tcPr>
            <w:tcW w:w="3412" w:type="dxa"/>
            <w:tcBorders/>
            <w:vAlign w:val="center"/>
          </w:tcPr>
          <w:p>
            <w:pPr>
              <w:pStyle w:val="Normal"/>
              <w:spacing w:lineRule="auto" w:line="240" w:before="0" w:after="0"/>
              <w:ind w:left="0" w:right="1170"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&amp; Proprietors' Income</w:t>
            </w:r>
          </w:p>
        </w:tc>
        <w:tc>
          <w:tcPr>
            <w:tcW w:w="1901" w:type="dxa"/>
            <w:tcBorders/>
            <w:vAlign w:val="center"/>
          </w:tcPr>
          <w:p>
            <w:pPr>
              <w:pStyle w:val="Normal"/>
              <w:tabs>
                <w:tab w:val="clear" w:pos="720"/>
                <w:tab w:val="decimal" w:pos="36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0.64</w:t>
            </w:r>
          </w:p>
        </w:tc>
        <w:tc>
          <w:tcPr>
            <w:tcW w:w="3891" w:type="dxa"/>
            <w:tcBorders/>
            <w:vAlign w:val="center"/>
          </w:tcPr>
          <w:p>
            <w:pPr>
              <w:pStyle w:val="Normal"/>
              <w:tabs>
                <w:tab w:val="clear" w:pos="720"/>
                <w:tab w:val="decimal" w:pos="1107"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1.43</w:t>
            </w:r>
          </w:p>
        </w:tc>
      </w:tr>
      <w:tr>
        <w:trPr>
          <w:trHeight w:val="287" w:hRule="exact"/>
        </w:trPr>
        <w:tc>
          <w:tcPr>
            <w:tcW w:w="3412" w:type="dxa"/>
            <w:tcBorders/>
            <w:vAlign w:val="center"/>
          </w:tcPr>
          <w:p>
            <w:pPr>
              <w:pStyle w:val="Normal"/>
              <w:spacing w:lineRule="auto" w:line="240" w:before="0" w:after="0"/>
              <w:ind w:left="19"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Tangible Assets/National Income</w:t>
            </w:r>
          </w:p>
        </w:tc>
        <w:tc>
          <w:tcPr>
            <w:tcW w:w="1901" w:type="dxa"/>
            <w:tcBorders/>
            <w:vAlign w:val="center"/>
          </w:tcPr>
          <w:p>
            <w:pPr>
              <w:pStyle w:val="Normal"/>
              <w:tabs>
                <w:tab w:val="clear" w:pos="720"/>
                <w:tab w:val="decimal" w:pos="36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0.07</w:t>
            </w:r>
          </w:p>
        </w:tc>
        <w:tc>
          <w:tcPr>
            <w:tcW w:w="3891" w:type="dxa"/>
            <w:tcBorders/>
            <w:vAlign w:val="center"/>
          </w:tcPr>
          <w:p>
            <w:pPr>
              <w:pStyle w:val="Normal"/>
              <w:tabs>
                <w:tab w:val="clear" w:pos="720"/>
                <w:tab w:val="decimal" w:pos="1107"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0.18</w:t>
            </w:r>
          </w:p>
        </w:tc>
      </w:tr>
    </w:tbl>
    <w:p>
      <w:pPr>
        <w:pStyle w:val="Normal"/>
        <w:spacing w:lineRule="exact" w:line="20" w:before="0" w:after="304"/>
        <w:rPr/>
      </w:pPr>
      <w:r>
        <w:rPr/>
      </w:r>
    </w:p>
    <w:p>
      <w:pPr>
        <w:sectPr>
          <w:type w:val="nextPage"/>
          <w:pgSz w:w="12240" w:h="15840"/>
          <w:pgMar w:left="1395" w:right="1335" w:header="0" w:top="1518" w:footer="0" w:bottom="1452" w:gutter="0"/>
          <w:pgNumType w:fmt="decimal"/>
          <w:formProt w:val="false"/>
          <w:textDirection w:val="lrTb"/>
          <w:docGrid w:type="default" w:linePitch="100" w:charSpace="4096"/>
        </w:sectPr>
        <w:pStyle w:val="Normal"/>
        <w:spacing w:lineRule="auto" w:line="240" w:before="108" w:after="0"/>
        <w:ind w:left="216" w:right="216" w:hanging="0"/>
        <w:jc w:val="both"/>
        <w:rPr>
          <w:rFonts w:ascii="Tahoma" w:hAnsi="Tahoma"/>
          <w:b/>
          <w:b/>
          <w:strike w:val="false"/>
          <w:dstrike w:val="false"/>
          <w:color w:val="000000"/>
          <w:spacing w:val="4"/>
          <w:w w:val="100"/>
          <w:position w:val="0"/>
          <w:sz w:val="22"/>
          <w:sz w:val="19"/>
          <w:vertAlign w:val="baseline"/>
          <w:lang w:val="en-US"/>
        </w:rPr>
      </w:pPr>
      <w:r>
        <mc:AlternateContent>
          <mc:Choice Requires="wps">
            <w:drawing>
              <wp:anchor behindDoc="0" distT="0" distB="0" distL="114300" distR="114300" simplePos="0" locked="0" layoutInCell="1" allowOverlap="1" relativeHeight="30">
                <wp:simplePos x="0" y="0"/>
                <wp:positionH relativeFrom="column">
                  <wp:posOffset>149225</wp:posOffset>
                </wp:positionH>
                <wp:positionV relativeFrom="paragraph">
                  <wp:posOffset>5080</wp:posOffset>
                </wp:positionV>
                <wp:extent cx="979805" cy="1270"/>
                <wp:effectExtent l="0" t="0" r="0" b="0"/>
                <wp:wrapNone/>
                <wp:docPr id="29" name=""/>
                <a:graphic xmlns:a="http://schemas.openxmlformats.org/drawingml/2006/main">
                  <a:graphicData uri="http://schemas.microsoft.com/office/word/2010/wordprocessingShape">
                    <wps:wsp>
                      <wps:cNvSpPr/>
                      <wps:spPr>
                        <a:xfrm>
                          <a:off x="0" y="0"/>
                          <a:ext cx="1395000" cy="0"/>
                        </a:xfrm>
                        <a:prstGeom prst="line">
                          <a:avLst/>
                        </a:prstGeom>
                        <a:ln w="9000">
                          <a:solidFill>
                            <a:srgbClr val="000000"/>
                          </a:solidFill>
                          <a:round/>
                        </a:ln>
                      </wps:spPr>
                      <wps:style>
                        <a:lnRef idx="0"/>
                        <a:fillRef idx="0"/>
                        <a:effectRef idx="0"/>
                        <a:fontRef idx="minor"/>
                      </wps:style>
                      <wps:bodyPr/>
                    </wps:wsp>
                  </a:graphicData>
                </a:graphic>
              </wp:anchor>
            </w:drawing>
          </mc:Choice>
          <mc:Fallback>
            <w:pict>
              <v:line id="shape_0" from="11.75pt,0.4pt" to="121.55pt,0.4pt" stroked="t" style="position:absolute">
                <v:stroke color="black" weight="9000" joinstyle="round" endcap="flat"/>
                <v:fill o:detectmouseclick="t" on="false"/>
              </v:line>
            </w:pict>
          </mc:Fallback>
        </mc:AlternateContent>
      </w:r>
      <w:r>
        <w:rPr>
          <w:rFonts w:ascii="Tahoma" w:hAnsi="Tahoma"/>
          <w:b/>
          <w:strike w:val="false"/>
          <w:dstrike w:val="false"/>
          <w:color w:val="000000"/>
          <w:spacing w:val="4"/>
          <w:w w:val="100"/>
          <w:position w:val="0"/>
          <w:sz w:val="19"/>
          <w:sz w:val="19"/>
          <w:vertAlign w:val="baseline"/>
          <w:lang w:val="en-US"/>
        </w:rPr>
        <w:t>S</w:t>
      </w:r>
      <w:r>
        <w:rPr>
          <w:rFonts w:ascii="Tahoma" w:hAnsi="Tahoma"/>
          <w:b/>
          <w:strike w:val="false"/>
          <w:dstrike w:val="false"/>
          <w:color w:val="000000"/>
          <w:spacing w:val="4"/>
          <w:w w:val="100"/>
          <w:position w:val="0"/>
          <w:sz w:val="19"/>
          <w:sz w:val="19"/>
          <w:vertAlign w:val="baseline"/>
          <w:lang w:val="en-US"/>
        </w:rPr>
        <w:t xml:space="preserve">ource: Author's calculations based on data in Table 1.16 of NIPA and the </w:t>
      </w:r>
      <w:r>
        <w:rPr>
          <w:rFonts w:ascii="Tahoma" w:hAnsi="Tahoma"/>
          <w:b/>
          <w:strike w:val="false"/>
          <w:dstrike w:val="false"/>
          <w:color w:val="000000"/>
          <w:spacing w:val="4"/>
          <w:w w:val="95"/>
          <w:position w:val="0"/>
          <w:sz w:val="20"/>
          <w:sz w:val="20"/>
          <w:u w:val="single"/>
          <w:vertAlign w:val="baseline"/>
          <w:lang w:val="en-US"/>
        </w:rPr>
        <w:t xml:space="preserve">Balance Sheets </w:t>
      </w:r>
      <w:r>
        <w:rPr>
          <w:rFonts w:ascii="Tahoma" w:hAnsi="Tahoma"/>
          <w:b/>
          <w:strike w:val="false"/>
          <w:dstrike w:val="false"/>
          <w:color w:val="000000"/>
          <w:spacing w:val="3"/>
          <w:w w:val="95"/>
          <w:position w:val="0"/>
          <w:sz w:val="20"/>
          <w:sz w:val="20"/>
          <w:u w:val="single"/>
          <w:vertAlign w:val="baseline"/>
          <w:lang w:val="en-US"/>
        </w:rPr>
        <w:t>of the U.S. Economy.</w:t>
      </w:r>
      <w:r>
        <w:rPr>
          <w:rFonts w:ascii="Tahoma" w:hAnsi="Tahoma"/>
          <w:b/>
          <w:strike w:val="false"/>
          <w:dstrike w:val="false"/>
          <w:color w:val="000000"/>
          <w:spacing w:val="3"/>
          <w:w w:val="100"/>
          <w:position w:val="0"/>
          <w:sz w:val="19"/>
          <w:sz w:val="19"/>
          <w:vertAlign w:val="baseline"/>
          <w:lang w:val="en-US"/>
        </w:rPr>
        <w:t xml:space="preserve"> See notes to Tables 3 and 4 for further information. The standard </w:t>
      </w:r>
      <w:r>
        <w:rPr>
          <w:rFonts w:ascii="Tahoma" w:hAnsi="Tahoma"/>
          <w:b/>
          <w:strike w:val="false"/>
          <w:dstrike w:val="false"/>
          <w:color w:val="000000"/>
          <w:spacing w:val="0"/>
          <w:w w:val="100"/>
          <w:position w:val="0"/>
          <w:sz w:val="19"/>
          <w:sz w:val="19"/>
          <w:vertAlign w:val="baseline"/>
          <w:lang w:val="en-US"/>
        </w:rPr>
        <w:t xml:space="preserve">deviation of four-year changes is calculated as the standard deviation of all four-year changes </w:t>
      </w:r>
      <w:r>
        <w:rPr>
          <w:rFonts w:ascii="Tahoma" w:hAnsi="Tahoma"/>
          <w:b/>
          <w:strike w:val="false"/>
          <w:dstrike w:val="false"/>
          <w:color w:val="000000"/>
          <w:spacing w:val="2"/>
          <w:w w:val="100"/>
          <w:position w:val="0"/>
          <w:sz w:val="19"/>
          <w:sz w:val="19"/>
          <w:vertAlign w:val="baseline"/>
          <w:lang w:val="en-US"/>
        </w:rPr>
        <w:t>in the sample, thus it includes overlapping observations.</w:t>
      </w:r>
    </w:p>
    <w:p>
      <w:pPr>
        <w:pStyle w:val="Normal"/>
        <w:spacing w:lineRule="exact" w:line="332"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37 </w:t>
        <w:br/>
      </w:r>
      <w:r>
        <w:rPr>
          <w:rFonts w:ascii="Arial" w:hAnsi="Arial"/>
          <w:b/>
          <w:strike w:val="false"/>
          <w:dstrike w:val="false"/>
          <w:color w:val="000000"/>
          <w:spacing w:val="5"/>
          <w:w w:val="100"/>
          <w:position w:val="0"/>
          <w:sz w:val="20"/>
          <w:sz w:val="20"/>
          <w:vertAlign w:val="baseline"/>
          <w:lang w:val="en-US"/>
        </w:rPr>
        <w:t>Table 6: Comparative Rates of Return on Business Assets, G-7 Nations, 1966-1996</w:t>
      </w:r>
    </w:p>
    <w:tbl>
      <w:tblPr>
        <w:tblW w:w="9781" w:type="dxa"/>
        <w:jc w:val="left"/>
        <w:tblInd w:w="0" w:type="dxa"/>
        <w:tblCellMar>
          <w:top w:w="0" w:type="dxa"/>
          <w:left w:w="0" w:type="dxa"/>
          <w:bottom w:w="0" w:type="dxa"/>
          <w:right w:w="0" w:type="dxa"/>
        </w:tblCellMar>
      </w:tblPr>
      <w:tblGrid>
        <w:gridCol w:w="1008"/>
        <w:gridCol w:w="662"/>
        <w:gridCol w:w="1054"/>
        <w:gridCol w:w="934"/>
        <w:gridCol w:w="795"/>
        <w:gridCol w:w="1073"/>
        <w:gridCol w:w="1112"/>
        <w:gridCol w:w="1124"/>
        <w:gridCol w:w="2018"/>
      </w:tblGrid>
      <w:tr>
        <w:trPr>
          <w:trHeight w:val="482" w:hRule="exact"/>
        </w:trPr>
        <w:tc>
          <w:tcPr>
            <w:tcW w:w="1008" w:type="dxa"/>
            <w:tcBorders>
              <w:bottom w:val="single" w:sz="6" w:space="0" w:color="000000"/>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662" w:type="dxa"/>
            <w:tcBorders>
              <w:top w:val="single" w:sz="6" w:space="0" w:color="000000"/>
              <w:bottom w:val="single" w:sz="6" w:space="0" w:color="000000"/>
            </w:tcBorders>
            <w:vAlign w:val="center"/>
          </w:tcPr>
          <w:p>
            <w:pPr>
              <w:pStyle w:val="Normal"/>
              <w:spacing w:lineRule="auto" w:line="240" w:before="0" w:after="0"/>
              <w:ind w:left="0" w:right="147"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U.S.</w:t>
            </w:r>
          </w:p>
        </w:tc>
        <w:tc>
          <w:tcPr>
            <w:tcW w:w="1054" w:type="dxa"/>
            <w:tcBorders>
              <w:top w:val="single" w:sz="6" w:space="0" w:color="000000"/>
              <w:bottom w:val="single" w:sz="6" w:space="0" w:color="000000"/>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Germany</w:t>
            </w:r>
          </w:p>
        </w:tc>
        <w:tc>
          <w:tcPr>
            <w:tcW w:w="934" w:type="dxa"/>
            <w:tcBorders>
              <w:bottom w:val="single" w:sz="6" w:space="0" w:color="000000"/>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France</w:t>
            </w:r>
          </w:p>
        </w:tc>
        <w:tc>
          <w:tcPr>
            <w:tcW w:w="795" w:type="dxa"/>
            <w:tcBorders/>
            <w:vAlign w:val="center"/>
          </w:tcPr>
          <w:p>
            <w:pPr>
              <w:pStyle w:val="Normal"/>
              <w:spacing w:lineRule="auto" w:line="240" w:before="0" w:after="0"/>
              <w:ind w:left="0" w:right="144"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Italy</w:t>
            </w:r>
          </w:p>
        </w:tc>
        <w:tc>
          <w:tcPr>
            <w:tcW w:w="1073" w:type="dxa"/>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Canada</w:t>
            </w:r>
          </w:p>
        </w:tc>
        <w:tc>
          <w:tcPr>
            <w:tcW w:w="1112" w:type="dxa"/>
            <w:tcBorders/>
            <w:vAlign w:val="center"/>
          </w:tcPr>
          <w:p>
            <w:pPr>
              <w:pStyle w:val="Normal"/>
              <w:spacing w:lineRule="auto" w:line="240" w:before="0" w:after="0"/>
              <w:ind w:left="0" w:right="435"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U.K.</w:t>
            </w:r>
          </w:p>
        </w:tc>
        <w:tc>
          <w:tcPr>
            <w:tcW w:w="1124" w:type="dxa"/>
            <w:tcBorders/>
            <w:vAlign w:val="center"/>
          </w:tcPr>
          <w:p>
            <w:pPr>
              <w:pStyle w:val="Normal"/>
              <w:spacing w:lineRule="auto" w:line="240" w:before="0" w:after="0"/>
              <w:ind w:left="0" w:right="11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Japan</w:t>
            </w:r>
          </w:p>
        </w:tc>
        <w:tc>
          <w:tcPr>
            <w:tcW w:w="2018" w:type="dxa"/>
            <w:tcBorders/>
            <w:vAlign w:val="center"/>
          </w:tcPr>
          <w:p>
            <w:pPr>
              <w:pStyle w:val="Normal"/>
              <w:spacing w:lineRule="auto" w:line="240" w:before="0" w:after="0"/>
              <w:ind w:left="0" w:right="697"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G-7 Average</w:t>
            </w:r>
          </w:p>
        </w:tc>
      </w:tr>
      <w:tr>
        <w:trPr>
          <w:trHeight w:val="360" w:hRule="exact"/>
        </w:trPr>
        <w:tc>
          <w:tcPr>
            <w:tcW w:w="1008" w:type="dxa"/>
            <w:tcBorders>
              <w:top w:val="single" w:sz="6" w:space="0" w:color="000000"/>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w:t>
            </w:r>
          </w:p>
        </w:tc>
        <w:tc>
          <w:tcPr>
            <w:tcW w:w="662" w:type="dxa"/>
            <w:tcBorders>
              <w:top w:val="single" w:sz="6" w:space="0" w:color="000000"/>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1054" w:type="dxa"/>
            <w:tcBorders>
              <w:top w:val="single" w:sz="6" w:space="0" w:color="000000"/>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15.6</w:t>
            </w:r>
          </w:p>
        </w:tc>
        <w:tc>
          <w:tcPr>
            <w:tcW w:w="934" w:type="dxa"/>
            <w:tcBorders>
              <w:top w:val="single" w:sz="6" w:space="0" w:color="000000"/>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11.0</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13.9</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13.5</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23.2</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14.8</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1967</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15.0</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12.3</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15.5</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12.2</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24.6</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1968</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16.5</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13.0</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16.2</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12.8</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26.2</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1969</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13.7</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16.3</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13.8</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17.0</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12.3</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11.5</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27.0</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16.0</w:t>
            </w:r>
          </w:p>
        </w:tc>
      </w:tr>
      <w:tr>
        <w:trPr>
          <w:trHeight w:val="248"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12.9</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15.3</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15.5</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10.8</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26.4</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15.6</w:t>
            </w:r>
          </w:p>
        </w:tc>
      </w:tr>
      <w:tr>
        <w:trPr>
          <w:trHeight w:val="241"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1971</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13.6</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14.7</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14.0</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13.5</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13.8</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11.2</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22.6</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14.8</w:t>
            </w:r>
          </w:p>
        </w:tc>
      </w:tr>
      <w:tr>
        <w:trPr>
          <w:trHeight w:val="249"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1972</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14.6</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13.9</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14.0</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11.1</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21.9</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14.9</w:t>
            </w:r>
          </w:p>
        </w:tc>
      </w:tr>
      <w:tr>
        <w:trPr>
          <w:trHeight w:val="248"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1973</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15.0</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14.8</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14.0</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16.4</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20.3</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15.2</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1974</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13.7</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13.0</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13.3</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13.0</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16.7</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9.7</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16.1</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13.6</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1975</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13.5</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11.1</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8.7</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12.4</w:t>
            </w:r>
          </w:p>
        </w:tc>
      </w:tr>
      <w:tr>
        <w:trPr>
          <w:trHeight w:val="241"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1976</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14.2</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13.2</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11.6</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15.6</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12.8</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1977</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14.6</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13.1</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11.4</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13.8</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12.8</w:t>
            </w:r>
          </w:p>
        </w:tc>
      </w:tr>
      <w:tr>
        <w:trPr>
          <w:trHeight w:val="241"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1978</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15.2</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13.2</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11.8</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16.1</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14.6</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13.3</w:t>
            </w:r>
          </w:p>
        </w:tc>
      </w:tr>
      <w:tr>
        <w:trPr>
          <w:trHeight w:val="241"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1979</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15.0</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13.1</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11.6</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12.6</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17.8</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13.4</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13.9</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10.6</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19.2</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8.5</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14.0</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12.9</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1981</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13.9</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11.1</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10.4</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11.6</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18.5</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13.6</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r>
      <w:tr>
        <w:trPr>
          <w:trHeight w:val="248"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1982</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12.7</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10.9</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10.3</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11.6</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16.1</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9.0</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13.2</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12.0</w:t>
            </w:r>
          </w:p>
        </w:tc>
      </w:tr>
      <w:tr>
        <w:trPr>
          <w:trHeight w:val="249"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1983</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10.5</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11.7</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18.0</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9.9</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13.1</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12.7</w:t>
            </w:r>
          </w:p>
        </w:tc>
      </w:tr>
      <w:tr>
        <w:trPr>
          <w:trHeight w:val="252"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1984</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15.8</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11.0</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10.0</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13.6</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13.5</w:t>
            </w:r>
          </w:p>
        </w:tc>
      </w:tr>
      <w:tr>
        <w:trPr>
          <w:trHeight w:val="244"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1985</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16.2</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12.3</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11.5</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12.8</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10.3</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13.8</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1986</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16.2</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12.8</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12.9</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14.2</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19.3</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9.8</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14.2</w:t>
            </w:r>
          </w:p>
        </w:tc>
      </w:tr>
      <w:tr>
        <w:trPr>
          <w:trHeight w:val="249"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1987</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16.2</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12.6</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13.2</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20.0</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10.3</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r>
      <w:tr>
        <w:trPr>
          <w:trHeight w:val="248"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1988</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16.5</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13.2</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14.8</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20.4</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10.3</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14.9</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1989</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17.5</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13.5</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14.8</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14.9</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9.8</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15.5</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w:t>
            </w:r>
          </w:p>
        </w:tc>
      </w:tr>
      <w:tr>
        <w:trPr>
          <w:trHeight w:val="237"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17.3</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14.2</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14.7</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14.6</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18.3</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9.3</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15.6</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14.8</w:t>
            </w:r>
          </w:p>
        </w:tc>
      </w:tr>
      <w:tr>
        <w:trPr>
          <w:trHeight w:val="242"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1991</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16.8</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13.3</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14.5</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17.7</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9.0</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15.5</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14.5</w:t>
            </w:r>
          </w:p>
        </w:tc>
      </w:tr>
      <w:tr>
        <w:trPr>
          <w:trHeight w:val="244"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1992</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17.6</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13.1</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14.6</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17.5</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10.0</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14.8</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14.6</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1993</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18.1</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12.8</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14.2</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17.9</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14.5</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14.7</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1994</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18.6</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13.6</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15.5</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18.7</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12.1</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15.4</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1995</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18.6</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15.4</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16.1</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11.9</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13.7</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15.7</w:t>
            </w:r>
          </w:p>
        </w:tc>
      </w:tr>
      <w:tr>
        <w:trPr>
          <w:trHeight w:val="371" w:hRule="exact"/>
        </w:trPr>
        <w:tc>
          <w:tcPr>
            <w:tcW w:w="1008" w:type="dxa"/>
            <w:tcBorders/>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1996</w:t>
            </w:r>
          </w:p>
        </w:tc>
        <w:tc>
          <w:tcPr>
            <w:tcW w:w="662" w:type="dxa"/>
            <w:tcBorders/>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18.7</w:t>
            </w:r>
          </w:p>
        </w:tc>
        <w:tc>
          <w:tcPr>
            <w:tcW w:w="1054" w:type="dxa"/>
            <w:tcBorders/>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15.0</w:t>
            </w:r>
          </w:p>
        </w:tc>
        <w:tc>
          <w:tcPr>
            <w:tcW w:w="934" w:type="dxa"/>
            <w:tcBorders/>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15.3</w:t>
            </w:r>
          </w:p>
        </w:tc>
        <w:tc>
          <w:tcPr>
            <w:tcW w:w="795" w:type="dxa"/>
            <w:tcBorders/>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w:t>
            </w:r>
          </w:p>
        </w:tc>
        <w:tc>
          <w:tcPr>
            <w:tcW w:w="1073" w:type="dxa"/>
            <w:tcBorders/>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w:t>
            </w:r>
          </w:p>
        </w:tc>
        <w:tc>
          <w:tcPr>
            <w:tcW w:w="1112" w:type="dxa"/>
            <w:tcBorders/>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1124" w:type="dxa"/>
            <w:tcBorders/>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14.5</w:t>
            </w:r>
          </w:p>
        </w:tc>
        <w:tc>
          <w:tcPr>
            <w:tcW w:w="2018" w:type="dxa"/>
            <w:tcBorders/>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16.0</w:t>
            </w:r>
          </w:p>
        </w:tc>
      </w:tr>
      <w:tr>
        <w:trPr>
          <w:trHeight w:val="331" w:hRule="exact"/>
        </w:trPr>
        <w:tc>
          <w:tcPr>
            <w:tcW w:w="1008" w:type="dxa"/>
            <w:tcBorders>
              <w:bottom w:val="single" w:sz="6" w:space="0" w:color="000000"/>
            </w:tcBorders>
            <w:vAlign w:val="center"/>
          </w:tcPr>
          <w:p>
            <w:pPr>
              <w:pStyle w:val="Normal"/>
              <w:spacing w:lineRule="auto" w:line="240" w:before="0" w:after="0"/>
              <w:ind w:left="3" w:right="0" w:hanging="0"/>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Averages:</w:t>
            </w:r>
          </w:p>
        </w:tc>
        <w:tc>
          <w:tcPr>
            <w:tcW w:w="662"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054"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934"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795"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073"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112"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124"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2018"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r>
      <w:tr>
        <w:trPr>
          <w:trHeight w:val="291" w:hRule="exact"/>
        </w:trPr>
        <w:tc>
          <w:tcPr>
            <w:tcW w:w="1008" w:type="dxa"/>
            <w:tcBorders>
              <w:top w:val="single" w:sz="6" w:space="0" w:color="000000"/>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1966-96</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15.4</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13.5</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12.9</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13.8</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17.0</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10.4</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16.9</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1960-69</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14.2</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15.8</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15.6</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12.7</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11.9</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25.3</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15.4</w:t>
            </w:r>
          </w:p>
        </w:tc>
      </w:tr>
      <w:tr>
        <w:trPr>
          <w:trHeight w:val="249"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1970-79</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14.2</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13.7</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12.8</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12.8</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15.6</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17.8</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13.9</w:t>
            </w:r>
          </w:p>
        </w:tc>
      </w:tr>
      <w:tr>
        <w:trPr>
          <w:trHeight w:val="241"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1980-89</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15.3</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12.2</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11.9</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13.1</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19.0</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14.1</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13.6</w:t>
            </w:r>
          </w:p>
        </w:tc>
      </w:tr>
      <w:tr>
        <w:trPr>
          <w:trHeight w:val="245"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1990-96</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17.9</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13.8</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14.8</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15.0</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18.5</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10.9</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14.7</w:t>
            </w:r>
          </w:p>
        </w:tc>
        <w:tc>
          <w:tcPr>
            <w:tcW w:w="2018"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w:t>
            </w:r>
          </w:p>
        </w:tc>
      </w:tr>
      <w:tr>
        <w:trPr>
          <w:trHeight w:val="294" w:hRule="exact"/>
        </w:trPr>
        <w:tc>
          <w:tcPr>
            <w:tcW w:w="1008" w:type="dxa"/>
            <w:tcBorders/>
            <w:vAlign w:val="center"/>
          </w:tcPr>
          <w:p>
            <w:pPr>
              <w:pStyle w:val="Normal"/>
              <w:spacing w:lineRule="auto" w:line="240" w:before="0" w:after="0"/>
              <w:ind w:left="3"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S.D.(A)</w:t>
            </w:r>
          </w:p>
        </w:tc>
        <w:tc>
          <w:tcPr>
            <w:tcW w:w="662" w:type="dxa"/>
            <w:tcBorders/>
            <w:vAlign w:val="center"/>
          </w:tcPr>
          <w:p>
            <w:pPr>
              <w:pStyle w:val="Normal"/>
              <w:tabs>
                <w:tab w:val="clear" w:pos="720"/>
                <w:tab w:val="decimal" w:pos="35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0.7</w:t>
            </w:r>
          </w:p>
        </w:tc>
        <w:tc>
          <w:tcPr>
            <w:tcW w:w="1054" w:type="dxa"/>
            <w:tcBorders/>
            <w:vAlign w:val="center"/>
          </w:tcPr>
          <w:p>
            <w:pPr>
              <w:pStyle w:val="Normal"/>
              <w:tabs>
                <w:tab w:val="clear" w:pos="720"/>
                <w:tab w:val="decimal" w:pos="65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0.7</w:t>
            </w:r>
          </w:p>
        </w:tc>
        <w:tc>
          <w:tcPr>
            <w:tcW w:w="934" w:type="dxa"/>
            <w:tcBorders/>
            <w:vAlign w:val="center"/>
          </w:tcPr>
          <w:p>
            <w:pPr>
              <w:pStyle w:val="Normal"/>
              <w:tabs>
                <w:tab w:val="clear" w:pos="720"/>
                <w:tab w:val="decimal" w:pos="51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0.7</w:t>
            </w:r>
          </w:p>
        </w:tc>
        <w:tc>
          <w:tcPr>
            <w:tcW w:w="795" w:type="dxa"/>
            <w:tcBorders/>
            <w:vAlign w:val="center"/>
          </w:tcPr>
          <w:p>
            <w:pPr>
              <w:pStyle w:val="Normal"/>
              <w:tabs>
                <w:tab w:val="clear" w:pos="720"/>
                <w:tab w:val="decimal" w:pos="48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0.9</w:t>
            </w:r>
          </w:p>
        </w:tc>
        <w:tc>
          <w:tcPr>
            <w:tcW w:w="1073" w:type="dxa"/>
            <w:tcBorders/>
            <w:vAlign w:val="center"/>
          </w:tcPr>
          <w:p>
            <w:pPr>
              <w:pStyle w:val="Normal"/>
              <w:tabs>
                <w:tab w:val="clear" w:pos="720"/>
                <w:tab w:val="decimal" w:pos="68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w:t>
            </w:r>
          </w:p>
        </w:tc>
        <w:tc>
          <w:tcPr>
            <w:tcW w:w="1112" w:type="dxa"/>
            <w:tcBorders/>
            <w:vAlign w:val="center"/>
          </w:tcPr>
          <w:p>
            <w:pPr>
              <w:pStyle w:val="Normal"/>
              <w:tabs>
                <w:tab w:val="clear" w:pos="720"/>
                <w:tab w:val="decimal" w:pos="51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0.7</w:t>
            </w:r>
          </w:p>
        </w:tc>
        <w:tc>
          <w:tcPr>
            <w:tcW w:w="1124" w:type="dxa"/>
            <w:tcBorders/>
            <w:vAlign w:val="center"/>
          </w:tcPr>
          <w:p>
            <w:pPr>
              <w:pStyle w:val="Normal"/>
              <w:tabs>
                <w:tab w:val="clear" w:pos="720"/>
                <w:tab w:val="decimal" w:pos="837"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w:t>
            </w:r>
          </w:p>
        </w:tc>
        <w:tc>
          <w:tcPr>
            <w:tcW w:w="2018"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r>
    </w:tbl>
    <w:p>
      <w:pPr>
        <w:pStyle w:val="Normal"/>
        <w:spacing w:lineRule="exact" w:line="20" w:before="0" w:after="52"/>
        <w:rPr/>
      </w:pPr>
      <w:r>
        <w:rPr/>
      </w:r>
    </w:p>
    <w:p>
      <w:pPr>
        <w:sectPr>
          <w:type w:val="nextPage"/>
          <w:pgSz w:w="12240" w:h="15840"/>
          <w:pgMar w:left="1415" w:right="1315" w:header="0" w:top="1460" w:footer="0" w:bottom="1510" w:gutter="0"/>
          <w:pgNumType w:fmt="decimal"/>
          <w:formProt w:val="false"/>
          <w:textDirection w:val="lrTb"/>
          <w:docGrid w:type="default" w:linePitch="100" w:charSpace="4096"/>
        </w:sectPr>
        <w:pStyle w:val="Normal"/>
        <w:pBdr>
          <w:top w:val="dashed" w:sz="8" w:space="4" w:color="000000"/>
        </w:pBdr>
        <w:spacing w:lineRule="auto" w:line="240" w:before="12" w:after="0"/>
        <w:ind w:left="0" w:right="0" w:hanging="0"/>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Source: Author's calculation based on data in OECD Business Sector Data Base. The return on </w:t>
      </w:r>
      <w:r>
        <w:rPr>
          <w:rFonts w:ascii="Arial" w:hAnsi="Arial"/>
          <w:b/>
          <w:strike w:val="false"/>
          <w:dstrike w:val="false"/>
          <w:color w:val="000000"/>
          <w:spacing w:val="-3"/>
          <w:w w:val="100"/>
          <w:position w:val="0"/>
          <w:sz w:val="20"/>
          <w:sz w:val="20"/>
          <w:vertAlign w:val="baseline"/>
          <w:lang w:val="en-US"/>
        </w:rPr>
        <w:t xml:space="preserve">business assets is defined as business sector output, less wage payments, divided by the current cost </w:t>
      </w:r>
      <w:r>
        <w:rPr>
          <w:rFonts w:ascii="Arial" w:hAnsi="Arial"/>
          <w:b/>
          <w:strike w:val="false"/>
          <w:dstrike w:val="false"/>
          <w:color w:val="000000"/>
          <w:spacing w:val="4"/>
          <w:w w:val="100"/>
          <w:position w:val="0"/>
          <w:sz w:val="20"/>
          <w:sz w:val="20"/>
          <w:vertAlign w:val="baseline"/>
          <w:lang w:val="en-US"/>
        </w:rPr>
        <w:t xml:space="preserve">estimate of the business sector capital stock. The last row, S.D.(A), reports the standard deviation </w:t>
      </w:r>
      <w:r>
        <w:rPr>
          <w:rFonts w:ascii="Arial" w:hAnsi="Arial"/>
          <w:b/>
          <w:strike w:val="false"/>
          <w:dstrike w:val="false"/>
          <w:color w:val="000000"/>
          <w:spacing w:val="3"/>
          <w:w w:val="100"/>
          <w:position w:val="0"/>
          <w:sz w:val="20"/>
          <w:sz w:val="20"/>
          <w:vertAlign w:val="baseline"/>
          <w:lang w:val="en-US"/>
        </w:rPr>
        <w:t>of the annual changes in the rates of return.</w:t>
      </w:r>
    </w:p>
    <w:p>
      <w:pPr>
        <w:pStyle w:val="Normal"/>
        <w:spacing w:lineRule="exact" w:line="327" w:before="0" w:after="0"/>
        <w:ind w:left="0" w:right="0" w:hanging="0"/>
        <w:jc w:val="center"/>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 xml:space="preserve">38 </w:t>
        <w:br/>
      </w:r>
      <w:r>
        <w:rPr>
          <w:rFonts w:ascii="Tahoma" w:hAnsi="Tahoma"/>
          <w:b/>
          <w:strike w:val="false"/>
          <w:dstrike w:val="false"/>
          <w:color w:val="000000"/>
          <w:spacing w:val="3"/>
          <w:w w:val="100"/>
          <w:position w:val="0"/>
          <w:sz w:val="19"/>
          <w:sz w:val="19"/>
          <w:vertAlign w:val="baseline"/>
          <w:lang w:val="en-US"/>
        </w:rPr>
        <w:t>Table 7: Correlation Matrix for Rates of Return on Business Capital, G-7 Nations</w:t>
      </w:r>
    </w:p>
    <w:tbl>
      <w:tblPr>
        <w:tblW w:w="10041" w:type="dxa"/>
        <w:jc w:val="left"/>
        <w:tblInd w:w="0" w:type="dxa"/>
        <w:tblCellMar>
          <w:top w:w="0" w:type="dxa"/>
          <w:left w:w="0" w:type="dxa"/>
          <w:bottom w:w="0" w:type="dxa"/>
          <w:right w:w="0" w:type="dxa"/>
        </w:tblCellMar>
      </w:tblPr>
      <w:tblGrid>
        <w:gridCol w:w="1332"/>
        <w:gridCol w:w="1368"/>
        <w:gridCol w:w="1386"/>
        <w:gridCol w:w="1170"/>
        <w:gridCol w:w="1146"/>
        <w:gridCol w:w="1195"/>
        <w:gridCol w:w="2443"/>
      </w:tblGrid>
      <w:tr>
        <w:trPr>
          <w:trHeight w:val="515" w:hRule="exact"/>
        </w:trPr>
        <w:tc>
          <w:tcPr>
            <w:tcW w:w="1332" w:type="dxa"/>
            <w:tcBorders>
              <w:top w:val="single" w:sz="4" w:space="0" w:color="000000"/>
              <w:bottom w:val="single" w:sz="4" w:space="0" w:color="000000"/>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368" w:type="dxa"/>
            <w:tcBorders>
              <w:top w:val="single" w:sz="4" w:space="0" w:color="000000"/>
              <w:bottom w:val="single" w:sz="4" w:space="0" w:color="000000"/>
            </w:tcBorders>
            <w:vAlign w:val="center"/>
          </w:tcPr>
          <w:p>
            <w:pPr>
              <w:pStyle w:val="Normal"/>
              <w:spacing w:lineRule="auto" w:line="240" w:before="0" w:after="0"/>
              <w:ind w:left="0" w:right="306"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Japan</w:t>
            </w:r>
          </w:p>
        </w:tc>
        <w:tc>
          <w:tcPr>
            <w:tcW w:w="1386" w:type="dxa"/>
            <w:tcBorders>
              <w:top w:val="single" w:sz="4" w:space="0" w:color="000000"/>
              <w:bottom w:val="single" w:sz="4" w:space="0" w:color="000000"/>
            </w:tcBorders>
            <w:vAlign w:val="center"/>
          </w:tcPr>
          <w:p>
            <w:pPr>
              <w:pStyle w:val="Normal"/>
              <w:spacing w:lineRule="auto" w:line="240" w:before="0" w:after="0"/>
              <w:ind w:left="0" w:right="0" w:hanging="0"/>
              <w:jc w:val="center"/>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Germany</w:t>
            </w:r>
          </w:p>
        </w:tc>
        <w:tc>
          <w:tcPr>
            <w:tcW w:w="1170" w:type="dxa"/>
            <w:tcBorders/>
            <w:vAlign w:val="center"/>
          </w:tcPr>
          <w:p>
            <w:pPr>
              <w:pStyle w:val="Normal"/>
              <w:spacing w:lineRule="auto" w:line="240" w:before="0" w:after="0"/>
              <w:ind w:left="0" w:right="0" w:hanging="0"/>
              <w:jc w:val="center"/>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France</w:t>
            </w:r>
          </w:p>
        </w:tc>
        <w:tc>
          <w:tcPr>
            <w:tcW w:w="1146" w:type="dxa"/>
            <w:tcBorders/>
            <w:vAlign w:val="center"/>
          </w:tcPr>
          <w:p>
            <w:pPr>
              <w:pStyle w:val="Normal"/>
              <w:spacing w:lineRule="auto" w:line="240" w:before="0" w:after="0"/>
              <w:ind w:left="0" w:right="360"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Italy</w:t>
            </w:r>
          </w:p>
        </w:tc>
        <w:tc>
          <w:tcPr>
            <w:tcW w:w="1195" w:type="dxa"/>
            <w:tcBorders/>
            <w:vAlign w:val="center"/>
          </w:tcPr>
          <w:p>
            <w:pPr>
              <w:pStyle w:val="Normal"/>
              <w:spacing w:lineRule="auto" w:line="240" w:before="0" w:after="0"/>
              <w:ind w:left="0" w:right="400"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U.K.</w:t>
            </w:r>
          </w:p>
        </w:tc>
        <w:tc>
          <w:tcPr>
            <w:tcW w:w="2443" w:type="dxa"/>
            <w:tcBorders/>
            <w:vAlign w:val="center"/>
          </w:tcPr>
          <w:p>
            <w:pPr>
              <w:pStyle w:val="Normal"/>
              <w:spacing w:lineRule="auto" w:line="240" w:before="0" w:after="0"/>
              <w:ind w:left="0" w:right="1317"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Canada</w:t>
            </w:r>
          </w:p>
        </w:tc>
      </w:tr>
      <w:tr>
        <w:trPr>
          <w:trHeight w:val="705" w:hRule="exact"/>
        </w:trPr>
        <w:tc>
          <w:tcPr>
            <w:tcW w:w="1332" w:type="dxa"/>
            <w:tcBorders>
              <w:top w:val="single" w:sz="4" w:space="0" w:color="000000"/>
            </w:tcBorders>
            <w:vAlign w:val="bottom"/>
          </w:tcPr>
          <w:p>
            <w:pPr>
              <w:pStyle w:val="Normal"/>
              <w:spacing w:lineRule="auto" w:line="240" w:before="288" w:after="0"/>
              <w:ind w:left="14"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U.S.</w:t>
            </w:r>
          </w:p>
        </w:tc>
        <w:tc>
          <w:tcPr>
            <w:tcW w:w="1368" w:type="dxa"/>
            <w:tcBorders>
              <w:top w:val="single" w:sz="4" w:space="0" w:color="000000"/>
            </w:tcBorders>
            <w:vAlign w:val="bottom"/>
          </w:tcPr>
          <w:p>
            <w:pPr>
              <w:pStyle w:val="Normal"/>
              <w:spacing w:lineRule="auto" w:line="240" w:before="288" w:after="0"/>
              <w:ind w:left="0" w:right="306"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-0.41</w:t>
            </w:r>
          </w:p>
        </w:tc>
        <w:tc>
          <w:tcPr>
            <w:tcW w:w="1386" w:type="dxa"/>
            <w:tcBorders>
              <w:top w:val="single" w:sz="4" w:space="0" w:color="000000"/>
            </w:tcBorders>
            <w:vAlign w:val="bottom"/>
          </w:tcPr>
          <w:p>
            <w:pPr>
              <w:pStyle w:val="Normal"/>
              <w:tabs>
                <w:tab w:val="clear" w:pos="720"/>
                <w:tab w:val="decimal" w:pos="648" w:leader="none"/>
              </w:tabs>
              <w:spacing w:lineRule="auto" w:line="240" w:before="288"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0.03</w:t>
            </w:r>
          </w:p>
        </w:tc>
        <w:tc>
          <w:tcPr>
            <w:tcW w:w="1170" w:type="dxa"/>
            <w:tcBorders/>
            <w:vAlign w:val="bottom"/>
          </w:tcPr>
          <w:p>
            <w:pPr>
              <w:pStyle w:val="Normal"/>
              <w:tabs>
                <w:tab w:val="clear" w:pos="720"/>
                <w:tab w:val="decimal" w:pos="502" w:leader="none"/>
              </w:tabs>
              <w:spacing w:lineRule="auto" w:line="240" w:before="288"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0.63</w:t>
            </w:r>
          </w:p>
        </w:tc>
        <w:tc>
          <w:tcPr>
            <w:tcW w:w="1146" w:type="dxa"/>
            <w:tcBorders/>
            <w:vAlign w:val="bottom"/>
          </w:tcPr>
          <w:p>
            <w:pPr>
              <w:pStyle w:val="Normal"/>
              <w:tabs>
                <w:tab w:val="clear" w:pos="720"/>
                <w:tab w:val="decimal" w:pos="488" w:leader="none"/>
              </w:tabs>
              <w:spacing w:lineRule="auto" w:line="240" w:before="288"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0.44</w:t>
            </w:r>
          </w:p>
        </w:tc>
        <w:tc>
          <w:tcPr>
            <w:tcW w:w="1195" w:type="dxa"/>
            <w:tcBorders/>
            <w:vAlign w:val="bottom"/>
          </w:tcPr>
          <w:p>
            <w:pPr>
              <w:pStyle w:val="Normal"/>
              <w:tabs>
                <w:tab w:val="clear" w:pos="720"/>
                <w:tab w:val="decimal" w:pos="584" w:leader="none"/>
              </w:tabs>
              <w:spacing w:lineRule="auto" w:line="240" w:before="288"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0.29</w:t>
            </w:r>
          </w:p>
        </w:tc>
        <w:tc>
          <w:tcPr>
            <w:tcW w:w="2443" w:type="dxa"/>
            <w:tcBorders/>
            <w:vAlign w:val="bottom"/>
          </w:tcPr>
          <w:p>
            <w:pPr>
              <w:pStyle w:val="Normal"/>
              <w:tabs>
                <w:tab w:val="clear" w:pos="720"/>
                <w:tab w:val="decimal" w:pos="549" w:leader="none"/>
              </w:tabs>
              <w:spacing w:lineRule="auto" w:line="240" w:before="288"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0.65</w:t>
            </w:r>
          </w:p>
        </w:tc>
      </w:tr>
      <w:tr>
        <w:trPr>
          <w:trHeight w:val="494" w:hRule="exact"/>
        </w:trPr>
        <w:tc>
          <w:tcPr>
            <w:tcW w:w="1332" w:type="dxa"/>
            <w:tcBorders/>
            <w:vAlign w:val="center"/>
          </w:tcPr>
          <w:p>
            <w:pPr>
              <w:pStyle w:val="Normal"/>
              <w:spacing w:lineRule="auto" w:line="240" w:before="0" w:after="0"/>
              <w:ind w:left="14"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Japan</w:t>
            </w:r>
          </w:p>
        </w:tc>
        <w:tc>
          <w:tcPr>
            <w:tcW w:w="1368" w:type="dxa"/>
            <w:tcBorders/>
            <w:vAlign w:val="center"/>
          </w:tcPr>
          <w:p>
            <w:pPr>
              <w:pStyle w:val="Normal"/>
              <w:spacing w:lineRule="auto" w:line="240" w:before="0" w:after="0"/>
              <w:ind w:left="0" w:right="306" w:hanging="0"/>
              <w:jc w:val="righ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1.00</w:t>
            </w:r>
          </w:p>
        </w:tc>
        <w:tc>
          <w:tcPr>
            <w:tcW w:w="1386" w:type="dxa"/>
            <w:tcBorders/>
            <w:vAlign w:val="center"/>
          </w:tcPr>
          <w:p>
            <w:pPr>
              <w:pStyle w:val="Normal"/>
              <w:tabs>
                <w:tab w:val="clear" w:pos="720"/>
                <w:tab w:val="decimal" w:pos="648"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0.83</w:t>
            </w:r>
          </w:p>
        </w:tc>
        <w:tc>
          <w:tcPr>
            <w:tcW w:w="1170" w:type="dxa"/>
            <w:tcBorders/>
            <w:vAlign w:val="center"/>
          </w:tcPr>
          <w:p>
            <w:pPr>
              <w:pStyle w:val="Normal"/>
              <w:tabs>
                <w:tab w:val="clear" w:pos="720"/>
                <w:tab w:val="decimal" w:pos="502"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0.22</w:t>
            </w:r>
          </w:p>
        </w:tc>
        <w:tc>
          <w:tcPr>
            <w:tcW w:w="1146" w:type="dxa"/>
            <w:tcBorders/>
            <w:vAlign w:val="center"/>
          </w:tcPr>
          <w:p>
            <w:pPr>
              <w:pStyle w:val="Normal"/>
              <w:tabs>
                <w:tab w:val="clear" w:pos="720"/>
                <w:tab w:val="decimal" w:pos="488"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0.55</w:t>
            </w:r>
          </w:p>
        </w:tc>
        <w:tc>
          <w:tcPr>
            <w:tcW w:w="1195" w:type="dxa"/>
            <w:tcBorders/>
            <w:vAlign w:val="center"/>
          </w:tcPr>
          <w:p>
            <w:pPr>
              <w:pStyle w:val="Normal"/>
              <w:tabs>
                <w:tab w:val="clear" w:pos="720"/>
                <w:tab w:val="decimal" w:pos="58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0.55</w:t>
            </w:r>
          </w:p>
        </w:tc>
        <w:tc>
          <w:tcPr>
            <w:tcW w:w="2443" w:type="dxa"/>
            <w:tcBorders/>
            <w:vAlign w:val="center"/>
          </w:tcPr>
          <w:p>
            <w:pPr>
              <w:pStyle w:val="Normal"/>
              <w:tabs>
                <w:tab w:val="clear" w:pos="720"/>
                <w:tab w:val="decimal" w:pos="549"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-0.80</w:t>
            </w:r>
          </w:p>
        </w:tc>
      </w:tr>
      <w:tr>
        <w:trPr>
          <w:trHeight w:val="486" w:hRule="exact"/>
        </w:trPr>
        <w:tc>
          <w:tcPr>
            <w:tcW w:w="1332" w:type="dxa"/>
            <w:tcBorders/>
            <w:vAlign w:val="center"/>
          </w:tcPr>
          <w:p>
            <w:pPr>
              <w:pStyle w:val="Normal"/>
              <w:spacing w:lineRule="auto" w:line="240" w:before="0" w:after="0"/>
              <w:ind w:left="14"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Germany</w:t>
            </w:r>
          </w:p>
        </w:tc>
        <w:tc>
          <w:tcPr>
            <w:tcW w:w="1368"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386" w:type="dxa"/>
            <w:tcBorders/>
            <w:vAlign w:val="center"/>
          </w:tcPr>
          <w:p>
            <w:pPr>
              <w:pStyle w:val="Normal"/>
              <w:tabs>
                <w:tab w:val="clear" w:pos="720"/>
                <w:tab w:val="decimal" w:pos="648"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1.00</w:t>
            </w:r>
          </w:p>
        </w:tc>
        <w:tc>
          <w:tcPr>
            <w:tcW w:w="1170" w:type="dxa"/>
            <w:tcBorders/>
            <w:vAlign w:val="center"/>
          </w:tcPr>
          <w:p>
            <w:pPr>
              <w:pStyle w:val="Normal"/>
              <w:tabs>
                <w:tab w:val="clear" w:pos="720"/>
                <w:tab w:val="decimal" w:pos="502"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0.53</w:t>
            </w:r>
          </w:p>
        </w:tc>
        <w:tc>
          <w:tcPr>
            <w:tcW w:w="1146" w:type="dxa"/>
            <w:tcBorders/>
            <w:vAlign w:val="center"/>
          </w:tcPr>
          <w:p>
            <w:pPr>
              <w:pStyle w:val="Normal"/>
              <w:tabs>
                <w:tab w:val="clear" w:pos="720"/>
                <w:tab w:val="decimal" w:pos="488"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0.75</w:t>
            </w:r>
          </w:p>
        </w:tc>
        <w:tc>
          <w:tcPr>
            <w:tcW w:w="1195" w:type="dxa"/>
            <w:tcBorders/>
            <w:vAlign w:val="center"/>
          </w:tcPr>
          <w:p>
            <w:pPr>
              <w:pStyle w:val="Normal"/>
              <w:tabs>
                <w:tab w:val="clear" w:pos="720"/>
                <w:tab w:val="decimal" w:pos="58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0.76</w:t>
            </w:r>
          </w:p>
        </w:tc>
        <w:tc>
          <w:tcPr>
            <w:tcW w:w="2443" w:type="dxa"/>
            <w:tcBorders/>
            <w:vAlign w:val="center"/>
          </w:tcPr>
          <w:p>
            <w:pPr>
              <w:pStyle w:val="Normal"/>
              <w:tabs>
                <w:tab w:val="clear" w:pos="720"/>
                <w:tab w:val="decimal" w:pos="549"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-0.58</w:t>
            </w:r>
          </w:p>
        </w:tc>
      </w:tr>
      <w:tr>
        <w:trPr>
          <w:trHeight w:val="493" w:hRule="exact"/>
        </w:trPr>
        <w:tc>
          <w:tcPr>
            <w:tcW w:w="1332" w:type="dxa"/>
            <w:tcBorders/>
            <w:vAlign w:val="center"/>
          </w:tcPr>
          <w:p>
            <w:pPr>
              <w:pStyle w:val="Normal"/>
              <w:spacing w:lineRule="auto" w:line="240" w:before="0" w:after="0"/>
              <w:ind w:left="14"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France</w:t>
            </w:r>
          </w:p>
        </w:tc>
        <w:tc>
          <w:tcPr>
            <w:tcW w:w="1368"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386"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170" w:type="dxa"/>
            <w:tcBorders/>
            <w:vAlign w:val="center"/>
          </w:tcPr>
          <w:p>
            <w:pPr>
              <w:pStyle w:val="Normal"/>
              <w:tabs>
                <w:tab w:val="clear" w:pos="720"/>
                <w:tab w:val="decimal" w:pos="502"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1.00</w:t>
            </w:r>
          </w:p>
        </w:tc>
        <w:tc>
          <w:tcPr>
            <w:tcW w:w="1146" w:type="dxa"/>
            <w:tcBorders/>
            <w:vAlign w:val="center"/>
          </w:tcPr>
          <w:p>
            <w:pPr>
              <w:pStyle w:val="Normal"/>
              <w:tabs>
                <w:tab w:val="clear" w:pos="720"/>
                <w:tab w:val="decimal" w:pos="488"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0.76</w:t>
            </w:r>
          </w:p>
        </w:tc>
        <w:tc>
          <w:tcPr>
            <w:tcW w:w="1195" w:type="dxa"/>
            <w:tcBorders/>
            <w:vAlign w:val="center"/>
          </w:tcPr>
          <w:p>
            <w:pPr>
              <w:pStyle w:val="Normal"/>
              <w:tabs>
                <w:tab w:val="clear" w:pos="720"/>
                <w:tab w:val="decimal" w:pos="58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0.50</w:t>
            </w:r>
          </w:p>
        </w:tc>
        <w:tc>
          <w:tcPr>
            <w:tcW w:w="2443" w:type="dxa"/>
            <w:tcBorders/>
            <w:vAlign w:val="center"/>
          </w:tcPr>
          <w:p>
            <w:pPr>
              <w:pStyle w:val="Normal"/>
              <w:tabs>
                <w:tab w:val="clear" w:pos="720"/>
                <w:tab w:val="decimal" w:pos="549"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0.12</w:t>
            </w:r>
          </w:p>
        </w:tc>
      </w:tr>
      <w:tr>
        <w:trPr>
          <w:trHeight w:val="500" w:hRule="exact"/>
        </w:trPr>
        <w:tc>
          <w:tcPr>
            <w:tcW w:w="1332" w:type="dxa"/>
            <w:tcBorders/>
            <w:vAlign w:val="center"/>
          </w:tcPr>
          <w:p>
            <w:pPr>
              <w:pStyle w:val="Normal"/>
              <w:spacing w:lineRule="auto" w:line="240" w:before="0" w:after="0"/>
              <w:ind w:left="14"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Italy</w:t>
            </w:r>
          </w:p>
        </w:tc>
        <w:tc>
          <w:tcPr>
            <w:tcW w:w="1368"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386"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170"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146" w:type="dxa"/>
            <w:tcBorders/>
            <w:vAlign w:val="center"/>
          </w:tcPr>
          <w:p>
            <w:pPr>
              <w:pStyle w:val="Normal"/>
              <w:tabs>
                <w:tab w:val="clear" w:pos="720"/>
                <w:tab w:val="decimal" w:pos="488"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1.00</w:t>
            </w:r>
          </w:p>
        </w:tc>
        <w:tc>
          <w:tcPr>
            <w:tcW w:w="1195" w:type="dxa"/>
            <w:tcBorders/>
            <w:vAlign w:val="center"/>
          </w:tcPr>
          <w:p>
            <w:pPr>
              <w:pStyle w:val="Normal"/>
              <w:tabs>
                <w:tab w:val="clear" w:pos="720"/>
                <w:tab w:val="decimal" w:pos="58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0.69</w:t>
            </w:r>
          </w:p>
        </w:tc>
        <w:tc>
          <w:tcPr>
            <w:tcW w:w="2443" w:type="dxa"/>
            <w:tcBorders/>
            <w:vAlign w:val="center"/>
          </w:tcPr>
          <w:p>
            <w:pPr>
              <w:pStyle w:val="Normal"/>
              <w:tabs>
                <w:tab w:val="clear" w:pos="720"/>
                <w:tab w:val="decimal" w:pos="549"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-0.09</w:t>
            </w:r>
          </w:p>
        </w:tc>
      </w:tr>
      <w:tr>
        <w:trPr>
          <w:trHeight w:val="398" w:hRule="exact"/>
        </w:trPr>
        <w:tc>
          <w:tcPr>
            <w:tcW w:w="1332" w:type="dxa"/>
            <w:tcBorders/>
            <w:vAlign w:val="center"/>
          </w:tcPr>
          <w:p>
            <w:pPr>
              <w:pStyle w:val="Normal"/>
              <w:spacing w:lineRule="auto" w:line="240" w:before="0" w:after="0"/>
              <w:ind w:left="14"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U.K.</w:t>
            </w:r>
          </w:p>
        </w:tc>
        <w:tc>
          <w:tcPr>
            <w:tcW w:w="1368"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386"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170"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146" w:type="dxa"/>
            <w:tcBorders/>
          </w:tcPr>
          <w:p>
            <w:pPr>
              <w:pStyle w:val="Normal"/>
              <w:spacing w:lineRule="auto" w:line="240" w:before="0" w:after="0"/>
              <w:ind w:left="0" w:right="0" w:hanging="0"/>
              <w:jc w:val="left"/>
              <w:rPr>
                <w:rFonts w:ascii="Tahoma" w:hAnsi="Tahoma"/>
                <w:strike w:val="false"/>
                <w:dstrike w:val="false"/>
                <w:color w:val="000000"/>
                <w:spacing w:val="0"/>
                <w:w w:val="100"/>
                <w:position w:val="0"/>
                <w:sz w:val="20"/>
                <w:sz w:val="20"/>
                <w:vertAlign w:val="baseline"/>
                <w:lang w:val="en-US"/>
              </w:rPr>
            </w:pPr>
            <w:r>
              <w:rPr>
                <w:rFonts w:ascii="Tahoma" w:hAnsi="Tahoma"/>
                <w:strike w:val="false"/>
                <w:dstrike w:val="false"/>
                <w:color w:val="000000"/>
                <w:spacing w:val="0"/>
                <w:w w:val="100"/>
                <w:position w:val="0"/>
                <w:sz w:val="20"/>
                <w:sz w:val="20"/>
                <w:vertAlign w:val="baseline"/>
                <w:lang w:val="en-US"/>
              </w:rPr>
            </w:r>
          </w:p>
        </w:tc>
        <w:tc>
          <w:tcPr>
            <w:tcW w:w="1195" w:type="dxa"/>
            <w:tcBorders/>
            <w:vAlign w:val="center"/>
          </w:tcPr>
          <w:p>
            <w:pPr>
              <w:pStyle w:val="Normal"/>
              <w:tabs>
                <w:tab w:val="clear" w:pos="720"/>
                <w:tab w:val="decimal" w:pos="584"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1.00</w:t>
            </w:r>
          </w:p>
        </w:tc>
        <w:tc>
          <w:tcPr>
            <w:tcW w:w="2443" w:type="dxa"/>
            <w:tcBorders/>
            <w:vAlign w:val="center"/>
          </w:tcPr>
          <w:p>
            <w:pPr>
              <w:pStyle w:val="Normal"/>
              <w:tabs>
                <w:tab w:val="clear" w:pos="720"/>
                <w:tab w:val="decimal" w:pos="549" w:leader="none"/>
              </w:tabs>
              <w:spacing w:lineRule="auto" w:line="240" w:before="0" w:after="0"/>
              <w:ind w:left="0" w:right="0" w:hanging="0"/>
              <w:jc w:val="left"/>
              <w:rPr>
                <w:rFonts w:ascii="Tahoma" w:hAnsi="Tahoma"/>
                <w:b/>
                <w:b/>
                <w:strike w:val="false"/>
                <w:dstrike w:val="false"/>
                <w:color w:val="000000"/>
                <w:spacing w:val="0"/>
                <w:w w:val="100"/>
                <w:position w:val="0"/>
                <w:sz w:val="22"/>
                <w:sz w:val="19"/>
                <w:vertAlign w:val="baseline"/>
                <w:lang w:val="en-US"/>
              </w:rPr>
            </w:pPr>
            <w:r>
              <w:rPr>
                <w:rFonts w:ascii="Tahoma" w:hAnsi="Tahoma"/>
                <w:b/>
                <w:strike w:val="false"/>
                <w:dstrike w:val="false"/>
                <w:color w:val="000000"/>
                <w:spacing w:val="0"/>
                <w:w w:val="100"/>
                <w:position w:val="0"/>
                <w:sz w:val="19"/>
                <w:sz w:val="19"/>
                <w:vertAlign w:val="baseline"/>
                <w:lang w:val="en-US"/>
              </w:rPr>
              <w:t>-0.33</w:t>
            </w:r>
          </w:p>
        </w:tc>
      </w:tr>
    </w:tbl>
    <w:p>
      <w:pPr>
        <w:pStyle w:val="Normal"/>
        <w:spacing w:lineRule="exact" w:line="20" w:before="0" w:after="304"/>
        <w:rPr/>
      </w:pPr>
      <w:r>
        <w:rPr/>
      </w:r>
    </w:p>
    <w:p>
      <w:pPr>
        <w:sectPr>
          <w:type w:val="nextPage"/>
          <w:pgSz w:w="12240" w:h="15840"/>
          <w:pgMar w:left="3852" w:right="3788" w:header="0" w:top="5748" w:footer="0" w:bottom="6622" w:gutter="0"/>
          <w:pgNumType w:fmt="decimal"/>
          <w:formProt w:val="false"/>
          <w:textDirection w:val="lrTb"/>
          <w:docGrid w:type="default" w:linePitch="100" w:charSpace="4096"/>
        </w:sectPr>
        <w:pStyle w:val="Normal"/>
        <w:spacing w:lineRule="auto" w:line="240" w:before="108" w:after="0"/>
        <w:ind w:left="0" w:right="216" w:hanging="0"/>
        <w:jc w:val="left"/>
        <w:rPr>
          <w:rFonts w:ascii="Tahoma" w:hAnsi="Tahoma"/>
          <w:b/>
          <w:b/>
          <w:strike w:val="false"/>
          <w:dstrike w:val="false"/>
          <w:color w:val="000000"/>
          <w:spacing w:val="2"/>
          <w:w w:val="100"/>
          <w:position w:val="0"/>
          <w:sz w:val="22"/>
          <w:sz w:val="19"/>
          <w:vertAlign w:val="baseline"/>
          <w:lang w:val="en-US"/>
        </w:rPr>
      </w:pPr>
      <w:r>
        <mc:AlternateContent>
          <mc:Choice Requires="wps">
            <w:drawing>
              <wp:anchor behindDoc="0" distT="0" distB="0" distL="114300" distR="114300" simplePos="0" locked="0" layoutInCell="1" allowOverlap="1" relativeHeight="31">
                <wp:simplePos x="0" y="0"/>
                <wp:positionH relativeFrom="column">
                  <wp:posOffset>1163320</wp:posOffset>
                </wp:positionH>
                <wp:positionV relativeFrom="paragraph">
                  <wp:posOffset>7620</wp:posOffset>
                </wp:positionV>
                <wp:extent cx="3552825" cy="1270"/>
                <wp:effectExtent l="0" t="0" r="0" b="0"/>
                <wp:wrapNone/>
                <wp:docPr id="30" name=""/>
                <a:graphic xmlns:a="http://schemas.openxmlformats.org/drawingml/2006/main">
                  <a:graphicData uri="http://schemas.microsoft.com/office/word/2010/wordprocessingShape">
                    <wps:wsp>
                      <wps:cNvSpPr/>
                      <wps:spPr>
                        <a:xfrm>
                          <a:off x="0" y="0"/>
                          <a:ext cx="5062320" cy="0"/>
                        </a:xfrm>
                        <a:prstGeom prst="line">
                          <a:avLst/>
                        </a:prstGeom>
                        <a:ln w="14040">
                          <a:solidFill>
                            <a:srgbClr val="000000"/>
                          </a:solidFill>
                          <a:prstDash val="dash"/>
                          <a:round/>
                        </a:ln>
                      </wps:spPr>
                      <wps:style>
                        <a:lnRef idx="0"/>
                        <a:fillRef idx="0"/>
                        <a:effectRef idx="0"/>
                        <a:fontRef idx="minor"/>
                      </wps:style>
                      <wps:bodyPr/>
                    </wps:wsp>
                  </a:graphicData>
                </a:graphic>
              </wp:anchor>
            </w:drawing>
          </mc:Choice>
          <mc:Fallback>
            <w:pict>
              <v:line id="shape_0" from="91.6pt,0.6pt" to="490.15pt,0.6pt" stroked="t" style="position:absolute">
                <v:stroke color="black" weight="14040" dashstyle="dash" joinstyle="round" endcap="flat"/>
                <v:fill o:detectmouseclick="t" on="false"/>
              </v:line>
            </w:pict>
          </mc:Fallback>
        </mc:AlternateContent>
      </w:r>
      <w:r>
        <w:rPr>
          <w:rFonts w:ascii="Tahoma" w:hAnsi="Tahoma"/>
          <w:b/>
          <w:strike w:val="false"/>
          <w:dstrike w:val="false"/>
          <w:color w:val="000000"/>
          <w:spacing w:val="2"/>
          <w:w w:val="100"/>
          <w:position w:val="0"/>
          <w:sz w:val="19"/>
          <w:sz w:val="19"/>
          <w:vertAlign w:val="baseline"/>
          <w:lang w:val="en-US"/>
        </w:rPr>
        <w:t>S</w:t>
      </w:r>
      <w:r>
        <w:rPr>
          <w:rFonts w:ascii="Tahoma" w:hAnsi="Tahoma"/>
          <w:b/>
          <w:strike w:val="false"/>
          <w:dstrike w:val="false"/>
          <w:color w:val="000000"/>
          <w:spacing w:val="2"/>
          <w:w w:val="100"/>
          <w:position w:val="0"/>
          <w:sz w:val="19"/>
          <w:sz w:val="19"/>
          <w:vertAlign w:val="baseline"/>
          <w:lang w:val="en-US"/>
        </w:rPr>
        <w:t xml:space="preserve">ource: All correlations are based on rates of return reported in Table 6. Correlations are estimated </w:t>
      </w:r>
      <w:r>
        <w:rPr>
          <w:rFonts w:ascii="Tahoma" w:hAnsi="Tahoma"/>
          <w:b/>
          <w:strike w:val="false"/>
          <w:dstrike w:val="false"/>
          <w:color w:val="000000"/>
          <w:spacing w:val="5"/>
          <w:w w:val="100"/>
          <w:position w:val="0"/>
          <w:sz w:val="19"/>
          <w:sz w:val="19"/>
          <w:vertAlign w:val="baseline"/>
          <w:lang w:val="en-US"/>
        </w:rPr>
        <w:t>for the period 1966-1996. Underlying data is drawn from the OECD Business Sector Data Base.</w:t>
      </w:r>
    </w:p>
    <w:p>
      <w:pPr>
        <w:pStyle w:val="Normal"/>
        <w:spacing w:lineRule="exact" w:line="334"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39 </w:t>
        <w:br/>
      </w:r>
      <w:r>
        <w:rPr>
          <w:rFonts w:ascii="Arial" w:hAnsi="Arial"/>
          <w:b/>
          <w:strike w:val="false"/>
          <w:dstrike w:val="false"/>
          <w:color w:val="000000"/>
          <w:spacing w:val="6"/>
          <w:w w:val="100"/>
          <w:position w:val="0"/>
          <w:sz w:val="20"/>
          <w:sz w:val="20"/>
          <w:vertAlign w:val="baseline"/>
          <w:lang w:val="en-US"/>
        </w:rPr>
        <w:t>Table 8: Labor Shares of Business Sector Output, G-7 Nations, 1966-1995</w:t>
      </w:r>
    </w:p>
    <w:p>
      <w:pPr>
        <w:pStyle w:val="Normal"/>
        <w:spacing w:lineRule="exact" w:line="20" w:before="52" w:after="0"/>
        <w:rPr/>
      </w:pPr>
      <w:r>
        <w:rPr/>
        <mc:AlternateContent>
          <mc:Choice Requires="wps">
            <w:drawing>
              <wp:anchor behindDoc="0" distT="0" distB="0" distL="114300" distR="114300" simplePos="0" locked="0" layoutInCell="1" allowOverlap="1" relativeHeight="32">
                <wp:simplePos x="0" y="0"/>
                <wp:positionH relativeFrom="column">
                  <wp:posOffset>5889625</wp:posOffset>
                </wp:positionH>
                <wp:positionV relativeFrom="paragraph">
                  <wp:posOffset>63500</wp:posOffset>
                </wp:positionV>
                <wp:extent cx="280035" cy="1270"/>
                <wp:effectExtent l="0" t="0" r="0" b="0"/>
                <wp:wrapNone/>
                <wp:docPr id="31" name=""/>
                <a:graphic xmlns:a="http://schemas.openxmlformats.org/drawingml/2006/main">
                  <a:graphicData uri="http://schemas.microsoft.com/office/word/2010/wordprocessingShape">
                    <wps:wsp>
                      <wps:cNvSpPr/>
                      <wps:spPr>
                        <a:xfrm>
                          <a:off x="0" y="0"/>
                          <a:ext cx="398160" cy="0"/>
                        </a:xfrm>
                        <a:prstGeom prst="line">
                          <a:avLst/>
                        </a:prstGeom>
                        <a:ln w="14040">
                          <a:solidFill>
                            <a:srgbClr val="000000"/>
                          </a:solidFill>
                          <a:prstDash val="dash"/>
                          <a:round/>
                        </a:ln>
                      </wps:spPr>
                      <wps:style>
                        <a:lnRef idx="0"/>
                        <a:fillRef idx="0"/>
                        <a:effectRef idx="0"/>
                        <a:fontRef idx="minor"/>
                      </wps:style>
                      <wps:bodyPr/>
                    </wps:wsp>
                  </a:graphicData>
                </a:graphic>
              </wp:anchor>
            </w:drawing>
          </mc:Choice>
          <mc:Fallback>
            <w:pict>
              <v:line id="shape_0" from="463.75pt,5pt" to="495.05pt,5pt" stroked="t" style="position:absolute">
                <v:stroke color="black" weight="14040" dashstyle="dash" joinstyle="round" endcap="flat"/>
                <v:fill o:detectmouseclick="t" on="false"/>
              </v:line>
            </w:pict>
          </mc:Fallback>
        </mc:AlternateContent>
      </w:r>
    </w:p>
    <w:tbl>
      <w:tblPr>
        <w:tblW w:w="9933" w:type="dxa"/>
        <w:jc w:val="left"/>
        <w:tblInd w:w="108" w:type="dxa"/>
        <w:tblCellMar>
          <w:top w:w="0" w:type="dxa"/>
          <w:left w:w="0" w:type="dxa"/>
          <w:bottom w:w="0" w:type="dxa"/>
          <w:right w:w="0" w:type="dxa"/>
        </w:tblCellMar>
      </w:tblPr>
      <w:tblGrid>
        <w:gridCol w:w="1010"/>
        <w:gridCol w:w="712"/>
        <w:gridCol w:w="1016"/>
        <w:gridCol w:w="981"/>
        <w:gridCol w:w="793"/>
        <w:gridCol w:w="1073"/>
        <w:gridCol w:w="1109"/>
        <w:gridCol w:w="1146"/>
        <w:gridCol w:w="2092"/>
      </w:tblGrid>
      <w:tr>
        <w:trPr>
          <w:trHeight w:val="510" w:hRule="exact"/>
        </w:trPr>
        <w:tc>
          <w:tcPr>
            <w:tcW w:w="1010"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712" w:type="dxa"/>
            <w:tcBorders>
              <w:bottom w:val="single" w:sz="6" w:space="0" w:color="000000"/>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U.S.</w:t>
            </w:r>
          </w:p>
        </w:tc>
        <w:tc>
          <w:tcPr>
            <w:tcW w:w="1016" w:type="dxa"/>
            <w:tcBorders>
              <w:bottom w:val="single" w:sz="6" w:space="0" w:color="000000"/>
            </w:tcBorders>
            <w:vAlign w:val="center"/>
          </w:tcPr>
          <w:p>
            <w:pPr>
              <w:pStyle w:val="Normal"/>
              <w:spacing w:lineRule="auto" w:line="240" w:before="0" w:after="0"/>
              <w:ind w:left="0" w:right="0"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Germany</w:t>
            </w:r>
          </w:p>
        </w:tc>
        <w:tc>
          <w:tcPr>
            <w:tcW w:w="981" w:type="dxa"/>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France</w:t>
            </w:r>
          </w:p>
        </w:tc>
        <w:tc>
          <w:tcPr>
            <w:tcW w:w="793" w:type="dxa"/>
            <w:tcBorders/>
            <w:vAlign w:val="center"/>
          </w:tcPr>
          <w:p>
            <w:pPr>
              <w:pStyle w:val="Normal"/>
              <w:spacing w:lineRule="auto" w:line="240" w:before="0" w:after="0"/>
              <w:ind w:left="0" w:right="180"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Italy</w:t>
            </w:r>
          </w:p>
        </w:tc>
        <w:tc>
          <w:tcPr>
            <w:tcW w:w="1073" w:type="dxa"/>
            <w:tcBorders/>
            <w:vAlign w:val="center"/>
          </w:tcPr>
          <w:p>
            <w:pPr>
              <w:pStyle w:val="Normal"/>
              <w:spacing w:lineRule="auto" w:line="240"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Canada</w:t>
            </w:r>
          </w:p>
        </w:tc>
        <w:tc>
          <w:tcPr>
            <w:tcW w:w="1109" w:type="dxa"/>
            <w:tcBorders/>
            <w:vAlign w:val="center"/>
          </w:tcPr>
          <w:p>
            <w:pPr>
              <w:pStyle w:val="Normal"/>
              <w:spacing w:lineRule="auto" w:line="240" w:before="0" w:after="0"/>
              <w:ind w:left="0" w:right="461"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U.K.</w:t>
            </w:r>
          </w:p>
        </w:tc>
        <w:tc>
          <w:tcPr>
            <w:tcW w:w="1146" w:type="dxa"/>
            <w:tcBorders/>
            <w:vAlign w:val="center"/>
          </w:tcPr>
          <w:p>
            <w:pPr>
              <w:pStyle w:val="Normal"/>
              <w:spacing w:lineRule="auto" w:line="240" w:before="0" w:after="0"/>
              <w:ind w:left="0" w:right="112"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Japan</w:t>
            </w:r>
          </w:p>
        </w:tc>
        <w:tc>
          <w:tcPr>
            <w:tcW w:w="2092" w:type="dxa"/>
            <w:tcBorders/>
            <w:vAlign w:val="center"/>
          </w:tcPr>
          <w:p>
            <w:pPr>
              <w:pStyle w:val="Normal"/>
              <w:spacing w:lineRule="auto" w:line="240" w:before="0" w:after="0"/>
              <w:ind w:left="0" w:right="765"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G-7 Average</w:t>
            </w:r>
          </w:p>
        </w:tc>
      </w:tr>
      <w:tr>
        <w:trPr>
          <w:trHeight w:val="360"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w:t>
            </w:r>
          </w:p>
        </w:tc>
        <w:tc>
          <w:tcPr>
            <w:tcW w:w="712" w:type="dxa"/>
            <w:tcBorders>
              <w:top w:val="single" w:sz="6" w:space="0" w:color="000000"/>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66.8</w:t>
            </w:r>
          </w:p>
        </w:tc>
        <w:tc>
          <w:tcPr>
            <w:tcW w:w="1016" w:type="dxa"/>
            <w:tcBorders>
              <w:top w:val="single" w:sz="6" w:space="0" w:color="000000"/>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63.6</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71.2</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62.9</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69.3</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69.8</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59.0</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66.1</w:t>
            </w:r>
          </w:p>
        </w:tc>
      </w:tr>
      <w:tr>
        <w:trPr>
          <w:trHeight w:val="249"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1967</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66.6</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62.9</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68.3</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63.0</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71.4</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69.4</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57.8</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65.6</w:t>
            </w:r>
          </w:p>
        </w:tc>
      </w:tr>
      <w:tr>
        <w:trPr>
          <w:trHeight w:val="241"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1968</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67.2</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61.4</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69.0</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61.9</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69.9</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69.0</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56.7</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65.0</w:t>
            </w:r>
          </w:p>
        </w:tc>
      </w:tr>
      <w:tr>
        <w:trPr>
          <w:trHeight w:val="241"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1969</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68.7</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62.2</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68.2</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60.4</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70.8</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69.8</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56.6</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65.2</w:t>
            </w:r>
          </w:p>
        </w:tc>
      </w:tr>
      <w:tr>
        <w:trPr>
          <w:trHeight w:val="249"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69.7</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64.1</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67.6</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62.9</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65.8</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71.4</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57.4</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65.5</w:t>
            </w:r>
          </w:p>
        </w:tc>
      </w:tr>
      <w:tr>
        <w:trPr>
          <w:trHeight w:val="241"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1971</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68.2</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64.7</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67.8</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65.0</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66.0</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69.2</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61.4</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66.0</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1972</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67.9</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65.1</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67.1</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64.6</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65.9</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68.8</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62.0</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65.9</w:t>
            </w:r>
          </w:p>
        </w:tc>
      </w:tr>
      <w:tr>
        <w:trPr>
          <w:trHeight w:val="241"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1973</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67.8</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66.0</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66.6</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64.3</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63.5</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68.8</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63.8</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65.8</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1974</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69.2</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67.7</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68.0</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64.0</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63.1</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71.3</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67.1</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67.2</w:t>
            </w:r>
          </w:p>
        </w:tc>
      </w:tr>
      <w:tr>
        <w:trPr>
          <w:trHeight w:val="248"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1975</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67.2</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67.4</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71.4</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68.0</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64.0</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73.9</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70.3</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68.9</w:t>
            </w:r>
          </w:p>
        </w:tc>
      </w:tr>
      <w:tr>
        <w:trPr>
          <w:trHeight w:val="248"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1976</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66.9</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66.4</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71.2</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66.7</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64.7</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71.0</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70.5</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68.2</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1977</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66.6</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66.7</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70.7</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67.0</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65.5</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68.0</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71.0</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67.9</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1978</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66.5</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66.3</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70.1</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66.1</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63.9</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67.5</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69.7</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67.2</w:t>
            </w:r>
          </w:p>
        </w:tc>
      </w:tr>
      <w:tr>
        <w:trPr>
          <w:trHeight w:val="248"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1979</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66.8</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66.5</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70.0</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65.1</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62.2</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68.7</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69.6</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67.0</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67.9</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68.7</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71.7</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64.6</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62.0</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70.9</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69.1</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67.8</w:t>
            </w:r>
          </w:p>
        </w:tc>
      </w:tr>
      <w:tr>
        <w:trPr>
          <w:trHeight w:val="249"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1981</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67.3</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69.1</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71.8</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65.4</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63.4</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71.1</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69.7</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68.3</w:t>
            </w:r>
          </w:p>
        </w:tc>
      </w:tr>
      <w:tr>
        <w:trPr>
          <w:trHeight w:val="241"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1982</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68.4</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68.7</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71.5</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65.2</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64.7</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69.3</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70.2</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68.3</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1983</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66.7</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66.5</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70.8</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65.9</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61.9</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67.7</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70.4</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67.1</w:t>
            </w:r>
          </w:p>
        </w:tc>
      </w:tr>
      <w:tr>
        <w:trPr>
          <w:trHeight w:val="244"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1984</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66.0</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65.5</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69.3</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64.3</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60.6</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68.1</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69.5</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66.2</w:t>
            </w:r>
          </w:p>
        </w:tc>
      </w:tr>
      <w:tr>
        <w:trPr>
          <w:trHeight w:val="242"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1985</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65.9</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65.0</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68.0</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63.8</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61.2</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67.8</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68.1</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65.7</w:t>
            </w:r>
          </w:p>
        </w:tc>
      </w:tr>
      <w:tr>
        <w:trPr>
          <w:trHeight w:val="244"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1986</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65.9</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64.3</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65.1</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61.9</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62.2</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69.0</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67.1</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65.1</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1987</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66.6</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64.7</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64.5</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61.8</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62.3</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68.5</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67.2</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65.1</w:t>
            </w:r>
          </w:p>
        </w:tc>
      </w:tr>
      <w:tr>
        <w:trPr>
          <w:trHeight w:val="249"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1988</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66.8</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63.7</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63.1</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61.2</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62.6</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69.2</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66.0</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64.7</w:t>
            </w:r>
          </w:p>
        </w:tc>
      </w:tr>
      <w:tr>
        <w:trPr>
          <w:trHeight w:val="244"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1989</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65.5</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62.9</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62.0</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61.4</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63.1</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70.5</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65.5</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64.4</w:t>
            </w:r>
          </w:p>
        </w:tc>
      </w:tr>
      <w:tr>
        <w:trPr>
          <w:trHeight w:val="249"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66.0</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62.0</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62.4</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62.2</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64.6</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72.0</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65.2</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64.9</w:t>
            </w:r>
          </w:p>
        </w:tc>
      </w:tr>
      <w:tr>
        <w:trPr>
          <w:trHeight w:val="241"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1991</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66.5</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64.1</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62.1</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63.1</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66.1</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73.2</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64.9</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65.7</w:t>
            </w:r>
          </w:p>
        </w:tc>
      </w:tr>
      <w:tr>
        <w:trPr>
          <w:trHeight w:val="248"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1992</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66.2</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64.8</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61.9</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63.0</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66.8</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71.9</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64.9</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65.6</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1993</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66.1</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64.7</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62.2</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61.8</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66.4</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69.9</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64.8</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65.1</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1994</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65.9</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63.3</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60.6</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58.6</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65.3</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69.2</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65.6</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64.1</w:t>
            </w:r>
          </w:p>
        </w:tc>
      </w:tr>
      <w:tr>
        <w:trPr>
          <w:trHeight w:val="367" w:hRule="exact"/>
        </w:trPr>
        <w:tc>
          <w:tcPr>
            <w:tcW w:w="1010" w:type="dxa"/>
            <w:tcBorders/>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1995</w:t>
            </w:r>
          </w:p>
        </w:tc>
        <w:tc>
          <w:tcPr>
            <w:tcW w:w="712" w:type="dxa"/>
            <w:tcBorders/>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66.3</w:t>
            </w:r>
          </w:p>
        </w:tc>
        <w:tc>
          <w:tcPr>
            <w:tcW w:w="1016" w:type="dxa"/>
            <w:tcBorders/>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62.2</w:t>
            </w:r>
          </w:p>
        </w:tc>
        <w:tc>
          <w:tcPr>
            <w:tcW w:w="981" w:type="dxa"/>
            <w:tcBorders/>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60.3</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57.1</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64.6</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69.2</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66.3</w:t>
            </w:r>
          </w:p>
        </w:tc>
        <w:tc>
          <w:tcPr>
            <w:tcW w:w="2092" w:type="dxa"/>
            <w:tcBorders/>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63.7</w:t>
            </w:r>
          </w:p>
        </w:tc>
      </w:tr>
      <w:tr>
        <w:trPr>
          <w:trHeight w:val="331" w:hRule="exact"/>
        </w:trPr>
        <w:tc>
          <w:tcPr>
            <w:tcW w:w="1010" w:type="dxa"/>
            <w:tcBorders>
              <w:bottom w:val="single" w:sz="6" w:space="0" w:color="000000"/>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Averages</w:t>
            </w:r>
          </w:p>
        </w:tc>
        <w:tc>
          <w:tcPr>
            <w:tcW w:w="712"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016"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981"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793"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073"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109"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146"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2092"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r>
      <w:tr>
        <w:trPr>
          <w:trHeight w:val="281" w:hRule="exact"/>
        </w:trPr>
        <w:tc>
          <w:tcPr>
            <w:tcW w:w="1010" w:type="dxa"/>
            <w:tcBorders>
              <w:top w:val="single" w:sz="6" w:space="0" w:color="000000"/>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1966-95</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67.0</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75.0</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67.1</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63.4</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64.8</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69.8</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65.6</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66.1</w:t>
            </w:r>
          </w:p>
        </w:tc>
      </w:tr>
      <w:tr>
        <w:trPr>
          <w:trHeight w:val="249"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1960-69</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67.3</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62.5</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69.2</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62.0</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70.3</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69.5</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57.5</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65.5</w:t>
            </w:r>
          </w:p>
        </w:tc>
      </w:tr>
      <w:tr>
        <w:trPr>
          <w:trHeight w:val="248"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1970-79</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67.7</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66.1</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69.0</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65.4</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64.5</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69.9</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66.3</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67.0</w:t>
            </w:r>
          </w:p>
        </w:tc>
      </w:tr>
      <w:tr>
        <w:trPr>
          <w:trHeight w:val="248"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1980-89</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66.7</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65.9</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67.8</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63.5</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62.4</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69.2</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68.3</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66.3</w:t>
            </w:r>
          </w:p>
        </w:tc>
      </w:tr>
      <w:tr>
        <w:trPr>
          <w:trHeight w:val="245"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1990-95</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66.2</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63.5</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61.6</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61.0</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65.6</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70.9</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65.3</w:t>
            </w:r>
          </w:p>
        </w:tc>
        <w:tc>
          <w:tcPr>
            <w:tcW w:w="2092" w:type="dxa"/>
            <w:tcBorders/>
            <w:vAlign w:val="center"/>
          </w:tcPr>
          <w:p>
            <w:pPr>
              <w:pStyle w:val="Normal"/>
              <w:tabs>
                <w:tab w:val="clear" w:pos="720"/>
                <w:tab w:val="decimal" w:pos="4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64.9</w:t>
            </w:r>
          </w:p>
        </w:tc>
      </w:tr>
      <w:tr>
        <w:trPr>
          <w:trHeight w:val="290" w:hRule="exact"/>
        </w:trPr>
        <w:tc>
          <w:tcPr>
            <w:tcW w:w="1010" w:type="dxa"/>
            <w:tcBorders/>
            <w:vAlign w:val="center"/>
          </w:tcPr>
          <w:p>
            <w:pPr>
              <w:pStyle w:val="Normal"/>
              <w:spacing w:lineRule="auto" w:line="240" w:before="0" w:after="0"/>
              <w:ind w:left="2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S.D.(A)</w:t>
            </w:r>
          </w:p>
        </w:tc>
        <w:tc>
          <w:tcPr>
            <w:tcW w:w="712" w:type="dxa"/>
            <w:tcBorders/>
            <w:vAlign w:val="center"/>
          </w:tcPr>
          <w:p>
            <w:pPr>
              <w:pStyle w:val="Normal"/>
              <w:tabs>
                <w:tab w:val="clear" w:pos="720"/>
                <w:tab w:val="decimal" w:pos="36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0.9</w:t>
            </w:r>
          </w:p>
        </w:tc>
        <w:tc>
          <w:tcPr>
            <w:tcW w:w="1016" w:type="dxa"/>
            <w:tcBorders/>
            <w:vAlign w:val="center"/>
          </w:tcPr>
          <w:p>
            <w:pPr>
              <w:pStyle w:val="Normal"/>
              <w:tabs>
                <w:tab w:val="clear" w:pos="720"/>
                <w:tab w:val="decimal" w:pos="623"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w:t>
            </w:r>
          </w:p>
        </w:tc>
        <w:tc>
          <w:tcPr>
            <w:tcW w:w="981" w:type="dxa"/>
            <w:tcBorders/>
            <w:vAlign w:val="center"/>
          </w:tcPr>
          <w:p>
            <w:pPr>
              <w:pStyle w:val="Normal"/>
              <w:tabs>
                <w:tab w:val="clear" w:pos="720"/>
                <w:tab w:val="decimal" w:pos="52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w:t>
            </w:r>
          </w:p>
        </w:tc>
        <w:tc>
          <w:tcPr>
            <w:tcW w:w="793" w:type="dxa"/>
            <w:tcBorders/>
            <w:vAlign w:val="center"/>
          </w:tcPr>
          <w:p>
            <w:pPr>
              <w:pStyle w:val="Normal"/>
              <w:tabs>
                <w:tab w:val="clear" w:pos="720"/>
                <w:tab w:val="decimal" w:pos="445"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w:t>
            </w:r>
          </w:p>
        </w:tc>
        <w:tc>
          <w:tcPr>
            <w:tcW w:w="1073" w:type="dxa"/>
            <w:tcBorders/>
            <w:vAlign w:val="center"/>
          </w:tcPr>
          <w:p>
            <w:pPr>
              <w:pStyle w:val="Normal"/>
              <w:tabs>
                <w:tab w:val="clear" w:pos="720"/>
                <w:tab w:val="decimal" w:pos="640"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w:t>
            </w:r>
          </w:p>
        </w:tc>
        <w:tc>
          <w:tcPr>
            <w:tcW w:w="1109" w:type="dxa"/>
            <w:tcBorders/>
            <w:vAlign w:val="center"/>
          </w:tcPr>
          <w:p>
            <w:pPr>
              <w:pStyle w:val="Normal"/>
              <w:tabs>
                <w:tab w:val="clear" w:pos="720"/>
                <w:tab w:val="decimal" w:pos="47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w:t>
            </w:r>
          </w:p>
        </w:tc>
        <w:tc>
          <w:tcPr>
            <w:tcW w:w="1146" w:type="dxa"/>
            <w:tcBorders/>
            <w:vAlign w:val="center"/>
          </w:tcPr>
          <w:p>
            <w:pPr>
              <w:pStyle w:val="Normal"/>
              <w:tabs>
                <w:tab w:val="clear" w:pos="720"/>
                <w:tab w:val="decimal" w:pos="808"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w:t>
            </w:r>
          </w:p>
        </w:tc>
        <w:tc>
          <w:tcPr>
            <w:tcW w:w="2092"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r>
    </w:tbl>
    <w:p>
      <w:pPr>
        <w:pStyle w:val="Normal"/>
        <w:spacing w:lineRule="exact" w:line="20" w:before="0" w:after="304"/>
        <w:rPr/>
      </w:pPr>
      <w:r>
        <w:rPr/>
      </w:r>
    </w:p>
    <w:p>
      <w:pPr>
        <w:sectPr>
          <w:type w:val="nextPage"/>
          <w:pgSz w:w="12240" w:h="15840"/>
          <w:pgMar w:left="1420" w:right="1360" w:header="0" w:top="1400" w:footer="0" w:bottom="1510" w:gutter="0"/>
          <w:pgNumType w:fmt="decimal"/>
          <w:formProt w:val="false"/>
          <w:textDirection w:val="lrTb"/>
          <w:docGrid w:type="default" w:linePitch="100" w:charSpace="4096"/>
        </w:sectPr>
        <w:pStyle w:val="Normal"/>
        <w:pBdr>
          <w:top w:val="dashed" w:sz="8" w:space="6" w:color="000000"/>
        </w:pBdr>
        <w:spacing w:lineRule="auto" w:line="240" w:before="12" w:after="0"/>
        <w:ind w:left="72" w:right="144" w:hanging="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Source: Author's calculation based on data in OECD Business Sector Data Base. The labor share is </w:t>
      </w:r>
      <w:r>
        <w:rPr>
          <w:rFonts w:ascii="Arial" w:hAnsi="Arial"/>
          <w:b/>
          <w:strike w:val="false"/>
          <w:dstrike w:val="false"/>
          <w:color w:val="000000"/>
          <w:spacing w:val="1"/>
          <w:w w:val="100"/>
          <w:position w:val="0"/>
          <w:sz w:val="20"/>
          <w:sz w:val="20"/>
          <w:vertAlign w:val="baseline"/>
          <w:lang w:val="en-US"/>
        </w:rPr>
        <w:t xml:space="preserve">defined as labor compensation divided by total output of the business sector. The last row, S.D.(A), </w:t>
      </w:r>
      <w:r>
        <w:rPr>
          <w:rFonts w:ascii="Arial" w:hAnsi="Arial"/>
          <w:b/>
          <w:strike w:val="false"/>
          <w:dstrike w:val="false"/>
          <w:color w:val="000000"/>
          <w:spacing w:val="2"/>
          <w:w w:val="100"/>
          <w:position w:val="0"/>
          <w:sz w:val="20"/>
          <w:sz w:val="20"/>
          <w:vertAlign w:val="baseline"/>
          <w:lang w:val="en-US"/>
        </w:rPr>
        <w:t>reports the standard deviation of the annual changes in the rates of return.</w:t>
      </w:r>
    </w:p>
    <w:p>
      <w:pPr>
        <w:pStyle w:val="Normal"/>
        <w:spacing w:lineRule="auto" w:line="216" w:before="0" w:after="0"/>
        <w:ind w:left="432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40</w:t>
      </w:r>
    </w:p>
    <w:p>
      <w:pPr>
        <w:pStyle w:val="Normal"/>
        <w:spacing w:lineRule="auto" w:line="240" w:before="216" w:after="0"/>
        <w:ind w:left="0" w:right="0" w:hanging="0"/>
        <w:jc w:val="center"/>
        <w:rPr>
          <w:rFonts w:ascii="Arial" w:hAnsi="Arial"/>
          <w:b/>
          <w:b/>
          <w:strike w:val="false"/>
          <w:dstrike w:val="false"/>
          <w:color w:val="000000"/>
          <w:spacing w:val="-3"/>
          <w:w w:val="100"/>
          <w:position w:val="0"/>
          <w:sz w:val="22"/>
          <w:sz w:val="21"/>
          <w:u w:val="single"/>
          <w:vertAlign w:val="baseline"/>
          <w:lang w:val="en-US"/>
        </w:rPr>
      </w:pPr>
      <w:r>
        <w:rPr>
          <w:rFonts w:ascii="Arial" w:hAnsi="Arial"/>
          <w:b/>
          <w:strike w:val="false"/>
          <w:dstrike w:val="false"/>
          <w:color w:val="000000"/>
          <w:spacing w:val="-3"/>
          <w:w w:val="100"/>
          <w:position w:val="0"/>
          <w:sz w:val="21"/>
          <w:sz w:val="21"/>
          <w:u w:val="single"/>
          <w:vertAlign w:val="baseline"/>
          <w:lang w:val="en-US"/>
        </w:rPr>
        <w:t xml:space="preserve">Appendix: Calculation of Tax Burden on NFC Investors </w:t>
      </w:r>
    </w:p>
    <w:p>
      <w:pPr>
        <w:pStyle w:val="Normal"/>
        <w:spacing w:lineRule="auto" w:line="480" w:before="252" w:after="0"/>
        <w:ind w:left="0" w:right="0" w:firstLine="720"/>
        <w:jc w:val="both"/>
        <w:rPr>
          <w:rFonts w:ascii="Arial" w:hAnsi="Arial"/>
          <w:b/>
          <w:b/>
          <w:strike w:val="false"/>
          <w:dstrike w:val="false"/>
          <w:color w:val="000000"/>
          <w:spacing w:val="9"/>
          <w:w w:val="100"/>
          <w:position w:val="0"/>
          <w:sz w:val="22"/>
          <w:sz w:val="20"/>
          <w:vertAlign w:val="baseline"/>
          <w:lang w:val="en-US"/>
        </w:rPr>
      </w:pPr>
      <w:r>
        <w:rPr>
          <w:rFonts w:ascii="Arial" w:hAnsi="Arial"/>
          <w:b/>
          <w:strike w:val="false"/>
          <w:dstrike w:val="false"/>
          <w:color w:val="000000"/>
          <w:spacing w:val="9"/>
          <w:w w:val="100"/>
          <w:position w:val="0"/>
          <w:sz w:val="20"/>
          <w:sz w:val="20"/>
          <w:vertAlign w:val="baseline"/>
          <w:lang w:val="en-US"/>
        </w:rPr>
        <w:t xml:space="preserve">The procedure that I use to estimate the total tax burden on investors in the </w:t>
      </w:r>
      <w:r>
        <w:rPr>
          <w:rFonts w:ascii="Arial" w:hAnsi="Arial"/>
          <w:b/>
          <w:strike w:val="false"/>
          <w:dstrike w:val="false"/>
          <w:color w:val="000000"/>
          <w:spacing w:val="-3"/>
          <w:w w:val="100"/>
          <w:position w:val="0"/>
          <w:sz w:val="20"/>
          <w:sz w:val="20"/>
          <w:vertAlign w:val="baseline"/>
          <w:lang w:val="en-US"/>
        </w:rPr>
        <w:t xml:space="preserve">nonfinancial corporate sector draws heavily on previous estimates by Feldstein and Summers </w:t>
      </w:r>
      <w:r>
        <w:rPr>
          <w:rFonts w:ascii="Arial" w:hAnsi="Arial"/>
          <w:b/>
          <w:strike w:val="false"/>
          <w:dstrike w:val="false"/>
          <w:color w:val="000000"/>
          <w:spacing w:val="5"/>
          <w:w w:val="100"/>
          <w:position w:val="0"/>
          <w:sz w:val="20"/>
          <w:sz w:val="20"/>
          <w:vertAlign w:val="baseline"/>
          <w:lang w:val="en-US"/>
        </w:rPr>
        <w:t xml:space="preserve">(1979), Feldstein, Poterba, and Dicks-Mireaux (1983), and Poterba (1987). There are two </w:t>
      </w:r>
      <w:r>
        <w:rPr>
          <w:rFonts w:ascii="Arial" w:hAnsi="Arial"/>
          <w:b/>
          <w:strike w:val="false"/>
          <w:dstrike w:val="false"/>
          <w:color w:val="000000"/>
          <w:spacing w:val="0"/>
          <w:w w:val="100"/>
          <w:position w:val="0"/>
          <w:sz w:val="20"/>
          <w:sz w:val="20"/>
          <w:vertAlign w:val="baseline"/>
          <w:lang w:val="en-US"/>
        </w:rPr>
        <w:t>steps to this procedure.</w:t>
      </w:r>
    </w:p>
    <w:p>
      <w:pPr>
        <w:pStyle w:val="Normal"/>
        <w:spacing w:lineRule="auto" w:line="480" w:before="180" w:after="0"/>
        <w:ind w:left="0" w:right="0" w:firstLine="720"/>
        <w:jc w:val="both"/>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 xml:space="preserve">The first involves computation of a weighted-average marginal tax rate on the interest </w:t>
      </w:r>
      <w:r>
        <w:rPr>
          <w:rFonts w:ascii="Arial" w:hAnsi="Arial"/>
          <w:b/>
          <w:strike w:val="false"/>
          <w:dstrike w:val="false"/>
          <w:color w:val="000000"/>
          <w:spacing w:val="0"/>
          <w:w w:val="100"/>
          <w:position w:val="0"/>
          <w:sz w:val="20"/>
          <w:sz w:val="20"/>
          <w:vertAlign w:val="baseline"/>
          <w:lang w:val="en-US"/>
        </w:rPr>
        <w:t xml:space="preserve">payments and dividends of the NFCs. To do this I exploit data on asset holdings by various investor groups, as well as the structure of NFC liabilities, in the Federal Reserve Board </w:t>
      </w:r>
      <w:r>
        <w:rPr>
          <w:rFonts w:ascii="Arial" w:hAnsi="Arial"/>
          <w:b/>
          <w:strike w:val="false"/>
          <w:dstrike w:val="false"/>
          <w:color w:val="000000"/>
          <w:spacing w:val="0"/>
          <w:w w:val="100"/>
          <w:position w:val="0"/>
          <w:sz w:val="21"/>
          <w:sz w:val="21"/>
          <w:u w:val="single"/>
          <w:vertAlign w:val="baseline"/>
          <w:lang w:val="en-US"/>
        </w:rPr>
        <w:t xml:space="preserve">Flow  </w:t>
      </w:r>
      <w:r>
        <w:rPr>
          <w:rFonts w:ascii="Arial" w:hAnsi="Arial"/>
          <w:b/>
          <w:strike w:val="false"/>
          <w:dstrike w:val="false"/>
          <w:color w:val="000000"/>
          <w:spacing w:val="1"/>
          <w:w w:val="100"/>
          <w:position w:val="0"/>
          <w:sz w:val="21"/>
          <w:sz w:val="21"/>
          <w:u w:val="single"/>
          <w:vertAlign w:val="baseline"/>
          <w:lang w:val="en-US"/>
        </w:rPr>
        <w:t>of Funds.</w:t>
      </w:r>
      <w:r>
        <w:rPr>
          <w:rFonts w:ascii="Arial" w:hAnsi="Arial"/>
          <w:b/>
          <w:strike w:val="false"/>
          <w:dstrike w:val="false"/>
          <w:color w:val="000000"/>
          <w:spacing w:val="1"/>
          <w:w w:val="100"/>
          <w:position w:val="0"/>
          <w:sz w:val="20"/>
          <w:sz w:val="20"/>
          <w:vertAlign w:val="baseline"/>
          <w:lang w:val="en-US"/>
        </w:rPr>
        <w:t xml:space="preserve"> With respect to equity ownership, I assume that equity held by households (E</w:t>
      </w:r>
      <w:r>
        <w:rPr>
          <w:rFonts w:ascii="Verdana" w:hAnsi="Verdana"/>
          <w:b/>
          <w:strike w:val="false"/>
          <w:dstrike w:val="false"/>
          <w:color w:val="000000"/>
          <w:spacing w:val="1"/>
          <w:w w:val="100"/>
          <w:sz w:val="20"/>
          <w:vertAlign w:val="subscript"/>
          <w:lang w:val="en-US"/>
        </w:rPr>
        <w:t>hh</w:t>
      </w:r>
      <w:r>
        <w:rPr>
          <w:rFonts w:ascii="Arial" w:hAnsi="Arial"/>
          <w:b/>
          <w:strike w:val="false"/>
          <w:dstrike w:val="false"/>
          <w:color w:val="000000"/>
          <w:spacing w:val="1"/>
          <w:w w:val="100"/>
          <w:position w:val="0"/>
          <w:sz w:val="20"/>
          <w:sz w:val="20"/>
          <w:vertAlign w:val="baseline"/>
          <w:lang w:val="en-US"/>
        </w:rPr>
        <w:t xml:space="preserve">)• </w:t>
      </w:r>
      <w:r>
        <w:rPr>
          <w:rFonts w:ascii="Arial" w:hAnsi="Arial"/>
          <w:b/>
          <w:strike w:val="false"/>
          <w:dstrike w:val="false"/>
          <w:color w:val="000000"/>
          <w:spacing w:val="-4"/>
          <w:w w:val="100"/>
          <w:position w:val="0"/>
          <w:sz w:val="20"/>
          <w:sz w:val="20"/>
          <w:vertAlign w:val="baseline"/>
          <w:lang w:val="en-US"/>
        </w:rPr>
        <w:t>life insurance companies (E</w:t>
      </w:r>
      <w:r>
        <w:rPr>
          <w:rFonts w:ascii="Verdana" w:hAnsi="Verdana"/>
          <w:b/>
          <w:strike w:val="false"/>
          <w:dstrike w:val="false"/>
          <w:color w:val="000000"/>
          <w:spacing w:val="-4"/>
          <w:w w:val="100"/>
          <w:sz w:val="20"/>
          <w:vertAlign w:val="subscript"/>
          <w:lang w:val="en-US"/>
        </w:rPr>
        <w:t>l</w:t>
      </w:r>
      <w:r>
        <w:rPr>
          <w:rFonts w:ascii="Arial" w:hAnsi="Arial"/>
          <w:b/>
          <w:strike w:val="false"/>
          <w:dstrike w:val="false"/>
          <w:color w:val="000000"/>
          <w:spacing w:val="-4"/>
          <w:w w:val="100"/>
          <w:position w:val="0"/>
          <w:sz w:val="20"/>
          <w:sz w:val="20"/>
          <w:vertAlign w:val="baseline"/>
          <w:lang w:val="en-US"/>
        </w:rPr>
        <w:t>,), other insurance companies (E,„), commercial banks (E</w:t>
      </w:r>
      <w:r>
        <w:rPr>
          <w:rFonts w:ascii="Verdana" w:hAnsi="Verdana"/>
          <w:b/>
          <w:strike w:val="false"/>
          <w:dstrike w:val="false"/>
          <w:color w:val="000000"/>
          <w:spacing w:val="-4"/>
          <w:w w:val="100"/>
          <w:sz w:val="20"/>
          <w:vertAlign w:val="subscript"/>
          <w:lang w:val="en-US"/>
        </w:rPr>
        <w:t>cb</w:t>
      </w:r>
      <w:r>
        <w:rPr>
          <w:rFonts w:ascii="Arial" w:hAnsi="Arial"/>
          <w:b/>
          <w:strike w:val="false"/>
          <w:dstrike w:val="false"/>
          <w:color w:val="000000"/>
          <w:spacing w:val="-4"/>
          <w:w w:val="100"/>
          <w:position w:val="0"/>
          <w:sz w:val="20"/>
          <w:sz w:val="20"/>
          <w:vertAlign w:val="baseline"/>
          <w:lang w:val="en-US"/>
        </w:rPr>
        <w:t xml:space="preserve">), brokers </w:t>
      </w:r>
      <w:r>
        <w:rPr>
          <w:rFonts w:ascii="Arial" w:hAnsi="Arial"/>
          <w:b/>
          <w:strike w:val="false"/>
          <w:dstrike w:val="false"/>
          <w:color w:val="000000"/>
          <w:spacing w:val="5"/>
          <w:w w:val="100"/>
          <w:position w:val="0"/>
          <w:sz w:val="20"/>
          <w:sz w:val="20"/>
          <w:vertAlign w:val="baseline"/>
          <w:lang w:val="en-US"/>
        </w:rPr>
        <w:t xml:space="preserve">and dealers (E.), and savings banks (c) generates taxable income. (The Flow of Funds </w:t>
      </w:r>
      <w:r>
        <w:rPr>
          <w:rFonts w:ascii="Arial" w:hAnsi="Arial"/>
          <w:b/>
          <w:strike w:val="false"/>
          <w:dstrike w:val="false"/>
          <w:color w:val="000000"/>
          <w:spacing w:val="1"/>
          <w:w w:val="100"/>
          <w:position w:val="0"/>
          <w:sz w:val="20"/>
          <w:sz w:val="20"/>
          <w:vertAlign w:val="baseline"/>
          <w:lang w:val="en-US"/>
        </w:rPr>
        <w:t xml:space="preserve">accounts are "net" of equity held within the corporate sector, so there is no intercorporate </w:t>
      </w:r>
      <w:r>
        <w:rPr>
          <w:rFonts w:ascii="Arial" w:hAnsi="Arial"/>
          <w:b/>
          <w:strike w:val="false"/>
          <w:dstrike w:val="false"/>
          <w:color w:val="000000"/>
          <w:spacing w:val="3"/>
          <w:w w:val="100"/>
          <w:position w:val="0"/>
          <w:sz w:val="20"/>
          <w:sz w:val="20"/>
          <w:vertAlign w:val="baseline"/>
          <w:lang w:val="en-US"/>
        </w:rPr>
        <w:t xml:space="preserve">equity ownership to be considered.) I allocate equity held by mutual funds to the set of </w:t>
      </w:r>
      <w:r>
        <w:rPr>
          <w:rFonts w:ascii="Arial" w:hAnsi="Arial"/>
          <w:b/>
          <w:strike w:val="false"/>
          <w:dstrike w:val="false"/>
          <w:color w:val="000000"/>
          <w:spacing w:val="0"/>
          <w:w w:val="100"/>
          <w:position w:val="0"/>
          <w:sz w:val="20"/>
          <w:sz w:val="20"/>
          <w:vertAlign w:val="baseline"/>
          <w:lang w:val="en-US"/>
        </w:rPr>
        <w:t xml:space="preserve">investors in mutual funds based on their proportional ownership of outstanding funds. The </w:t>
      </w:r>
      <w:r>
        <w:rPr>
          <w:rFonts w:ascii="Arial" w:hAnsi="Arial"/>
          <w:b/>
          <w:strike w:val="false"/>
          <w:dstrike w:val="false"/>
          <w:color w:val="000000"/>
          <w:spacing w:val="3"/>
          <w:w w:val="100"/>
          <w:position w:val="0"/>
          <w:sz w:val="20"/>
          <w:sz w:val="20"/>
          <w:vertAlign w:val="baseline"/>
          <w:lang w:val="en-US"/>
        </w:rPr>
        <w:t>weighted average dividend tax rate in a given year is therefore:</w:t>
      </w:r>
    </w:p>
    <w:p>
      <w:pPr>
        <w:pStyle w:val="Normal"/>
        <w:tabs>
          <w:tab w:val="clear" w:pos="720"/>
          <w:tab w:val="right" w:pos="4388" w:leader="none"/>
        </w:tabs>
        <w:spacing w:lineRule="auto" w:line="360" w:before="252" w:after="0"/>
        <w:ind w:left="720" w:right="0" w:hanging="0"/>
        <w:jc w:val="left"/>
        <w:rPr>
          <w:rFonts w:ascii="Times New Roman" w:hAnsi="Times New Roman"/>
          <w:b/>
          <w:b/>
          <w:strike w:val="false"/>
          <w:dstrike w:val="false"/>
          <w:color w:val="000000"/>
          <w:spacing w:val="0"/>
          <w:w w:val="105"/>
          <w:sz w:val="15"/>
          <w:vertAlign w:val="superscript"/>
          <w:lang w:val="en-US"/>
        </w:rPr>
      </w:pPr>
      <w:r>
        <w:rPr>
          <w:rFonts w:ascii="Times New Roman" w:hAnsi="Times New Roman"/>
          <w:b/>
          <w:strike w:val="false"/>
          <w:dstrike w:val="false"/>
          <w:color w:val="000000"/>
          <w:spacing w:val="0"/>
          <w:w w:val="105"/>
          <w:sz w:val="15"/>
          <w:vertAlign w:val="superscript"/>
          <w:lang w:val="en-US"/>
        </w:rPr>
        <w:t>T</w:t>
      </w:r>
      <w:r>
        <w:rPr>
          <w:rFonts w:ascii="Verdana" w:hAnsi="Verdana"/>
          <w:b/>
          <w:strike w:val="false"/>
          <w:dstrike w:val="false"/>
          <w:color w:val="000000"/>
          <w:spacing w:val="0"/>
          <w:w w:val="100"/>
          <w:position w:val="0"/>
          <w:sz w:val="11"/>
          <w:sz w:val="11"/>
          <w:vertAlign w:val="baseline"/>
          <w:lang w:val="en-US"/>
        </w:rPr>
        <w:t>DIV =</w:t>
        <w:tab/>
      </w:r>
      <w:r>
        <w:rPr>
          <w:rFonts w:ascii="Tahoma" w:hAnsi="Tahoma"/>
          <w:b/>
          <w:strike w:val="false"/>
          <w:dstrike w:val="false"/>
          <w:color w:val="000000"/>
          <w:spacing w:val="36"/>
          <w:w w:val="100"/>
          <w:position w:val="0"/>
          <w:sz w:val="13"/>
          <w:sz w:val="13"/>
          <w:vertAlign w:val="baseline"/>
          <w:lang w:val="en-US"/>
        </w:rPr>
        <w:t>*+ TDIV, *</w:t>
      </w:r>
    </w:p>
    <w:p>
      <w:pPr>
        <w:pStyle w:val="Normal"/>
        <w:tabs>
          <w:tab w:val="clear" w:pos="720"/>
          <w:tab w:val="left" w:pos="3009" w:leader="none"/>
          <w:tab w:val="right" w:pos="5472" w:leader="none"/>
        </w:tabs>
        <w:spacing w:lineRule="auto" w:line="271" w:before="180" w:after="0"/>
        <w:ind w:left="1728" w:right="0" w:hanging="0"/>
        <w:jc w:val="left"/>
        <w:rPr>
          <w:rFonts w:ascii="Verdana" w:hAnsi="Verdana"/>
          <w:b/>
          <w:b/>
          <w:strike w:val="false"/>
          <w:dstrike w:val="false"/>
          <w:color w:val="000000"/>
          <w:spacing w:val="0"/>
          <w:w w:val="100"/>
          <w:position w:val="0"/>
          <w:sz w:val="22"/>
          <w:sz w:val="11"/>
          <w:vertAlign w:val="baseline"/>
          <w:lang w:val="en-US"/>
        </w:rPr>
      </w:pPr>
      <w:r>
        <w:rPr>
          <w:rFonts w:ascii="Verdana" w:hAnsi="Verdana"/>
          <w:b/>
          <w:strike w:val="false"/>
          <w:dstrike w:val="false"/>
          <w:color w:val="000000"/>
          <w:spacing w:val="0"/>
          <w:w w:val="100"/>
          <w:position w:val="0"/>
          <w:sz w:val="11"/>
          <w:sz w:val="11"/>
          <w:vertAlign w:val="baseline"/>
          <w:lang w:val="en-US"/>
        </w:rPr>
        <w:t>rDIV,cb</w:t>
      </w:r>
      <w:r>
        <w:rPr>
          <w:rFonts w:ascii="Verdana" w:hAnsi="Verdana"/>
          <w:b/>
          <w:strike w:val="false"/>
          <w:dstrike w:val="false"/>
          <w:color w:val="000000"/>
          <w:spacing w:val="0"/>
          <w:w w:val="100"/>
          <w:sz w:val="11"/>
          <w:vertAlign w:val="superscript"/>
          <w:lang w:val="en-US"/>
        </w:rPr>
        <w:t>*E</w:t>
      </w:r>
      <w:r>
        <w:rPr>
          <w:rFonts w:ascii="Verdana" w:hAnsi="Verdana"/>
          <w:b/>
          <w:strike w:val="false"/>
          <w:dstrike w:val="false"/>
          <w:color w:val="000000"/>
          <w:spacing w:val="0"/>
          <w:w w:val="100"/>
          <w:position w:val="0"/>
          <w:sz w:val="11"/>
          <w:sz w:val="11"/>
          <w:vertAlign w:val="baseline"/>
          <w:lang w:val="en-US"/>
        </w:rPr>
        <w:t>cb</w:t>
        <w:tab/>
      </w:r>
      <w:r>
        <w:rPr>
          <w:rFonts w:ascii="Times New Roman" w:hAnsi="Times New Roman"/>
          <w:b/>
          <w:strike w:val="false"/>
          <w:dstrike w:val="false"/>
          <w:color w:val="000000"/>
          <w:spacing w:val="-14"/>
          <w:w w:val="105"/>
          <w:sz w:val="11"/>
          <w:vertAlign w:val="superscript"/>
          <w:lang w:val="en-US"/>
        </w:rPr>
        <w:t>T</w:t>
      </w:r>
      <w:r>
        <w:rPr>
          <w:rFonts w:ascii="Verdana" w:hAnsi="Verdana"/>
          <w:b/>
          <w:strike w:val="false"/>
          <w:dstrike w:val="false"/>
          <w:color w:val="000000"/>
          <w:spacing w:val="-14"/>
          <w:w w:val="100"/>
          <w:position w:val="0"/>
          <w:sz w:val="11"/>
          <w:sz w:val="11"/>
          <w:vertAlign w:val="baseline"/>
          <w:lang w:val="en-US"/>
        </w:rPr>
        <w:t>DIV,se</w:t>
      </w:r>
      <w:r>
        <w:rPr>
          <w:rFonts w:ascii="Verdana" w:hAnsi="Verdana"/>
          <w:b/>
          <w:strike w:val="false"/>
          <w:dstrike w:val="false"/>
          <w:color w:val="000000"/>
          <w:spacing w:val="-14"/>
          <w:w w:val="100"/>
          <w:sz w:val="11"/>
          <w:vertAlign w:val="superscript"/>
          <w:lang w:val="en-US"/>
        </w:rPr>
        <w:t>*</w:t>
      </w:r>
      <w:r>
        <w:rPr>
          <w:rFonts w:ascii="Arial" w:hAnsi="Arial"/>
          <w:b/>
          <w:strike w:val="false"/>
          <w:dstrike w:val="false"/>
          <w:color w:val="000000"/>
          <w:spacing w:val="-14"/>
          <w:w w:val="100"/>
          <w:position w:val="0"/>
          <w:sz w:val="20"/>
          <w:sz w:val="20"/>
          <w:vertAlign w:val="baseline"/>
          <w:lang w:val="en-US"/>
        </w:rPr>
        <w:t xml:space="preserve"> E </w:t>
      </w:r>
      <w:r>
        <w:rPr>
          <w:rFonts w:ascii="Verdana" w:hAnsi="Verdana"/>
          <w:b/>
          <w:strike w:val="false"/>
          <w:dstrike w:val="false"/>
          <w:color w:val="000000"/>
          <w:spacing w:val="-14"/>
          <w:w w:val="100"/>
          <w:position w:val="0"/>
          <w:sz w:val="11"/>
          <w:sz w:val="11"/>
          <w:vertAlign w:val="baseline"/>
          <w:lang w:val="en-US"/>
        </w:rPr>
        <w:t>so</w:t>
        <w:tab/>
      </w:r>
      <w:r>
        <w:rPr>
          <w:rFonts w:ascii="Times New Roman" w:hAnsi="Times New Roman"/>
          <w:b/>
          <w:strike w:val="false"/>
          <w:dstrike w:val="false"/>
          <w:color w:val="000000"/>
          <w:spacing w:val="2"/>
          <w:w w:val="105"/>
          <w:sz w:val="11"/>
          <w:vertAlign w:val="superscript"/>
          <w:lang w:val="en-US"/>
        </w:rPr>
        <w:t>T</w:t>
      </w:r>
      <w:r>
        <w:rPr>
          <w:rFonts w:ascii="Verdana" w:hAnsi="Verdana"/>
          <w:b/>
          <w:strike w:val="false"/>
          <w:dstrike w:val="false"/>
          <w:color w:val="000000"/>
          <w:spacing w:val="2"/>
          <w:w w:val="100"/>
          <w:position w:val="0"/>
          <w:sz w:val="11"/>
          <w:sz w:val="11"/>
          <w:vertAlign w:val="baseline"/>
          <w:lang w:val="en-US"/>
        </w:rPr>
        <w:t>DIV,se</w:t>
      </w:r>
      <w:r>
        <w:rPr>
          <w:rFonts w:ascii="Verdana" w:hAnsi="Verdana"/>
          <w:b/>
          <w:strike w:val="false"/>
          <w:dstrike w:val="false"/>
          <w:color w:val="000000"/>
          <w:spacing w:val="2"/>
          <w:w w:val="100"/>
          <w:sz w:val="11"/>
          <w:vertAlign w:val="superscript"/>
          <w:lang w:val="en-US"/>
        </w:rPr>
        <w:t>*E</w:t>
      </w:r>
      <w:r>
        <w:rPr>
          <w:rFonts w:ascii="Verdana" w:hAnsi="Verdana"/>
          <w:b/>
          <w:strike w:val="false"/>
          <w:dstrike w:val="false"/>
          <w:color w:val="000000"/>
          <w:spacing w:val="2"/>
          <w:w w:val="100"/>
          <w:position w:val="0"/>
          <w:sz w:val="11"/>
          <w:sz w:val="11"/>
          <w:vertAlign w:val="baseline"/>
          <w:lang w:val="en-US"/>
        </w:rPr>
        <w:t>sa</w:t>
      </w:r>
      <w:r>
        <w:rPr>
          <w:rFonts w:ascii="Verdana" w:hAnsi="Verdana"/>
          <w:b/>
          <w:strike w:val="false"/>
          <w:dstrike w:val="false"/>
          <w:color w:val="000000"/>
          <w:spacing w:val="2"/>
          <w:w w:val="100"/>
          <w:sz w:val="11"/>
          <w:vertAlign w:val="superscript"/>
          <w:lang w:val="en-US"/>
        </w:rPr>
        <w:t>)</w:t>
      </w:r>
      <w:r>
        <w:rPr>
          <w:rFonts w:ascii="Tahoma" w:hAnsi="Tahoma"/>
          <w:b/>
          <w:strike w:val="false"/>
          <w:dstrike w:val="false"/>
          <w:color w:val="000000"/>
          <w:spacing w:val="2"/>
          <w:w w:val="95"/>
          <w:position w:val="0"/>
          <w:sz w:val="15"/>
          <w:sz w:val="15"/>
          <w:vertAlign w:val="baseline"/>
          <w:lang w:val="en-US"/>
        </w:rPr>
        <w:t>/</w:t>
      </w:r>
      <w:r>
        <w:rPr>
          <w:rFonts w:ascii="Verdana" w:hAnsi="Verdana"/>
          <w:b/>
          <w:strike w:val="false"/>
          <w:dstrike w:val="false"/>
          <w:color w:val="000000"/>
          <w:spacing w:val="2"/>
          <w:w w:val="100"/>
          <w:sz w:val="15"/>
          <w:vertAlign w:val="superscript"/>
          <w:lang w:val="en-US"/>
        </w:rPr>
        <w:t>E</w:t>
      </w:r>
      <w:r>
        <w:rPr>
          <w:rFonts w:ascii="Verdana" w:hAnsi="Verdana"/>
          <w:b/>
          <w:strike w:val="false"/>
          <w:dstrike w:val="false"/>
          <w:color w:val="000000"/>
          <w:spacing w:val="2"/>
          <w:w w:val="100"/>
          <w:position w:val="0"/>
          <w:sz w:val="11"/>
          <w:sz w:val="11"/>
          <w:vertAlign w:val="baseline"/>
          <w:lang w:val="en-US"/>
        </w:rPr>
        <w:t>tot</w:t>
      </w:r>
    </w:p>
    <w:p>
      <w:pPr>
        <w:pStyle w:val="Normal"/>
        <w:spacing w:lineRule="auto" w:line="480" w:before="180" w:after="0"/>
        <w:ind w:left="0" w:right="0" w:hanging="0"/>
        <w:jc w:val="both"/>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where E</w:t>
      </w:r>
      <w:r>
        <w:rPr>
          <w:rFonts w:ascii="Verdana" w:hAnsi="Verdana"/>
          <w:b/>
          <w:strike w:val="false"/>
          <w:dstrike w:val="false"/>
          <w:color w:val="000000"/>
          <w:spacing w:val="-4"/>
          <w:w w:val="100"/>
          <w:sz w:val="20"/>
          <w:vertAlign w:val="subscript"/>
          <w:lang w:val="en-US"/>
        </w:rPr>
        <w:t>tc</w:t>
      </w:r>
      <w:r>
        <w:rPr>
          <w:rFonts w:ascii="Arial" w:hAnsi="Arial"/>
          <w:b/>
          <w:strike w:val="false"/>
          <w:dstrike w:val="false"/>
          <w:color w:val="000000"/>
          <w:spacing w:val="-4"/>
          <w:w w:val="100"/>
          <w:position w:val="0"/>
          <w:sz w:val="20"/>
          <w:sz w:val="20"/>
          <w:vertAlign w:val="baseline"/>
          <w:lang w:val="en-US"/>
        </w:rPr>
        <w:t xml:space="preserve">, denotes the total stock of equity outstanding, including equity held by tax-exempt </w:t>
      </w:r>
      <w:r>
        <w:rPr>
          <w:rFonts w:ascii="Arial" w:hAnsi="Arial"/>
          <w:b/>
          <w:strike w:val="false"/>
          <w:dstrike w:val="false"/>
          <w:color w:val="000000"/>
          <w:spacing w:val="2"/>
          <w:w w:val="100"/>
          <w:position w:val="0"/>
          <w:sz w:val="20"/>
          <w:sz w:val="20"/>
          <w:vertAlign w:val="baseline"/>
          <w:lang w:val="en-US"/>
        </w:rPr>
        <w:t xml:space="preserve">institutions. With respect to the household sector, I assume that seven percent of equity </w:t>
      </w:r>
      <w:r>
        <w:rPr>
          <w:rFonts w:ascii="Arial" w:hAnsi="Arial"/>
          <w:b/>
          <w:strike w:val="false"/>
          <w:dstrike w:val="false"/>
          <w:color w:val="000000"/>
          <w:spacing w:val="1"/>
          <w:w w:val="100"/>
          <w:position w:val="0"/>
          <w:sz w:val="20"/>
          <w:sz w:val="20"/>
          <w:vertAlign w:val="baseline"/>
          <w:lang w:val="en-US"/>
        </w:rPr>
        <w:t xml:space="preserve">holdings are in fact held by tax-exempt institutions, and use the weighted average marginal </w:t>
      </w:r>
      <w:r>
        <w:rPr>
          <w:rFonts w:ascii="Arial" w:hAnsi="Arial"/>
          <w:b/>
          <w:strike w:val="false"/>
          <w:dstrike w:val="false"/>
          <w:color w:val="000000"/>
          <w:spacing w:val="-4"/>
          <w:w w:val="100"/>
          <w:position w:val="0"/>
          <w:sz w:val="20"/>
          <w:sz w:val="20"/>
          <w:vertAlign w:val="baseline"/>
          <w:lang w:val="en-US"/>
        </w:rPr>
        <w:t xml:space="preserve">tax rate series for dividend income in Poterba (1987, 1997) to define </w:t>
      </w:r>
      <w:r>
        <w:rPr>
          <w:rFonts w:ascii="Arial" w:hAnsi="Arial"/>
          <w:b/>
          <w:strike w:val="false"/>
          <w:dstrike w:val="false"/>
          <w:color w:val="000000"/>
          <w:spacing w:val="-4"/>
          <w:w w:val="110"/>
          <w:sz w:val="20"/>
          <w:vertAlign w:val="subscript"/>
          <w:lang w:val="en-US"/>
        </w:rPr>
        <w:t>TDIV,hh</w:t>
      </w:r>
      <w:r>
        <w:rPr>
          <w:rFonts w:ascii="Arial" w:hAnsi="Arial"/>
          <w:b/>
          <w:strike w:val="false"/>
          <w:dstrike w:val="false"/>
          <w:color w:val="000000"/>
          <w:spacing w:val="-4"/>
          <w:w w:val="100"/>
          <w:position w:val="0"/>
          <w:sz w:val="20"/>
          <w:sz w:val="20"/>
          <w:vertAlign w:val="baseline"/>
          <w:lang w:val="en-US"/>
        </w:rPr>
        <w:t xml:space="preserve"> in each year. The </w:t>
      </w:r>
      <w:r>
        <w:rPr>
          <w:rFonts w:ascii="Arial" w:hAnsi="Arial"/>
          <w:b/>
          <w:strike w:val="false"/>
          <w:dstrike w:val="false"/>
          <w:color w:val="000000"/>
          <w:spacing w:val="-2"/>
          <w:w w:val="100"/>
          <w:position w:val="0"/>
          <w:sz w:val="20"/>
          <w:sz w:val="20"/>
          <w:vertAlign w:val="baseline"/>
          <w:lang w:val="en-US"/>
        </w:rPr>
        <w:t xml:space="preserve">dividend tax rates for the various financial institutions recognize the intercorporate dividend </w:t>
      </w:r>
      <w:r>
        <w:rPr>
          <w:rFonts w:ascii="Arial" w:hAnsi="Arial"/>
          <w:b/>
          <w:strike w:val="false"/>
          <w:dstrike w:val="false"/>
          <w:color w:val="000000"/>
          <w:spacing w:val="2"/>
          <w:w w:val="100"/>
          <w:position w:val="0"/>
          <w:sz w:val="20"/>
          <w:sz w:val="20"/>
          <w:vertAlign w:val="baseline"/>
          <w:lang w:val="en-US"/>
        </w:rPr>
        <w:t>exclusion rules as well as variation over time in statutory corporate marginal tax rates.</w:t>
      </w:r>
    </w:p>
    <w:p>
      <w:pPr>
        <w:sectPr>
          <w:type w:val="nextPage"/>
          <w:pgSz w:w="12240" w:h="15840"/>
          <w:pgMar w:left="1402" w:right="1342" w:header="0" w:top="1418" w:footer="0" w:bottom="1912" w:gutter="0"/>
          <w:pgNumType w:fmt="decimal"/>
          <w:formProt w:val="false"/>
          <w:textDirection w:val="lrTb"/>
          <w:docGrid w:type="default" w:linePitch="100" w:charSpace="4096"/>
        </w:sectPr>
        <w:pStyle w:val="Normal"/>
        <w:spacing w:lineRule="auto" w:line="240" w:before="180" w:after="0"/>
        <w:ind w:left="0" w:right="3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The marginal tax rate on dividends for both corporations and individuals includes state</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41</w:t>
      </w:r>
    </w:p>
    <w:p>
      <w:pPr>
        <w:pStyle w:val="Normal"/>
        <w:spacing w:lineRule="auto" w:line="480" w:before="180" w:after="0"/>
        <w:ind w:left="0" w:right="0" w:hanging="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and local as well as federal income taxes. For individuals, state and local taxes are included </w:t>
      </w:r>
      <w:r>
        <w:rPr>
          <w:rFonts w:ascii="Arial" w:hAnsi="Arial"/>
          <w:b/>
          <w:strike w:val="false"/>
          <w:dstrike w:val="false"/>
          <w:color w:val="000000"/>
          <w:spacing w:val="4"/>
          <w:w w:val="100"/>
          <w:position w:val="0"/>
          <w:sz w:val="20"/>
          <w:sz w:val="20"/>
          <w:vertAlign w:val="baseline"/>
          <w:lang w:val="en-US"/>
        </w:rPr>
        <w:t xml:space="preserve">by multiplying the weighted average federal marginal tax rate </w:t>
      </w:r>
      <w:r>
        <w:rPr>
          <w:rFonts w:ascii="Verdana" w:hAnsi="Verdana"/>
          <w:b/>
          <w:strike w:val="false"/>
          <w:dstrike w:val="false"/>
          <w:color w:val="000000"/>
          <w:spacing w:val="4"/>
          <w:w w:val="100"/>
          <w:position w:val="0"/>
          <w:sz w:val="12"/>
          <w:sz w:val="12"/>
          <w:vertAlign w:val="baseline"/>
          <w:lang w:val="en-US"/>
        </w:rPr>
        <w:t>(TDiv</w:t>
      </w:r>
      <w:r>
        <w:rPr>
          <w:rFonts w:ascii="Arial" w:hAnsi="Arial"/>
          <w:b/>
          <w:strike w:val="false"/>
          <w:dstrike w:val="false"/>
          <w:color w:val="000000"/>
          <w:spacing w:val="4"/>
          <w:w w:val="100"/>
          <w:sz w:val="12"/>
          <w:vertAlign w:val="subscript"/>
          <w:lang w:val="en-US"/>
        </w:rPr>
        <w:t>,</w:t>
      </w:r>
      <w:r>
        <w:rPr>
          <w:rFonts w:ascii="Verdana" w:hAnsi="Verdana"/>
          <w:b/>
          <w:strike w:val="false"/>
          <w:dstrike w:val="false"/>
          <w:color w:val="000000"/>
          <w:spacing w:val="4"/>
          <w:w w:val="100"/>
          <w:position w:val="0"/>
          <w:sz w:val="12"/>
          <w:sz w:val="12"/>
          <w:vertAlign w:val="baseline"/>
          <w:lang w:val="en-US"/>
        </w:rPr>
        <w:t>f,d</w:t>
      </w:r>
      <w:r>
        <w:rPr>
          <w:rFonts w:ascii="Arial" w:hAnsi="Arial"/>
          <w:b/>
          <w:strike w:val="false"/>
          <w:dstrike w:val="false"/>
          <w:color w:val="000000"/>
          <w:spacing w:val="4"/>
          <w:w w:val="100"/>
          <w:sz w:val="12"/>
          <w:vertAlign w:val="subscript"/>
          <w:lang w:val="en-US"/>
        </w:rPr>
        <w:t>,</w:t>
      </w:r>
      <w:r>
        <w:rPr>
          <w:rFonts w:ascii="Verdana" w:hAnsi="Verdana"/>
          <w:b/>
          <w:strike w:val="false"/>
          <w:dstrike w:val="false"/>
          <w:color w:val="000000"/>
          <w:spacing w:val="4"/>
          <w:w w:val="100"/>
          <w:position w:val="0"/>
          <w:sz w:val="12"/>
          <w:sz w:val="12"/>
          <w:vertAlign w:val="baseline"/>
          <w:lang w:val="en-US"/>
        </w:rPr>
        <w:t xml:space="preserve">hh) </w:t>
      </w:r>
      <w:r>
        <w:rPr>
          <w:rFonts w:ascii="Arial" w:hAnsi="Arial"/>
          <w:b/>
          <w:strike w:val="false"/>
          <w:dstrike w:val="false"/>
          <w:color w:val="000000"/>
          <w:spacing w:val="4"/>
          <w:w w:val="100"/>
          <w:position w:val="0"/>
          <w:sz w:val="20"/>
          <w:sz w:val="20"/>
          <w:vertAlign w:val="baseline"/>
          <w:lang w:val="en-US"/>
        </w:rPr>
        <w:t xml:space="preserve">by a factor that </w:t>
      </w:r>
      <w:r>
        <w:rPr>
          <w:rFonts w:ascii="Arial" w:hAnsi="Arial"/>
          <w:b/>
          <w:strike w:val="false"/>
          <w:dstrike w:val="false"/>
          <w:color w:val="000000"/>
          <w:spacing w:val="-1"/>
          <w:w w:val="100"/>
          <w:position w:val="0"/>
          <w:sz w:val="20"/>
          <w:sz w:val="20"/>
          <w:vertAlign w:val="baseline"/>
          <w:lang w:val="en-US"/>
        </w:rPr>
        <w:t xml:space="preserve">depends on an estimated state and local income tax rate, equal to the ratio of state and local </w:t>
      </w:r>
      <w:r>
        <w:rPr>
          <w:rFonts w:ascii="Arial" w:hAnsi="Arial"/>
          <w:b/>
          <w:strike w:val="false"/>
          <w:dstrike w:val="false"/>
          <w:color w:val="000000"/>
          <w:spacing w:val="1"/>
          <w:w w:val="100"/>
          <w:position w:val="0"/>
          <w:sz w:val="20"/>
          <w:sz w:val="20"/>
          <w:vertAlign w:val="baseline"/>
          <w:lang w:val="en-US"/>
        </w:rPr>
        <w:t xml:space="preserve">income tax collections in the NIPA divided by national income less corporate profits. The </w:t>
      </w:r>
      <w:r>
        <w:rPr>
          <w:rFonts w:ascii="Arial" w:hAnsi="Arial"/>
          <w:b/>
          <w:strike w:val="false"/>
          <w:dstrike w:val="false"/>
          <w:color w:val="000000"/>
          <w:spacing w:val="-6"/>
          <w:w w:val="100"/>
          <w:position w:val="0"/>
          <w:sz w:val="20"/>
          <w:sz w:val="20"/>
          <w:vertAlign w:val="baseline"/>
          <w:lang w:val="en-US"/>
        </w:rPr>
        <w:t>adjustment takes the form r</w:t>
      </w:r>
      <w:r>
        <w:rPr>
          <w:rFonts w:ascii="Verdana" w:hAnsi="Verdana"/>
          <w:b/>
          <w:strike w:val="false"/>
          <w:dstrike w:val="false"/>
          <w:color w:val="000000"/>
          <w:spacing w:val="-6"/>
          <w:w w:val="100"/>
          <w:sz w:val="20"/>
          <w:vertAlign w:val="subscript"/>
          <w:lang w:val="en-US"/>
        </w:rPr>
        <w:t>inv.bh</w:t>
      </w:r>
      <w:r>
        <w:rPr>
          <w:rFonts w:ascii="Arial" w:hAnsi="Arial"/>
          <w:b/>
          <w:strike w:val="false"/>
          <w:dstrike w:val="false"/>
          <w:color w:val="000000"/>
          <w:spacing w:val="-6"/>
          <w:w w:val="100"/>
          <w:position w:val="0"/>
          <w:sz w:val="20"/>
          <w:sz w:val="20"/>
          <w:vertAlign w:val="baseline"/>
          <w:lang w:val="en-US"/>
        </w:rPr>
        <w:t xml:space="preserve"> = r</w:t>
      </w:r>
      <w:r>
        <w:rPr>
          <w:rFonts w:ascii="Verdana" w:hAnsi="Verdana"/>
          <w:b/>
          <w:strike w:val="false"/>
          <w:dstrike w:val="false"/>
          <w:color w:val="000000"/>
          <w:spacing w:val="-6"/>
          <w:w w:val="100"/>
          <w:sz w:val="20"/>
          <w:vertAlign w:val="subscript"/>
          <w:lang w:val="en-US"/>
        </w:rPr>
        <w:t>olv.f</w:t>
      </w:r>
      <w:r>
        <w:rPr>
          <w:rFonts w:ascii="Arial" w:hAnsi="Arial"/>
          <w:b/>
          <w:strike w:val="false"/>
          <w:dstrike w:val="false"/>
          <w:color w:val="000000"/>
          <w:spacing w:val="-6"/>
          <w:w w:val="100"/>
          <w:position w:val="0"/>
          <w:sz w:val="20"/>
          <w:sz w:val="20"/>
          <w:vertAlign w:val="baseline"/>
          <w:lang w:val="en-US"/>
        </w:rPr>
        <w:t>.</w:t>
      </w:r>
      <w:r>
        <w:rPr>
          <w:rFonts w:ascii="Verdana" w:hAnsi="Verdana"/>
          <w:b/>
          <w:strike w:val="false"/>
          <w:dstrike w:val="false"/>
          <w:color w:val="000000"/>
          <w:spacing w:val="-6"/>
          <w:w w:val="100"/>
          <w:sz w:val="20"/>
          <w:vertAlign w:val="subscript"/>
          <w:lang w:val="en-US"/>
        </w:rPr>
        <w:t>d.hh</w:t>
      </w:r>
      <w:r>
        <w:rPr>
          <w:rFonts w:ascii="Arial" w:hAnsi="Arial"/>
          <w:b/>
          <w:strike w:val="false"/>
          <w:dstrike w:val="false"/>
          <w:color w:val="000000"/>
          <w:spacing w:val="-6"/>
          <w:w w:val="100"/>
          <w:position w:val="0"/>
          <w:sz w:val="20"/>
          <w:sz w:val="20"/>
          <w:vertAlign w:val="baseline"/>
          <w:lang w:val="en-US"/>
        </w:rPr>
        <w:t>*(1 + r</w:t>
      </w:r>
      <w:r>
        <w:rPr>
          <w:rFonts w:ascii="Verdana" w:hAnsi="Verdana"/>
          <w:b/>
          <w:strike w:val="false"/>
          <w:dstrike w:val="false"/>
          <w:color w:val="000000"/>
          <w:spacing w:val="-6"/>
          <w:w w:val="100"/>
          <w:sz w:val="20"/>
          <w:vertAlign w:val="subscript"/>
          <w:lang w:val="en-US"/>
        </w:rPr>
        <w:t>a</w:t>
      </w:r>
      <w:r>
        <w:rPr>
          <w:rFonts w:ascii="Arial" w:hAnsi="Arial"/>
          <w:b/>
          <w:strike w:val="false"/>
          <w:dstrike w:val="false"/>
          <w:color w:val="000000"/>
          <w:spacing w:val="-6"/>
          <w:w w:val="100"/>
          <w:position w:val="0"/>
          <w:sz w:val="20"/>
          <w:sz w:val="20"/>
          <w:vertAlign w:val="baseline"/>
          <w:lang w:val="en-US"/>
        </w:rPr>
        <w:t>*(1-r</w:t>
      </w:r>
      <w:r>
        <w:rPr>
          <w:rFonts w:ascii="Verdana" w:hAnsi="Verdana"/>
          <w:b/>
          <w:strike w:val="false"/>
          <w:dstrike w:val="false"/>
          <w:color w:val="000000"/>
          <w:spacing w:val="-6"/>
          <w:w w:val="100"/>
          <w:sz w:val="20"/>
          <w:vertAlign w:val="subscript"/>
          <w:lang w:val="en-US"/>
        </w:rPr>
        <w:t>Dw.s</w:t>
      </w:r>
      <w:r>
        <w:rPr>
          <w:rFonts w:ascii="Arial" w:hAnsi="Arial"/>
          <w:b/>
          <w:strike w:val="false"/>
          <w:dstrike w:val="false"/>
          <w:color w:val="000000"/>
          <w:spacing w:val="-6"/>
          <w:w w:val="100"/>
          <w:position w:val="0"/>
          <w:sz w:val="20"/>
          <w:sz w:val="20"/>
          <w:vertAlign w:val="baseline"/>
          <w:lang w:val="en-US"/>
        </w:rPr>
        <w:t>.</w:t>
      </w:r>
      <w:r>
        <w:rPr>
          <w:rFonts w:ascii="Verdana" w:hAnsi="Verdana"/>
          <w:b/>
          <w:strike w:val="false"/>
          <w:dstrike w:val="false"/>
          <w:color w:val="000000"/>
          <w:spacing w:val="-6"/>
          <w:w w:val="100"/>
          <w:sz w:val="20"/>
          <w:vertAlign w:val="subscript"/>
          <w:lang w:val="en-US"/>
        </w:rPr>
        <w:t>d.hh</w:t>
      </w:r>
      <w:r>
        <w:rPr>
          <w:rFonts w:ascii="Arial" w:hAnsi="Arial"/>
          <w:b/>
          <w:strike w:val="false"/>
          <w:dstrike w:val="false"/>
          <w:color w:val="000000"/>
          <w:spacing w:val="-6"/>
          <w:w w:val="100"/>
          <w:position w:val="0"/>
          <w:sz w:val="20"/>
          <w:sz w:val="20"/>
          <w:vertAlign w:val="baseline"/>
          <w:lang w:val="en-US"/>
        </w:rPr>
        <w:t>)) where r</w:t>
      </w:r>
      <w:r>
        <w:rPr>
          <w:rFonts w:ascii="Verdana" w:hAnsi="Verdana"/>
          <w:b/>
          <w:strike w:val="false"/>
          <w:dstrike w:val="false"/>
          <w:color w:val="000000"/>
          <w:spacing w:val="-6"/>
          <w:w w:val="100"/>
          <w:sz w:val="20"/>
          <w:vertAlign w:val="subscript"/>
          <w:lang w:val="en-US"/>
        </w:rPr>
        <w:t>a</w:t>
      </w:r>
      <w:r>
        <w:rPr>
          <w:rFonts w:ascii="Arial" w:hAnsi="Arial"/>
          <w:b/>
          <w:strike w:val="false"/>
          <w:dstrike w:val="false"/>
          <w:color w:val="000000"/>
          <w:spacing w:val="-6"/>
          <w:w w:val="100"/>
          <w:position w:val="0"/>
          <w:sz w:val="20"/>
          <w:sz w:val="20"/>
          <w:vertAlign w:val="baseline"/>
          <w:lang w:val="en-US"/>
        </w:rPr>
        <w:t xml:space="preserve"> is the estimated </w:t>
      </w:r>
      <w:r>
        <w:rPr>
          <w:rFonts w:ascii="Arial" w:hAnsi="Arial"/>
          <w:b/>
          <w:strike w:val="false"/>
          <w:dstrike w:val="false"/>
          <w:color w:val="000000"/>
          <w:spacing w:val="3"/>
          <w:w w:val="100"/>
          <w:position w:val="0"/>
          <w:sz w:val="20"/>
          <w:sz w:val="20"/>
          <w:vertAlign w:val="baseline"/>
          <w:lang w:val="en-US"/>
        </w:rPr>
        <w:t xml:space="preserve">state and local income tax rate. For corporations, I gross up the federal statutory marginal </w:t>
      </w:r>
      <w:r>
        <w:rPr>
          <w:rFonts w:ascii="Arial" w:hAnsi="Arial"/>
          <w:b/>
          <w:strike w:val="false"/>
          <w:dstrike w:val="false"/>
          <w:color w:val="000000"/>
          <w:spacing w:val="2"/>
          <w:w w:val="100"/>
          <w:position w:val="0"/>
          <w:sz w:val="20"/>
          <w:sz w:val="20"/>
          <w:vertAlign w:val="baseline"/>
          <w:lang w:val="en-US"/>
        </w:rPr>
        <w:t xml:space="preserve">tax rate on corporations by the ratio of federal plus state and local corporate income tax </w:t>
      </w:r>
      <w:r>
        <w:rPr>
          <w:rFonts w:ascii="Arial" w:hAnsi="Arial"/>
          <w:b/>
          <w:strike w:val="false"/>
          <w:dstrike w:val="false"/>
          <w:color w:val="000000"/>
          <w:spacing w:val="1"/>
          <w:w w:val="100"/>
          <w:position w:val="0"/>
          <w:sz w:val="20"/>
          <w:sz w:val="20"/>
          <w:vertAlign w:val="baseline"/>
          <w:lang w:val="en-US"/>
        </w:rPr>
        <w:t>collections, divided by federal collections.</w:t>
      </w:r>
    </w:p>
    <w:p>
      <w:pPr>
        <w:pStyle w:val="Normal"/>
        <w:spacing w:lineRule="auto" w:line="480" w:before="216" w:after="0"/>
        <w:ind w:left="0" w:right="0" w:firstLine="720"/>
        <w:jc w:val="both"/>
        <w:rPr>
          <w:rFonts w:ascii="Arial" w:hAnsi="Arial"/>
          <w:b/>
          <w:b/>
          <w:strike w:val="false"/>
          <w:dstrike w:val="false"/>
          <w:color w:val="000000"/>
          <w:spacing w:val="4"/>
          <w:w w:val="100"/>
          <w:position w:val="0"/>
          <w:sz w:val="22"/>
          <w:sz w:val="20"/>
          <w:vertAlign w:val="baseline"/>
          <w:lang w:val="en-US"/>
        </w:rPr>
      </w:pPr>
      <w:r>
        <w:rPr>
          <w:rFonts w:ascii="Arial" w:hAnsi="Arial"/>
          <w:b/>
          <w:strike w:val="false"/>
          <w:dstrike w:val="false"/>
          <w:color w:val="000000"/>
          <w:spacing w:val="4"/>
          <w:w w:val="100"/>
          <w:position w:val="0"/>
          <w:sz w:val="20"/>
          <w:sz w:val="20"/>
          <w:vertAlign w:val="baseline"/>
          <w:lang w:val="en-US"/>
        </w:rPr>
        <w:t xml:space="preserve">With respect to debt, the algorithm for estimating the weighted average tax burden </w:t>
      </w:r>
      <w:r>
        <w:rPr>
          <w:rFonts w:ascii="Arial" w:hAnsi="Arial"/>
          <w:b/>
          <w:strike w:val="false"/>
          <w:dstrike w:val="false"/>
          <w:color w:val="000000"/>
          <w:spacing w:val="1"/>
          <w:w w:val="100"/>
          <w:position w:val="0"/>
          <w:sz w:val="20"/>
          <w:sz w:val="20"/>
          <w:vertAlign w:val="baseline"/>
          <w:lang w:val="en-US"/>
        </w:rPr>
        <w:t xml:space="preserve">is similar to that for equity, with two differences. First, I calculate weighted average marginal </w:t>
      </w:r>
      <w:r>
        <w:rPr>
          <w:rFonts w:ascii="Arial" w:hAnsi="Arial"/>
          <w:b/>
          <w:strike w:val="false"/>
          <w:dstrike w:val="false"/>
          <w:color w:val="000000"/>
          <w:spacing w:val="3"/>
          <w:w w:val="100"/>
          <w:position w:val="0"/>
          <w:sz w:val="20"/>
          <w:sz w:val="20"/>
          <w:vertAlign w:val="baseline"/>
          <w:lang w:val="en-US"/>
        </w:rPr>
        <w:t xml:space="preserve">tax rates for three classes of credit market liabilities of the NFCs: corporate bonds, open </w:t>
      </w:r>
      <w:r>
        <w:rPr>
          <w:rFonts w:ascii="Arial" w:hAnsi="Arial"/>
          <w:b/>
          <w:strike w:val="false"/>
          <w:dstrike w:val="false"/>
          <w:color w:val="000000"/>
          <w:spacing w:val="4"/>
          <w:w w:val="100"/>
          <w:position w:val="0"/>
          <w:sz w:val="20"/>
          <w:sz w:val="20"/>
          <w:vertAlign w:val="baseline"/>
          <w:lang w:val="en-US"/>
        </w:rPr>
        <w:t xml:space="preserve">market paper, and commercial mortgages. For each type of debt, I construct ownership </w:t>
      </w:r>
      <w:r>
        <w:rPr>
          <w:rFonts w:ascii="Arial" w:hAnsi="Arial"/>
          <w:b/>
          <w:strike w:val="false"/>
          <w:dstrike w:val="false"/>
          <w:color w:val="000000"/>
          <w:spacing w:val="-3"/>
          <w:w w:val="100"/>
          <w:position w:val="0"/>
          <w:sz w:val="20"/>
          <w:sz w:val="20"/>
          <w:vertAlign w:val="baseline"/>
          <w:lang w:val="en-US"/>
        </w:rPr>
        <w:t xml:space="preserve">shares as for equity above, using the relevant data from the Flow of Funds, and I compute the </w:t>
      </w:r>
      <w:r>
        <w:rPr>
          <w:rFonts w:ascii="Arial" w:hAnsi="Arial"/>
          <w:b/>
          <w:strike w:val="false"/>
          <w:dstrike w:val="false"/>
          <w:color w:val="000000"/>
          <w:spacing w:val="1"/>
          <w:w w:val="100"/>
          <w:position w:val="0"/>
          <w:sz w:val="20"/>
          <w:sz w:val="20"/>
          <w:vertAlign w:val="baseline"/>
          <w:lang w:val="en-US"/>
        </w:rPr>
        <w:t xml:space="preserve">weighted average interest marginal tax rate on this type of debt. The three resulting marginal tax rates are then combined with weights equal to the fractions of bonds, mortgages, and </w:t>
      </w:r>
      <w:r>
        <w:rPr>
          <w:rFonts w:ascii="Arial" w:hAnsi="Arial"/>
          <w:b/>
          <w:strike w:val="false"/>
          <w:dstrike w:val="false"/>
          <w:color w:val="000000"/>
          <w:spacing w:val="-3"/>
          <w:w w:val="100"/>
          <w:position w:val="0"/>
          <w:sz w:val="20"/>
          <w:sz w:val="20"/>
          <w:vertAlign w:val="baseline"/>
          <w:lang w:val="en-US"/>
        </w:rPr>
        <w:t xml:space="preserve">commercial paper plus bank acceptances in NFC credit market liabilities. By dividing by credit </w:t>
      </w:r>
      <w:r>
        <w:rPr>
          <w:rFonts w:ascii="Arial" w:hAnsi="Arial"/>
          <w:b/>
          <w:strike w:val="false"/>
          <w:dstrike w:val="false"/>
          <w:color w:val="000000"/>
          <w:spacing w:val="1"/>
          <w:w w:val="100"/>
          <w:position w:val="0"/>
          <w:sz w:val="20"/>
          <w:sz w:val="20"/>
          <w:vertAlign w:val="baseline"/>
          <w:lang w:val="en-US"/>
        </w:rPr>
        <w:t>market liabilities I effectively assume that all other types of debt, including trade debt, tax-</w:t>
      </w:r>
      <w:r>
        <w:rPr>
          <w:rFonts w:ascii="Arial" w:hAnsi="Arial"/>
          <w:b/>
          <w:strike w:val="false"/>
          <w:dstrike w:val="false"/>
          <w:color w:val="000000"/>
          <w:spacing w:val="3"/>
          <w:w w:val="100"/>
          <w:position w:val="0"/>
          <w:sz w:val="20"/>
          <w:sz w:val="20"/>
          <w:vertAlign w:val="baseline"/>
          <w:lang w:val="en-US"/>
        </w:rPr>
        <w:t xml:space="preserve">exempt bonds, and taxes payable, do not generate interest or associated tax burdens. This </w:t>
      </w:r>
      <w:r>
        <w:rPr>
          <w:rFonts w:ascii="Arial" w:hAnsi="Arial"/>
          <w:b/>
          <w:strike w:val="false"/>
          <w:dstrike w:val="false"/>
          <w:color w:val="000000"/>
          <w:spacing w:val="-1"/>
          <w:w w:val="100"/>
          <w:position w:val="0"/>
          <w:sz w:val="20"/>
          <w:sz w:val="20"/>
          <w:vertAlign w:val="baseline"/>
          <w:lang w:val="en-US"/>
        </w:rPr>
        <w:t xml:space="preserve">is a conservative assumption with respect to the marginal tax burden on NFC interest payouts. </w:t>
      </w:r>
      <w:r>
        <w:rPr>
          <w:rFonts w:ascii="Arial" w:hAnsi="Arial"/>
          <w:b/>
          <w:strike w:val="false"/>
          <w:dstrike w:val="false"/>
          <w:color w:val="000000"/>
          <w:spacing w:val="0"/>
          <w:w w:val="100"/>
          <w:position w:val="0"/>
          <w:sz w:val="20"/>
          <w:sz w:val="20"/>
          <w:vertAlign w:val="baseline"/>
          <w:lang w:val="en-US"/>
        </w:rPr>
        <w:t xml:space="preserve">For consistency I use the weighted average marginal tax rate on household dividend receipts </w:t>
      </w:r>
      <w:r>
        <w:rPr>
          <w:rFonts w:ascii="Arial" w:hAnsi="Arial"/>
          <w:b/>
          <w:strike w:val="false"/>
          <w:dstrike w:val="false"/>
          <w:color w:val="000000"/>
          <w:spacing w:val="2"/>
          <w:w w:val="100"/>
          <w:position w:val="0"/>
          <w:sz w:val="20"/>
          <w:sz w:val="20"/>
          <w:vertAlign w:val="baseline"/>
          <w:lang w:val="en-US"/>
        </w:rPr>
        <w:t xml:space="preserve">for the interest income tax rate as well; this allows for a single "representative investor" in </w:t>
      </w:r>
      <w:r>
        <w:rPr>
          <w:rFonts w:ascii="Arial" w:hAnsi="Arial"/>
          <w:b/>
          <w:strike w:val="false"/>
          <w:dstrike w:val="false"/>
          <w:color w:val="000000"/>
          <w:spacing w:val="0"/>
          <w:w w:val="100"/>
          <w:position w:val="0"/>
          <w:sz w:val="20"/>
          <w:sz w:val="20"/>
          <w:vertAlign w:val="baseline"/>
          <w:lang w:val="en-US"/>
        </w:rPr>
        <w:t>the household sector.</w:t>
      </w:r>
    </w:p>
    <w:p>
      <w:pPr>
        <w:sectPr>
          <w:type w:val="nextPage"/>
          <w:pgSz w:w="12240" w:h="15840"/>
          <w:pgMar w:left="1395" w:right="1335" w:header="0" w:top="1440" w:footer="0" w:bottom="1430" w:gutter="0"/>
          <w:pgNumType w:fmt="decimal"/>
          <w:formProt w:val="false"/>
          <w:textDirection w:val="lrTb"/>
          <w:docGrid w:type="default" w:linePitch="100" w:charSpace="4096"/>
        </w:sectPr>
        <w:pStyle w:val="Normal"/>
        <w:spacing w:lineRule="auto" w:line="480" w:before="324" w:after="0"/>
        <w:ind w:left="0" w:right="0" w:firstLine="720"/>
        <w:jc w:val="both"/>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Appendix Table A-1 shows the weighted average marginal tax rates on NFC dividend </w:t>
      </w:r>
      <w:r>
        <w:rPr>
          <w:rFonts w:ascii="Arial" w:hAnsi="Arial"/>
          <w:b/>
          <w:strike w:val="false"/>
          <w:dstrike w:val="false"/>
          <w:color w:val="000000"/>
          <w:spacing w:val="1"/>
          <w:w w:val="100"/>
          <w:position w:val="0"/>
          <w:sz w:val="20"/>
          <w:sz w:val="20"/>
          <w:vertAlign w:val="baseline"/>
          <w:lang w:val="en-US"/>
        </w:rPr>
        <w:t>payouts, and interest income, that result from these calculation. The tax rates vary as a result</w:t>
      </w:r>
    </w:p>
    <w:p>
      <w:pPr>
        <w:pStyle w:val="Normal"/>
        <w:spacing w:lineRule="auto" w:line="206"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w:t>
      </w:r>
    </w:p>
    <w:p>
      <w:pPr>
        <w:pStyle w:val="Normal"/>
        <w:spacing w:lineRule="auto" w:line="480" w:before="216" w:after="0"/>
        <w:ind w:left="0" w:right="0" w:hanging="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of changes in the statutory tax rates faced by different investor classes, and as a result of </w:t>
      </w:r>
      <w:r>
        <w:rPr>
          <w:rFonts w:ascii="Arial" w:hAnsi="Arial"/>
          <w:b/>
          <w:strike w:val="false"/>
          <w:dstrike w:val="false"/>
          <w:color w:val="000000"/>
          <w:spacing w:val="-2"/>
          <w:w w:val="100"/>
          <w:position w:val="0"/>
          <w:sz w:val="20"/>
          <w:sz w:val="20"/>
          <w:vertAlign w:val="baseline"/>
          <w:lang w:val="en-US"/>
        </w:rPr>
        <w:t xml:space="preserve">changes in the distribution of stock and bond holdings across different groups with different </w:t>
      </w:r>
      <w:r>
        <w:rPr>
          <w:rFonts w:ascii="Arial" w:hAnsi="Arial"/>
          <w:b/>
          <w:strike w:val="false"/>
          <w:dstrike w:val="false"/>
          <w:color w:val="000000"/>
          <w:spacing w:val="4"/>
          <w:w w:val="100"/>
          <w:position w:val="0"/>
          <w:sz w:val="20"/>
          <w:sz w:val="20"/>
          <w:vertAlign w:val="baseline"/>
          <w:lang w:val="en-US"/>
        </w:rPr>
        <w:t xml:space="preserve">marginal tax rates. The rise of equity ownership by pension funds during the last three </w:t>
      </w:r>
      <w:r>
        <w:rPr>
          <w:rFonts w:ascii="Arial" w:hAnsi="Arial"/>
          <w:b/>
          <w:strike w:val="false"/>
          <w:dstrike w:val="false"/>
          <w:color w:val="000000"/>
          <w:spacing w:val="-2"/>
          <w:w w:val="100"/>
          <w:position w:val="0"/>
          <w:sz w:val="20"/>
          <w:sz w:val="20"/>
          <w:vertAlign w:val="baseline"/>
          <w:lang w:val="en-US"/>
        </w:rPr>
        <w:t xml:space="preserve">decades, for example, combines with declining statutory marginal tax rates on households to </w:t>
      </w:r>
      <w:r>
        <w:rPr>
          <w:rFonts w:ascii="Arial" w:hAnsi="Arial"/>
          <w:b/>
          <w:strike w:val="false"/>
          <w:dstrike w:val="false"/>
          <w:color w:val="000000"/>
          <w:spacing w:val="2"/>
          <w:w w:val="100"/>
          <w:position w:val="0"/>
          <w:sz w:val="20"/>
          <w:sz w:val="20"/>
          <w:vertAlign w:val="baseline"/>
          <w:lang w:val="en-US"/>
        </w:rPr>
        <w:t>reduce the marginal tax rate on dividends.</w:t>
      </w:r>
    </w:p>
    <w:p>
      <w:pPr>
        <w:pStyle w:val="Normal"/>
        <w:spacing w:lineRule="auto" w:line="480" w:before="144" w:after="0"/>
        <w:ind w:left="0" w:right="0" w:firstLine="720"/>
        <w:jc w:val="both"/>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The second step in the procedure involves estimating the capital gains tax liability </w:t>
      </w:r>
      <w:r>
        <w:rPr>
          <w:rFonts w:ascii="Arial" w:hAnsi="Arial"/>
          <w:b/>
          <w:strike w:val="false"/>
          <w:dstrike w:val="false"/>
          <w:color w:val="000000"/>
          <w:spacing w:val="4"/>
          <w:w w:val="100"/>
          <w:position w:val="0"/>
          <w:sz w:val="20"/>
          <w:sz w:val="20"/>
          <w:vertAlign w:val="baseline"/>
          <w:lang w:val="en-US"/>
        </w:rPr>
        <w:t xml:space="preserve">associated with NFC operations. Capital gains on shares can come from three sources: </w:t>
      </w:r>
      <w:r>
        <w:rPr>
          <w:rFonts w:ascii="Arial" w:hAnsi="Arial"/>
          <w:b/>
          <w:strike w:val="false"/>
          <w:dstrike w:val="false"/>
          <w:color w:val="000000"/>
          <w:spacing w:val="0"/>
          <w:w w:val="100"/>
          <w:position w:val="0"/>
          <w:sz w:val="20"/>
          <w:sz w:val="20"/>
          <w:vertAlign w:val="baseline"/>
          <w:lang w:val="en-US"/>
        </w:rPr>
        <w:t xml:space="preserve">retained earnings that are used to purchase assets, inflationary appreciation of the nominal </w:t>
      </w:r>
      <w:r>
        <w:rPr>
          <w:rFonts w:ascii="Arial" w:hAnsi="Arial"/>
          <w:b/>
          <w:strike w:val="false"/>
          <w:dstrike w:val="false"/>
          <w:color w:val="000000"/>
          <w:spacing w:val="1"/>
          <w:w w:val="100"/>
          <w:position w:val="0"/>
          <w:sz w:val="20"/>
          <w:sz w:val="20"/>
          <w:vertAlign w:val="baseline"/>
          <w:lang w:val="en-US"/>
        </w:rPr>
        <w:t xml:space="preserve">assets that NFCs hold, or inflation-induced revaluation of outstanding corporate liabilities, which redounds to the benefit of shareholders. To estimate the second and third components </w:t>
      </w:r>
      <w:r>
        <w:rPr>
          <w:rFonts w:ascii="Arial" w:hAnsi="Arial"/>
          <w:b/>
          <w:strike w:val="false"/>
          <w:dstrike w:val="false"/>
          <w:color w:val="000000"/>
          <w:spacing w:val="-3"/>
          <w:w w:val="100"/>
          <w:position w:val="0"/>
          <w:sz w:val="20"/>
          <w:sz w:val="20"/>
          <w:vertAlign w:val="baseline"/>
          <w:lang w:val="en-US"/>
        </w:rPr>
        <w:t>of capital gains, I assume that the capital stock appreciates at the rate of growth of the chain-</w:t>
      </w:r>
      <w:r>
        <w:rPr>
          <w:rFonts w:ascii="Arial" w:hAnsi="Arial"/>
          <w:b/>
          <w:strike w:val="false"/>
          <w:dstrike w:val="false"/>
          <w:color w:val="000000"/>
          <w:spacing w:val="1"/>
          <w:w w:val="100"/>
          <w:position w:val="0"/>
          <w:sz w:val="20"/>
          <w:sz w:val="20"/>
          <w:vertAlign w:val="baseline"/>
          <w:lang w:val="en-US"/>
        </w:rPr>
        <w:t>weighted GDP deflator, and I construct (Inflation Rate</w:t>
      </w:r>
      <w:r>
        <w:rPr>
          <w:rFonts w:ascii="Arial" w:hAnsi="Arial"/>
          <w:b/>
          <w:strike w:val="false"/>
          <w:dstrike w:val="false"/>
          <w:color w:val="000000"/>
          <w:spacing w:val="1"/>
          <w:w w:val="100"/>
          <w:sz w:val="20"/>
          <w:vertAlign w:val="subscript"/>
          <w:lang w:val="en-US"/>
        </w:rPr>
        <w:t>t</w:t>
      </w:r>
      <w:r>
        <w:rPr>
          <w:rFonts w:ascii="Arial" w:hAnsi="Arial"/>
          <w:b/>
          <w:strike w:val="false"/>
          <w:dstrike w:val="false"/>
          <w:color w:val="000000"/>
          <w:spacing w:val="1"/>
          <w:w w:val="100"/>
          <w:position w:val="0"/>
          <w:sz w:val="20"/>
          <w:sz w:val="20"/>
          <w:vertAlign w:val="baseline"/>
          <w:lang w:val="en-US"/>
        </w:rPr>
        <w:t>)*(Tangible Assets</w:t>
      </w:r>
      <w:r>
        <w:rPr>
          <w:rFonts w:ascii="Arial" w:hAnsi="Arial"/>
          <w:b/>
          <w:strike w:val="false"/>
          <w:dstrike w:val="false"/>
          <w:color w:val="000000"/>
          <w:spacing w:val="1"/>
          <w:w w:val="100"/>
          <w:sz w:val="20"/>
          <w:vertAlign w:val="subscript"/>
          <w:lang w:val="en-US"/>
        </w:rPr>
        <w:t>o</w:t>
      </w:r>
      <w:r>
        <w:rPr>
          <w:rFonts w:ascii="Arial" w:hAnsi="Arial"/>
          <w:b/>
          <w:strike w:val="false"/>
          <w:dstrike w:val="false"/>
          <w:color w:val="000000"/>
          <w:spacing w:val="1"/>
          <w:w w:val="100"/>
          <w:position w:val="0"/>
          <w:sz w:val="20"/>
          <w:sz w:val="20"/>
          <w:vertAlign w:val="baseline"/>
          <w:lang w:val="en-US"/>
        </w:rPr>
        <w:t xml:space="preserve">) as an estimate of </w:t>
      </w:r>
      <w:r>
        <w:rPr>
          <w:rFonts w:ascii="Arial" w:hAnsi="Arial"/>
          <w:b/>
          <w:strike w:val="false"/>
          <w:dstrike w:val="false"/>
          <w:color w:val="000000"/>
          <w:spacing w:val="3"/>
          <w:w w:val="100"/>
          <w:position w:val="0"/>
          <w:sz w:val="20"/>
          <w:sz w:val="20"/>
          <w:vertAlign w:val="baseline"/>
          <w:lang w:val="en-US"/>
        </w:rPr>
        <w:t xml:space="preserve">the nominal revaluation of assets. For the inflationary gain on corporate debt, I apply the same inflation rate to an estimate of the market value of NFC debt based on net interest payments capitalized at the annual average of the BAA interest rate. Table A-1 shows the </w:t>
      </w:r>
      <w:r>
        <w:rPr>
          <w:rFonts w:ascii="Arial" w:hAnsi="Arial"/>
          <w:b/>
          <w:strike w:val="false"/>
          <w:dstrike w:val="false"/>
          <w:color w:val="000000"/>
          <w:spacing w:val="4"/>
          <w:w w:val="100"/>
          <w:position w:val="0"/>
          <w:sz w:val="20"/>
          <w:sz w:val="20"/>
          <w:vertAlign w:val="baseline"/>
          <w:lang w:val="en-US"/>
        </w:rPr>
        <w:t xml:space="preserve">three resulting components of imputed capital gains. There is substantial fluctuation in </w:t>
      </w:r>
      <w:r>
        <w:rPr>
          <w:rFonts w:ascii="Arial" w:hAnsi="Arial"/>
          <w:b/>
          <w:strike w:val="false"/>
          <w:dstrike w:val="false"/>
          <w:color w:val="000000"/>
          <w:spacing w:val="2"/>
          <w:w w:val="100"/>
          <w:position w:val="0"/>
          <w:sz w:val="20"/>
          <w:sz w:val="20"/>
          <w:vertAlign w:val="baseline"/>
          <w:lang w:val="en-US"/>
        </w:rPr>
        <w:t xml:space="preserve">retained earnings, and in most recent years the inflation-induced revaluation of corporate </w:t>
      </w:r>
      <w:r>
        <w:rPr>
          <w:rFonts w:ascii="Arial" w:hAnsi="Arial"/>
          <w:b/>
          <w:strike w:val="false"/>
          <w:dstrike w:val="false"/>
          <w:color w:val="000000"/>
          <w:spacing w:val="5"/>
          <w:w w:val="100"/>
          <w:position w:val="0"/>
          <w:sz w:val="20"/>
          <w:sz w:val="20"/>
          <w:vertAlign w:val="baseline"/>
          <w:lang w:val="en-US"/>
        </w:rPr>
        <w:t xml:space="preserve">assets exceeds the retained earnings as shown in the NIPA. The inflationary gains on </w:t>
      </w:r>
      <w:r>
        <w:rPr>
          <w:rFonts w:ascii="Arial" w:hAnsi="Arial"/>
          <w:b/>
          <w:strike w:val="false"/>
          <w:dstrike w:val="false"/>
          <w:color w:val="000000"/>
          <w:spacing w:val="-1"/>
          <w:w w:val="100"/>
          <w:position w:val="0"/>
          <w:sz w:val="20"/>
          <w:sz w:val="20"/>
          <w:vertAlign w:val="baseline"/>
          <w:lang w:val="en-US"/>
        </w:rPr>
        <w:t xml:space="preserve">corporate debt, as well as the inflation-induced asset revaluation term, peak during the high </w:t>
      </w:r>
      <w:r>
        <w:rPr>
          <w:rFonts w:ascii="Arial" w:hAnsi="Arial"/>
          <w:b/>
          <w:strike w:val="false"/>
          <w:dstrike w:val="false"/>
          <w:color w:val="000000"/>
          <w:spacing w:val="3"/>
          <w:w w:val="100"/>
          <w:position w:val="0"/>
          <w:sz w:val="20"/>
          <w:sz w:val="20"/>
          <w:vertAlign w:val="baseline"/>
          <w:lang w:val="en-US"/>
        </w:rPr>
        <w:t>inflation period of the late 1970s (the entries in Table A-1 are in nominal dollars).</w:t>
      </w:r>
    </w:p>
    <w:p>
      <w:pPr>
        <w:sectPr>
          <w:type w:val="nextPage"/>
          <w:pgSz w:w="12240" w:h="15840"/>
          <w:pgMar w:left="1585" w:right="1145" w:header="0" w:top="1420" w:footer="0" w:bottom="1530" w:gutter="0"/>
          <w:pgNumType w:fmt="decimal"/>
          <w:formProt w:val="false"/>
          <w:textDirection w:val="lrTb"/>
          <w:docGrid w:type="default" w:linePitch="100" w:charSpace="4096"/>
        </w:sectPr>
        <w:pStyle w:val="Normal"/>
        <w:spacing w:lineRule="auto" w:line="480" w:before="396" w:after="0"/>
        <w:ind w:left="0" w:right="0" w:firstLine="72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The total capital gain on corporate shares, equal to the sum of the three components in Table A-2, is assumed to face taxation at a weighted average marginal tax rate on capital </w:t>
      </w:r>
      <w:r>
        <w:rPr>
          <w:rFonts w:ascii="Arial" w:hAnsi="Arial"/>
          <w:b/>
          <w:strike w:val="false"/>
          <w:dstrike w:val="false"/>
          <w:color w:val="000000"/>
          <w:spacing w:val="2"/>
          <w:w w:val="100"/>
          <w:position w:val="0"/>
          <w:sz w:val="20"/>
          <w:sz w:val="20"/>
          <w:vertAlign w:val="baseline"/>
          <w:lang w:val="en-US"/>
        </w:rPr>
        <w:t xml:space="preserve">gains, with weights corresponding to the equity ownership fractions above. For households, </w:t>
      </w:r>
      <w:r>
        <w:rPr>
          <w:rFonts w:ascii="Arial" w:hAnsi="Arial"/>
          <w:b/>
          <w:strike w:val="false"/>
          <w:dstrike w:val="false"/>
          <w:color w:val="000000"/>
          <w:spacing w:val="0"/>
          <w:w w:val="100"/>
          <w:position w:val="0"/>
          <w:sz w:val="20"/>
          <w:sz w:val="20"/>
          <w:vertAlign w:val="baseline"/>
          <w:lang w:val="en-US"/>
        </w:rPr>
        <w:t>I make the conservative assumption that the top statutory marginal tax rate is reduced by half</w:t>
      </w:r>
    </w:p>
    <w:p>
      <w:pPr>
        <w:pStyle w:val="Normal"/>
        <w:spacing w:lineRule="exact" w:line="337" w:before="0" w:after="0"/>
        <w:ind w:left="0" w:right="0" w:hanging="0"/>
        <w:jc w:val="center"/>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43 </w:t>
        <w:br/>
      </w:r>
      <w:r>
        <w:rPr>
          <w:rFonts w:ascii="Arial" w:hAnsi="Arial"/>
          <w:b/>
          <w:strike w:val="false"/>
          <w:dstrike w:val="false"/>
          <w:color w:val="000000"/>
          <w:spacing w:val="5"/>
          <w:w w:val="100"/>
          <w:position w:val="0"/>
          <w:sz w:val="20"/>
          <w:sz w:val="20"/>
          <w:vertAlign w:val="baseline"/>
          <w:lang w:val="en-US"/>
        </w:rPr>
        <w:t>on account of capital gains deferral, and half again because some gains escape taxation</w:t>
      </w:r>
    </w:p>
    <w:p>
      <w:pPr>
        <w:pStyle w:val="Normal"/>
        <w:spacing w:lineRule="exact" w:line="430" w:before="144" w:after="0"/>
        <w:ind w:left="0" w:right="0" w:hanging="0"/>
        <w:jc w:val="both"/>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through basis step-up at death. In 1996, when the top statutory marginal tax rate on capital </w:t>
      </w:r>
      <w:r>
        <w:rPr>
          <w:rFonts w:ascii="Arial" w:hAnsi="Arial"/>
          <w:b/>
          <w:strike w:val="false"/>
          <w:dstrike w:val="false"/>
          <w:color w:val="000000"/>
          <w:spacing w:val="2"/>
          <w:w w:val="100"/>
          <w:position w:val="0"/>
          <w:sz w:val="20"/>
          <w:sz w:val="20"/>
          <w:vertAlign w:val="baseline"/>
          <w:lang w:val="en-US"/>
        </w:rPr>
        <w:t>gains was 28 percent, this results in an "effective" marginal tax rate of 7 percent. For the financial institutions in the equity ownership matrix, I follow Feldstein and Summers (1979) and assume a fifteen percent marginal tax rate on capital gains in all years.</w:t>
      </w:r>
    </w:p>
    <w:p>
      <w:pPr>
        <w:pStyle w:val="Normal"/>
        <w:spacing w:lineRule="exact" w:line="405" w:before="180" w:after="0"/>
        <w:ind w:left="0" w:right="0" w:firstLine="720"/>
        <w:jc w:val="both"/>
        <w:rPr>
          <w:rFonts w:ascii="Arial" w:hAnsi="Arial"/>
          <w:b/>
          <w:b/>
          <w:strike w:val="false"/>
          <w:dstrike w:val="false"/>
          <w:color w:val="000000"/>
          <w:spacing w:val="2"/>
          <w:w w:val="100"/>
          <w:position w:val="0"/>
          <w:sz w:val="22"/>
          <w:sz w:val="20"/>
          <w:vertAlign w:val="baseline"/>
          <w:lang w:val="en-US"/>
        </w:rPr>
      </w:pPr>
      <w:r>
        <w:rPr>
          <w:rFonts w:ascii="Arial" w:hAnsi="Arial"/>
          <w:b/>
          <w:strike w:val="false"/>
          <w:dstrike w:val="false"/>
          <w:color w:val="000000"/>
          <w:spacing w:val="2"/>
          <w:w w:val="100"/>
          <w:position w:val="0"/>
          <w:sz w:val="20"/>
          <w:sz w:val="20"/>
          <w:vertAlign w:val="baseline"/>
          <w:lang w:val="en-US"/>
        </w:rPr>
        <w:t xml:space="preserve">The foregoing calculations of the average marginal tax rates that apply to each type </w:t>
      </w:r>
      <w:r>
        <w:rPr>
          <w:rFonts w:ascii="Arial" w:hAnsi="Arial"/>
          <w:b/>
          <w:strike w:val="false"/>
          <w:dstrike w:val="false"/>
          <w:color w:val="000000"/>
          <w:spacing w:val="3"/>
          <w:w w:val="100"/>
          <w:position w:val="0"/>
          <w:sz w:val="20"/>
          <w:sz w:val="20"/>
          <w:vertAlign w:val="baseline"/>
          <w:lang w:val="en-US"/>
        </w:rPr>
        <w:t xml:space="preserve">of capital income generated by the NFCs are combined as follows. Total investor taxes in </w:t>
      </w:r>
      <w:r>
        <w:rPr>
          <w:rFonts w:ascii="Arial" w:hAnsi="Arial"/>
          <w:b/>
          <w:strike w:val="false"/>
          <w:dstrike w:val="false"/>
          <w:color w:val="000000"/>
          <w:spacing w:val="2"/>
          <w:w w:val="100"/>
          <w:position w:val="0"/>
          <w:sz w:val="20"/>
          <w:sz w:val="20"/>
          <w:vertAlign w:val="baseline"/>
          <w:lang w:val="en-US"/>
        </w:rPr>
        <w:t>each year are then equal to:</w:t>
      </w:r>
    </w:p>
    <w:p>
      <w:pPr>
        <w:pStyle w:val="Normal"/>
        <w:tabs>
          <w:tab w:val="clear" w:pos="720"/>
          <w:tab w:val="right" w:pos="8360" w:leader="none"/>
        </w:tabs>
        <w:spacing w:lineRule="exact" w:line="259" w:before="180" w:after="0"/>
        <w:ind w:left="576" w:right="0" w:hanging="0"/>
        <w:jc w:val="left"/>
        <w:rPr>
          <w:rFonts w:ascii="Arial" w:hAnsi="Arial"/>
          <w:b/>
          <w:b/>
          <w:strike w:val="false"/>
          <w:dstrike w:val="false"/>
          <w:color w:val="000000"/>
          <w:spacing w:val="-12"/>
          <w:w w:val="100"/>
          <w:position w:val="0"/>
          <w:sz w:val="22"/>
          <w:sz w:val="20"/>
          <w:vertAlign w:val="baseline"/>
          <w:lang w:val="en-US"/>
        </w:rPr>
      </w:pPr>
      <w:r>
        <w:rPr>
          <w:rFonts w:ascii="Arial" w:hAnsi="Arial"/>
          <w:b/>
          <w:strike w:val="false"/>
          <w:dstrike w:val="false"/>
          <w:color w:val="000000"/>
          <w:spacing w:val="-12"/>
          <w:w w:val="100"/>
          <w:position w:val="0"/>
          <w:sz w:val="20"/>
          <w:sz w:val="20"/>
          <w:vertAlign w:val="baseline"/>
          <w:lang w:val="en-US"/>
        </w:rPr>
        <w:t xml:space="preserve">TA X,„.„„„ = </w:t>
      </w:r>
      <w:r>
        <w:rPr>
          <w:rFonts w:ascii="Arial" w:hAnsi="Arial"/>
          <w:b/>
          <w:strike w:val="false"/>
          <w:dstrike w:val="false"/>
          <w:color w:val="000000"/>
          <w:spacing w:val="-12"/>
          <w:w w:val="125"/>
          <w:sz w:val="20"/>
          <w:vertAlign w:val="superscript"/>
          <w:lang w:val="en-US"/>
        </w:rPr>
        <w:t>T</w:t>
      </w:r>
      <w:r>
        <w:rPr>
          <w:rFonts w:ascii="Arial" w:hAnsi="Arial"/>
          <w:b/>
          <w:strike w:val="false"/>
          <w:dstrike w:val="false"/>
          <w:color w:val="000000"/>
          <w:spacing w:val="-12"/>
          <w:w w:val="100"/>
          <w:position w:val="0"/>
          <w:sz w:val="20"/>
          <w:sz w:val="20"/>
          <w:vertAlign w:val="baseline"/>
          <w:lang w:val="en-US"/>
        </w:rPr>
        <w:t xml:space="preserve">DIV * D VNFC + </w:t>
      </w:r>
      <w:r>
        <w:rPr>
          <w:rFonts w:ascii="Tahoma" w:hAnsi="Tahoma"/>
          <w:b/>
          <w:strike w:val="false"/>
          <w:dstrike w:val="false"/>
          <w:color w:val="000000"/>
          <w:spacing w:val="-12"/>
          <w:w w:val="100"/>
          <w:position w:val="0"/>
          <w:sz w:val="13"/>
          <w:sz w:val="13"/>
          <w:vertAlign w:val="baseline"/>
          <w:lang w:val="en-US"/>
        </w:rPr>
        <w:t xml:space="preserve">TINT </w:t>
      </w:r>
      <w:r>
        <w:rPr>
          <w:rFonts w:ascii="Tahoma" w:hAnsi="Tahoma"/>
          <w:b/>
          <w:strike w:val="false"/>
          <w:dstrike w:val="false"/>
          <w:color w:val="000000"/>
          <w:spacing w:val="-12"/>
          <w:w w:val="105"/>
          <w:position w:val="0"/>
          <w:sz w:val="16"/>
          <w:sz w:val="16"/>
          <w:vertAlign w:val="baseline"/>
          <w:lang w:val="en-US"/>
        </w:rPr>
        <w:t xml:space="preserve">* </w:t>
      </w:r>
      <w:r>
        <w:rPr>
          <w:rFonts w:ascii="Arial" w:hAnsi="Arial"/>
          <w:b/>
          <w:strike w:val="false"/>
          <w:dstrike w:val="false"/>
          <w:color w:val="000000"/>
          <w:spacing w:val="-12"/>
          <w:w w:val="100"/>
          <w:position w:val="0"/>
          <w:sz w:val="20"/>
          <w:sz w:val="20"/>
          <w:vertAlign w:val="baseline"/>
          <w:lang w:val="en-US"/>
        </w:rPr>
        <w:t>INTNFC</w:t>
        <w:tab/>
      </w:r>
      <w:r>
        <w:rPr>
          <w:rFonts w:ascii="Tahoma" w:hAnsi="Tahoma"/>
          <w:b/>
          <w:strike w:val="false"/>
          <w:dstrike w:val="false"/>
          <w:color w:val="000000"/>
          <w:spacing w:val="8"/>
          <w:w w:val="105"/>
          <w:position w:val="0"/>
          <w:sz w:val="16"/>
          <w:sz w:val="16"/>
          <w:vertAlign w:val="baseline"/>
          <w:lang w:val="en-US"/>
        </w:rPr>
        <w:t>TcG</w:t>
      </w:r>
      <w:r>
        <w:rPr>
          <w:rFonts w:ascii="Arial" w:hAnsi="Arial"/>
          <w:b/>
          <w:strike w:val="false"/>
          <w:dstrike w:val="false"/>
          <w:color w:val="000000"/>
          <w:spacing w:val="8"/>
          <w:w w:val="110"/>
          <w:sz w:val="16"/>
          <w:vertAlign w:val="superscript"/>
          <w:lang w:val="en-US"/>
        </w:rPr>
        <w:t>*</w:t>
      </w:r>
      <w:r>
        <w:rPr>
          <w:rFonts w:ascii="Tahoma" w:hAnsi="Tahoma"/>
          <w:b/>
          <w:strike w:val="false"/>
          <w:dstrike w:val="false"/>
          <w:color w:val="000000"/>
          <w:spacing w:val="8"/>
          <w:w w:val="105"/>
          <w:position w:val="0"/>
          <w:sz w:val="16"/>
          <w:sz w:val="16"/>
          <w:vertAlign w:val="baseline"/>
          <w:lang w:val="en-US"/>
        </w:rPr>
        <w:t xml:space="preserve">(RE + </w:t>
      </w:r>
      <w:r>
        <w:rPr>
          <w:rFonts w:ascii="Arial" w:hAnsi="Arial"/>
          <w:b/>
          <w:strike w:val="false"/>
          <w:dstrike w:val="false"/>
          <w:color w:val="000000"/>
          <w:spacing w:val="8"/>
          <w:w w:val="100"/>
          <w:position w:val="0"/>
          <w:sz w:val="20"/>
          <w:sz w:val="20"/>
          <w:vertAlign w:val="baseline"/>
          <w:lang w:val="en-US"/>
        </w:rPr>
        <w:t>Revaluation + Debt Gain).</w:t>
      </w:r>
    </w:p>
    <w:p>
      <w:pPr>
        <w:pStyle w:val="Normal"/>
        <w:spacing w:lineRule="exact" w:line="251" w:before="180" w:after="0"/>
        <w:ind w:left="0" w:right="0" w:hanging="0"/>
        <w:jc w:val="center"/>
        <w:rPr>
          <w:rFonts w:ascii="Arial" w:hAnsi="Arial"/>
          <w:b/>
          <w:b/>
          <w:strike w:val="false"/>
          <w:dstrike w:val="false"/>
          <w:color w:val="000000"/>
          <w:spacing w:val="8"/>
          <w:w w:val="100"/>
          <w:position w:val="0"/>
          <w:sz w:val="22"/>
          <w:sz w:val="20"/>
          <w:vertAlign w:val="baseline"/>
          <w:lang w:val="en-US"/>
        </w:rPr>
      </w:pPr>
      <w:r>
        <w:rPr>
          <w:rFonts w:ascii="Arial" w:hAnsi="Arial"/>
          <w:b/>
          <w:strike w:val="false"/>
          <w:dstrike w:val="false"/>
          <w:color w:val="000000"/>
          <w:spacing w:val="8"/>
          <w:w w:val="100"/>
          <w:position w:val="0"/>
          <w:sz w:val="20"/>
          <w:sz w:val="20"/>
          <w:vertAlign w:val="baseline"/>
          <w:lang w:val="en-US"/>
        </w:rPr>
        <w:t>The tax burden due to investor taxes is then computed as TAX,„../(Profits + Interest +</w:t>
      </w:r>
    </w:p>
    <w:p>
      <w:pPr>
        <w:pStyle w:val="Normal"/>
        <w:spacing w:lineRule="exact" w:line="312" w:before="180" w:after="0"/>
        <w:ind w:left="0" w:right="0" w:hanging="0"/>
        <w:jc w:val="left"/>
        <w:rPr>
          <w:rFonts w:ascii="Arial" w:hAnsi="Arial"/>
          <w:b/>
          <w:b/>
          <w:strike w:val="false"/>
          <w:dstrike w:val="false"/>
          <w:color w:val="000000"/>
          <w:spacing w:val="6"/>
          <w:w w:val="100"/>
          <w:position w:val="0"/>
          <w:sz w:val="22"/>
          <w:sz w:val="20"/>
          <w:vertAlign w:val="baseline"/>
          <w:lang w:val="en-US"/>
        </w:rPr>
      </w:pPr>
      <w:r>
        <w:rPr>
          <w:rFonts w:ascii="Arial" w:hAnsi="Arial"/>
          <w:b/>
          <w:strike w:val="false"/>
          <w:dstrike w:val="false"/>
          <w:color w:val="000000"/>
          <w:spacing w:val="6"/>
          <w:w w:val="100"/>
          <w:position w:val="0"/>
          <w:sz w:val="20"/>
          <w:sz w:val="20"/>
          <w:vertAlign w:val="baseline"/>
          <w:lang w:val="en-US"/>
        </w:rPr>
        <w:t xml:space="preserve">Property Taxes); this is the entry in the fourth column of Table 2. The entry in the last </w:t>
      </w:r>
      <w:r>
        <w:rPr>
          <w:rFonts w:ascii="Arial" w:hAnsi="Arial"/>
          <w:b/>
          <w:strike w:val="false"/>
          <w:dstrike w:val="false"/>
          <w:color w:val="000000"/>
          <w:spacing w:val="5"/>
          <w:w w:val="100"/>
          <w:position w:val="0"/>
          <w:sz w:val="20"/>
          <w:sz w:val="20"/>
          <w:vertAlign w:val="baseline"/>
          <w:lang w:val="en-US"/>
        </w:rPr>
        <w:t>column of Table 1 is (Pretax Profits + Interest - Corporate Taxes - TAX</w:t>
      </w:r>
    </w:p>
    <w:p>
      <w:pPr>
        <w:sectPr>
          <w:type w:val="nextPage"/>
          <w:pgSz w:w="12240" w:h="15840"/>
          <w:pgMar w:left="1394" w:right="1336" w:header="0" w:top="1422" w:footer="0" w:bottom="1548" w:gutter="0"/>
          <w:pgNumType w:fmt="decimal"/>
          <w:formProt w:val="false"/>
          <w:textDirection w:val="lrTb"/>
          <w:docGrid w:type="default" w:linePitch="100" w:charSpace="4096"/>
        </w:sectPr>
        <w:pStyle w:val="Normal"/>
        <w:spacing w:lineRule="exact" w:line="147" w:before="0" w:after="0"/>
        <w:ind w:left="0" w:right="648" w:hanging="0"/>
        <w:jc w:val="right"/>
        <w:rPr>
          <w:rFonts w:ascii="Verdana" w:hAnsi="Verdana"/>
          <w:b/>
          <w:b/>
          <w:strike w:val="false"/>
          <w:dstrike w:val="false"/>
          <w:color w:val="000000"/>
          <w:spacing w:val="0"/>
          <w:w w:val="100"/>
          <w:position w:val="0"/>
          <w:sz w:val="22"/>
          <w:sz w:val="10"/>
          <w:vertAlign w:val="baseline"/>
          <w:lang w:val="en-US"/>
        </w:rPr>
      </w:pPr>
      <w:r>
        <w:rPr>
          <w:rFonts w:ascii="Verdana" w:hAnsi="Verdana"/>
          <w:b/>
          <w:strike w:val="false"/>
          <w:dstrike w:val="false"/>
          <w:color w:val="000000"/>
          <w:spacing w:val="0"/>
          <w:w w:val="100"/>
          <w:position w:val="0"/>
          <w:sz w:val="10"/>
          <w:sz w:val="10"/>
          <w:vertAlign w:val="baseline"/>
          <w:lang w:val="en-US"/>
        </w:rPr>
        <w:t>onvestoi)</w:t>
      </w:r>
      <w:r>
        <w:rPr>
          <w:rFonts w:ascii="Arial" w:hAnsi="Arial"/>
          <w:b/>
          <w:strike w:val="false"/>
          <w:dstrike w:val="false"/>
          <w:color w:val="000000"/>
          <w:spacing w:val="0"/>
          <w:w w:val="100"/>
          <w:position w:val="0"/>
          <w:sz w:val="20"/>
          <w:sz w:val="20"/>
          <w:vertAlign w:val="baseline"/>
          <w:lang w:val="en-US"/>
        </w:rPr>
        <w:t>/Assets.</w:t>
      </w:r>
    </w:p>
    <w:tbl>
      <w:tblPr>
        <w:tblW w:w="9000" w:type="dxa"/>
        <w:jc w:val="left"/>
        <w:tblInd w:w="0" w:type="dxa"/>
        <w:tblCellMar>
          <w:top w:w="0" w:type="dxa"/>
          <w:left w:w="0" w:type="dxa"/>
          <w:bottom w:w="0" w:type="dxa"/>
          <w:right w:w="0" w:type="dxa"/>
        </w:tblCellMar>
      </w:tblPr>
      <w:tblGrid>
        <w:gridCol w:w="832"/>
        <w:gridCol w:w="1218"/>
        <w:gridCol w:w="2149"/>
        <w:gridCol w:w="4800"/>
      </w:tblGrid>
      <w:tr>
        <w:trPr>
          <w:trHeight w:val="1745" w:hRule="exact"/>
        </w:trPr>
        <w:tc>
          <w:tcPr>
            <w:tcW w:w="832"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1218" w:type="dxa"/>
            <w:tcBorders>
              <w:bottom w:val="single" w:sz="8" w:space="0" w:color="000000"/>
            </w:tcBorders>
            <w:vAlign w:val="bottom"/>
          </w:tcPr>
          <w:p>
            <w:pPr>
              <w:pStyle w:val="Normal"/>
              <w:spacing w:lineRule="auto" w:line="240" w:before="1332" w:after="0"/>
              <w:ind w:left="0" w:right="0"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Dividends</w:t>
            </w:r>
          </w:p>
        </w:tc>
        <w:tc>
          <w:tcPr>
            <w:tcW w:w="6949" w:type="dxa"/>
            <w:gridSpan w:val="2"/>
            <w:tcBorders/>
            <w:vAlign w:val="bottom"/>
          </w:tcPr>
          <w:p>
            <w:pPr>
              <w:pStyle w:val="Normal"/>
              <w:spacing w:lineRule="exact" w:line="247"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Average</w:t>
            </w:r>
          </w:p>
          <w:p>
            <w:pPr>
              <w:pStyle w:val="Normal"/>
              <w:spacing w:lineRule="exact" w:line="200" w:before="216" w:after="0"/>
              <w:ind w:left="0" w:right="4341"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w:t>
            </w:r>
          </w:p>
          <w:p>
            <w:pPr>
              <w:pStyle w:val="Normal"/>
              <w:spacing w:lineRule="exact" w:line="372" w:before="180" w:after="0"/>
              <w:ind w:left="612" w:right="2088" w:hanging="612"/>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Table A-1: Weighted Average Marginal Tax Rates </w:t>
            </w:r>
            <w:r>
              <w:rPr>
                <w:rFonts w:ascii="Arial" w:hAnsi="Arial"/>
                <w:b/>
                <w:strike w:val="false"/>
                <w:dstrike w:val="false"/>
                <w:color w:val="000000"/>
                <w:spacing w:val="2"/>
                <w:w w:val="100"/>
                <w:position w:val="0"/>
                <w:sz w:val="20"/>
                <w:sz w:val="20"/>
                <w:vertAlign w:val="baseline"/>
                <w:lang w:val="en-US"/>
              </w:rPr>
              <w:t>Marginal Tax Rate on</w:t>
            </w:r>
          </w:p>
          <w:p>
            <w:pPr>
              <w:pStyle w:val="Normal"/>
              <w:tabs>
                <w:tab w:val="clear" w:pos="720"/>
                <w:tab w:val="right" w:pos="3121" w:leader="none"/>
              </w:tabs>
              <w:spacing w:lineRule="auto" w:line="252" w:before="0" w:after="0"/>
              <w:ind w:left="0" w:right="3801"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Accruing Gains</w:t>
              <w:tab/>
              <w:t>Interest</w:t>
            </w:r>
          </w:p>
        </w:tc>
      </w:tr>
      <w:tr>
        <w:trPr>
          <w:trHeight w:val="364"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1959</w:t>
            </w:r>
          </w:p>
        </w:tc>
        <w:tc>
          <w:tcPr>
            <w:tcW w:w="1218" w:type="dxa"/>
            <w:tcBorders>
              <w:top w:val="single" w:sz="8" w:space="0" w:color="000000"/>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36.1</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5.0</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39.2</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35.1</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4.9</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38.4</w:t>
            </w:r>
          </w:p>
        </w:tc>
      </w:tr>
      <w:tr>
        <w:trPr>
          <w:trHeight w:val="244"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1961</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35.7</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4.9</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38.1</w:t>
            </w:r>
          </w:p>
        </w:tc>
      </w:tr>
      <w:tr>
        <w:trPr>
          <w:trHeight w:val="242"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1962</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34.9</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4.8</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37.9</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1963</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35.1</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4.9</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37.8</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1964</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31.8</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35.9</w:t>
            </w:r>
          </w:p>
        </w:tc>
      </w:tr>
      <w:tr>
        <w:trPr>
          <w:trHeight w:val="242"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1965</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30.5</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34.1</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30.8</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33.8</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1967</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31.2</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34.1</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1968</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32.2</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37.1</w:t>
            </w:r>
          </w:p>
        </w:tc>
      </w:tr>
      <w:tr>
        <w:trPr>
          <w:trHeight w:val="249"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1969</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27.7</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36.0</w:t>
            </w:r>
          </w:p>
        </w:tc>
      </w:tr>
      <w:tr>
        <w:trPr>
          <w:trHeight w:val="237"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26.7</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34.0</w:t>
            </w:r>
          </w:p>
        </w:tc>
      </w:tr>
      <w:tr>
        <w:trPr>
          <w:trHeight w:val="249"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1971</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26.3</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33.8</w:t>
            </w:r>
          </w:p>
        </w:tc>
      </w:tr>
      <w:tr>
        <w:trPr>
          <w:trHeight w:val="241"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1972</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25.6</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5.4</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34.2</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1973</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25.3</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5.4</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33.9</w:t>
            </w:r>
          </w:p>
        </w:tc>
      </w:tr>
      <w:tr>
        <w:trPr>
          <w:trHeight w:val="244"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1974</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24.8</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33.9</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1975</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24.1</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5.3</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33.6</w:t>
            </w:r>
          </w:p>
        </w:tc>
      </w:tr>
      <w:tr>
        <w:trPr>
          <w:trHeight w:val="23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1976</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25.2</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34.5</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1977</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25.9</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5.7</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35.2</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1978</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25.0</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34.6</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1979</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26.2</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33.7</w:t>
            </w:r>
          </w:p>
        </w:tc>
      </w:tr>
      <w:tr>
        <w:trPr>
          <w:trHeight w:val="249"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26.9</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33.3</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1981</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26.6</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33.5</w:t>
            </w:r>
          </w:p>
        </w:tc>
      </w:tr>
      <w:tr>
        <w:trPr>
          <w:trHeight w:val="244"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1982</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20.8</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34.1</w:t>
            </w:r>
          </w:p>
        </w:tc>
      </w:tr>
      <w:tr>
        <w:trPr>
          <w:trHeight w:val="249"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1983</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20.2</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32.9</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1984</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18.3</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32.9</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1985</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17.7</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32.8</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1986</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18.1</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32.5</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1987</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17.0</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28.3</w:t>
            </w:r>
          </w:p>
        </w:tc>
      </w:tr>
      <w:tr>
        <w:trPr>
          <w:trHeight w:val="241"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1988</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14.7</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4.6</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24.6</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1989</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14.9</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4.7</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23.9</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4.6</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23.6</w:t>
            </w:r>
          </w:p>
        </w:tc>
      </w:tr>
      <w:tr>
        <w:trPr>
          <w:trHeight w:val="241"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1991</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14.9</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4.6</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24.0</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1992</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15.2</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4.7</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22.8</w:t>
            </w:r>
          </w:p>
        </w:tc>
      </w:tr>
      <w:tr>
        <w:trPr>
          <w:trHeight w:val="248"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1993</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16.2</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4.7</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22.8</w:t>
            </w:r>
          </w:p>
        </w:tc>
      </w:tr>
      <w:tr>
        <w:trPr>
          <w:trHeight w:val="245"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1994</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4.7</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22.0</w:t>
            </w:r>
          </w:p>
        </w:tc>
      </w:tr>
      <w:tr>
        <w:trPr>
          <w:trHeight w:val="249"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1995</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16.0</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4.8</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21.6</w:t>
            </w:r>
          </w:p>
        </w:tc>
      </w:tr>
      <w:tr>
        <w:trPr>
          <w:trHeight w:val="264" w:hRule="exact"/>
        </w:trPr>
        <w:tc>
          <w:tcPr>
            <w:tcW w:w="832" w:type="dxa"/>
            <w:tcBorders/>
            <w:vAlign w:val="center"/>
          </w:tcPr>
          <w:p>
            <w:pPr>
              <w:pStyle w:val="Normal"/>
              <w:spacing w:lineRule="auto" w:line="240" w:before="0" w:after="0"/>
              <w:ind w:left="0" w:right="288"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1996</w:t>
            </w:r>
          </w:p>
        </w:tc>
        <w:tc>
          <w:tcPr>
            <w:tcW w:w="1218" w:type="dxa"/>
            <w:tcBorders/>
            <w:vAlign w:val="center"/>
          </w:tcPr>
          <w:p>
            <w:pPr>
              <w:pStyle w:val="Normal"/>
              <w:tabs>
                <w:tab w:val="clear" w:pos="720"/>
                <w:tab w:val="decimal" w:pos="872"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w:t>
            </w:r>
          </w:p>
        </w:tc>
        <w:tc>
          <w:tcPr>
            <w:tcW w:w="2149" w:type="dxa"/>
            <w:tcBorders/>
            <w:vAlign w:val="center"/>
          </w:tcPr>
          <w:p>
            <w:pPr>
              <w:pStyle w:val="Normal"/>
              <w:tabs>
                <w:tab w:val="clear" w:pos="720"/>
                <w:tab w:val="decimal" w:pos="114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4.8</w:t>
            </w:r>
          </w:p>
        </w:tc>
        <w:tc>
          <w:tcPr>
            <w:tcW w:w="4800" w:type="dxa"/>
            <w:tcBorders/>
            <w:vAlign w:val="center"/>
          </w:tcPr>
          <w:p>
            <w:pPr>
              <w:pStyle w:val="Normal"/>
              <w:tabs>
                <w:tab w:val="clear" w:pos="720"/>
                <w:tab w:val="decimal" w:pos="566"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20.9</w:t>
            </w:r>
          </w:p>
        </w:tc>
      </w:tr>
    </w:tbl>
    <w:p>
      <w:pPr>
        <w:pStyle w:val="Normal"/>
        <w:spacing w:lineRule="exact" w:line="20" w:before="0" w:after="88"/>
        <w:rPr/>
      </w:pPr>
      <w:r>
        <w:rPr/>
      </w:r>
    </w:p>
    <w:p>
      <w:pPr>
        <w:pStyle w:val="Normal"/>
        <w:pBdr>
          <w:top w:val="dashed" w:sz="8" w:space="6" w:color="000000"/>
        </w:pBdr>
        <w:spacing w:lineRule="auto" w:line="240" w:before="12" w:after="0"/>
        <w:ind w:left="0" w:right="0" w:hanging="0"/>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Notes: Entries describe elements that were used in calculating the investor-level tax burden </w:t>
      </w:r>
      <w:r>
        <w:rPr>
          <w:rFonts w:ascii="Arial" w:hAnsi="Arial"/>
          <w:b/>
          <w:strike w:val="false"/>
          <w:dstrike w:val="false"/>
          <w:color w:val="000000"/>
          <w:spacing w:val="3"/>
          <w:w w:val="100"/>
          <w:position w:val="0"/>
          <w:sz w:val="20"/>
          <w:sz w:val="20"/>
          <w:vertAlign w:val="baseline"/>
          <w:lang w:val="en-US"/>
        </w:rPr>
        <w:t>on corporate capital income in the United States. See appendix for further discussion.</w:t>
      </w:r>
    </w:p>
    <w:p>
      <w:pPr>
        <w:sectPr>
          <w:type w:val="nextPage"/>
          <w:pgSz w:w="12240" w:h="15840"/>
          <w:pgMar w:left="1394" w:right="1336" w:header="0" w:top="1440" w:footer="0" w:bottom="1250" w:gutter="0"/>
          <w:pgNumType w:fmt="decimal"/>
          <w:formProt w:val="false"/>
          <w:textDirection w:val="lrTb"/>
          <w:docGrid w:type="default" w:linePitch="100" w:charSpace="4096"/>
        </w:sectPr>
        <w:pStyle w:val="Normal"/>
        <w:rPr/>
      </w:pPr>
      <w:r>
        <w:rPr/>
      </w:r>
    </w:p>
    <w:p>
      <w:pPr>
        <w:pStyle w:val="Normal"/>
        <w:spacing w:lineRule="auto" w:line="206" w:before="0" w:after="0"/>
        <w:ind w:left="4536"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w:t>
      </w:r>
    </w:p>
    <w:tbl>
      <w:tblPr>
        <w:tblW w:w="9220" w:type="dxa"/>
        <w:jc w:val="left"/>
        <w:tblInd w:w="0" w:type="dxa"/>
        <w:tblCellMar>
          <w:top w:w="0" w:type="dxa"/>
          <w:left w:w="0" w:type="dxa"/>
          <w:bottom w:w="0" w:type="dxa"/>
          <w:right w:w="0" w:type="dxa"/>
        </w:tblCellMar>
      </w:tblPr>
      <w:tblGrid>
        <w:gridCol w:w="946"/>
        <w:gridCol w:w="1322"/>
        <w:gridCol w:w="1871"/>
        <w:gridCol w:w="5080"/>
      </w:tblGrid>
      <w:tr>
        <w:trPr>
          <w:trHeight w:val="1170" w:hRule="exact"/>
        </w:trPr>
        <w:tc>
          <w:tcPr>
            <w:tcW w:w="946" w:type="dxa"/>
            <w:tcBorders/>
          </w:tcPr>
          <w:p>
            <w:pPr>
              <w:pStyle w:val="Normal"/>
              <w:spacing w:lineRule="auto" w:line="240" w:before="0" w:after="0"/>
              <w:ind w:left="0" w:right="0" w:hanging="0"/>
              <w:jc w:val="left"/>
              <w:rPr>
                <w:rFonts w:ascii="Arial" w:hAnsi="Arial"/>
                <w:strike w:val="false"/>
                <w:dstrike w:val="false"/>
                <w:color w:val="000000"/>
                <w:spacing w:val="0"/>
                <w:w w:val="100"/>
                <w:position w:val="0"/>
                <w:sz w:val="20"/>
                <w:sz w:val="20"/>
                <w:vertAlign w:val="baseline"/>
                <w:lang w:val="en-US"/>
              </w:rPr>
            </w:pPr>
            <w:r>
              <w:rPr>
                <w:rFonts w:ascii="Arial" w:hAnsi="Arial"/>
                <w:strike w:val="false"/>
                <w:dstrike w:val="false"/>
                <w:color w:val="000000"/>
                <w:spacing w:val="0"/>
                <w:w w:val="100"/>
                <w:position w:val="0"/>
                <w:sz w:val="20"/>
                <w:sz w:val="20"/>
                <w:vertAlign w:val="baseline"/>
                <w:lang w:val="en-US"/>
              </w:rPr>
            </w:r>
          </w:p>
        </w:tc>
        <w:tc>
          <w:tcPr>
            <w:tcW w:w="8273" w:type="dxa"/>
            <w:gridSpan w:val="3"/>
            <w:tcBorders/>
          </w:tcPr>
          <w:p>
            <w:pPr>
              <w:pStyle w:val="Normal"/>
              <w:spacing w:lineRule="auto" w:line="240" w:before="72" w:after="0"/>
              <w:ind w:left="0" w:right="2326" w:hanging="0"/>
              <w:jc w:val="right"/>
              <w:rPr>
                <w:rFonts w:ascii="Arial" w:hAnsi="Arial"/>
                <w:b/>
                <w:b/>
                <w:strike w:val="false"/>
                <w:dstrike w:val="false"/>
                <w:color w:val="000000"/>
                <w:spacing w:val="3"/>
                <w:w w:val="100"/>
                <w:position w:val="0"/>
                <w:sz w:val="22"/>
                <w:sz w:val="20"/>
                <w:vertAlign w:val="baseline"/>
                <w:lang w:val="en-US"/>
              </w:rPr>
            </w:pPr>
            <w:r>
              <w:rPr>
                <w:rFonts w:ascii="Arial" w:hAnsi="Arial"/>
                <w:b/>
                <w:strike w:val="false"/>
                <w:dstrike w:val="false"/>
                <w:color w:val="000000"/>
                <w:spacing w:val="3"/>
                <w:w w:val="100"/>
                <w:position w:val="0"/>
                <w:sz w:val="20"/>
                <w:sz w:val="20"/>
                <w:vertAlign w:val="baseline"/>
                <w:lang w:val="en-US"/>
              </w:rPr>
              <w:t>Table A-2: Components of NEC Capital Gains</w:t>
            </w:r>
          </w:p>
          <w:p>
            <w:pPr>
              <w:pStyle w:val="Normal"/>
              <w:tabs>
                <w:tab w:val="clear" w:pos="720"/>
                <w:tab w:val="left" w:pos="2331" w:leader="none"/>
                <w:tab w:val="right" w:pos="5162" w:leader="none"/>
              </w:tabs>
              <w:spacing w:lineRule="auto" w:line="240" w:before="216" w:after="0"/>
              <w:ind w:left="144" w:right="3096" w:firstLine="2376"/>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 xml:space="preserve">Inflationary Gain on: </w:t>
            </w:r>
            <w:r>
              <w:rPr>
                <w:rFonts w:ascii="Arial" w:hAnsi="Arial"/>
                <w:b/>
                <w:strike w:val="false"/>
                <w:dstrike w:val="false"/>
                <w:color w:val="000000"/>
                <w:spacing w:val="-8"/>
                <w:w w:val="100"/>
                <w:position w:val="0"/>
                <w:sz w:val="20"/>
                <w:sz w:val="20"/>
                <w:vertAlign w:val="baseline"/>
                <w:lang w:val="en-US"/>
              </w:rPr>
              <w:t>Retained Earnings</w:t>
              <w:tab/>
            </w:r>
            <w:r>
              <w:rPr>
                <w:rFonts w:ascii="Arial" w:hAnsi="Arial"/>
                <w:b/>
                <w:strike w:val="false"/>
                <w:dstrike w:val="false"/>
                <w:color w:val="000000"/>
                <w:spacing w:val="0"/>
                <w:w w:val="100"/>
                <w:position w:val="0"/>
                <w:sz w:val="20"/>
                <w:sz w:val="20"/>
                <w:vertAlign w:val="baseline"/>
                <w:lang w:val="en-US"/>
              </w:rPr>
              <w:t>Debt</w:t>
              <w:tab/>
              <w:t>Tangible Assets</w:t>
            </w:r>
          </w:p>
        </w:tc>
      </w:tr>
      <w:tr>
        <w:trPr>
          <w:trHeight w:val="371"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1959</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w:t>
            </w:r>
            <w:r>
              <w:rPr>
                <w:rFonts w:ascii="Arial" w:hAnsi="Arial"/>
                <w:b/>
                <w:strike w:val="false"/>
                <w:dstrike w:val="false"/>
                <w:color w:val="000000"/>
                <w:spacing w:val="0"/>
                <w:w w:val="100"/>
                <w:sz w:val="20"/>
                <w:vertAlign w:val="superscript"/>
                <w:lang w:val="en-US"/>
              </w:rPr>
              <w:t>-</w:t>
            </w:r>
            <w:r>
              <w:rPr>
                <w:rFonts w:ascii="Arial" w:hAnsi="Arial"/>
                <w:b/>
                <w:strike w:val="false"/>
                <w:dstrike w:val="false"/>
                <w:color w:val="000000"/>
                <w:spacing w:val="0"/>
                <w:w w:val="100"/>
                <w:position w:val="0"/>
                <w:sz w:val="20"/>
                <w:sz w:val="20"/>
                <w:vertAlign w:val="baseline"/>
                <w:lang w:val="en-US"/>
              </w:rPr>
              <w:t>.9</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0.4</w:t>
            </w:r>
          </w:p>
        </w:tc>
      </w:tr>
      <w:tr>
        <w:trPr>
          <w:trHeight w:val="248"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1960</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10.6</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9.2</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w:t>
            </w:r>
          </w:p>
        </w:tc>
      </w:tr>
      <w:tr>
        <w:trPr>
          <w:trHeight w:val="241"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1961</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10.1</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5.8</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0.8</w:t>
            </w:r>
          </w:p>
        </w:tc>
      </w:tr>
      <w:tr>
        <w:trPr>
          <w:trHeight w:val="242"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1962</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12.9</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w:t>
            </w:r>
          </w:p>
        </w:tc>
      </w:tr>
      <w:tr>
        <w:trPr>
          <w:trHeight w:val="241"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1963</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14.4</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9.1</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1964</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18.4</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9.3</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w:t>
            </w:r>
          </w:p>
        </w:tc>
      </w:tr>
      <w:tr>
        <w:trPr>
          <w:trHeight w:val="241"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1965</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23.4</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14.6</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2.7</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1966</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25.1</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24.5</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w:t>
            </w:r>
          </w:p>
        </w:tc>
      </w:tr>
      <w:tr>
        <w:trPr>
          <w:trHeight w:val="248"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1967</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22.2</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26.6</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4.8</w:t>
            </w:r>
          </w:p>
        </w:tc>
      </w:tr>
      <w:tr>
        <w:trPr>
          <w:trHeight w:val="252"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1968</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21.4</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38.8</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1969</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18.4</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46.2</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8.4</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1970</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12.5</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52.8</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9.6</w:t>
            </w:r>
          </w:p>
        </w:tc>
      </w:tr>
      <w:tr>
        <w:trPr>
          <w:trHeight w:val="244"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1971</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18.6</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55.6</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10.4</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1972</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24.7</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53.6</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10.2</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1973</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37.3</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93.4</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18.8</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1974</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45.3</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162.8</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31.6</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1975</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43.6</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139.8</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20.6</w:t>
            </w:r>
          </w:p>
        </w:tc>
      </w:tr>
      <w:tr>
        <w:trPr>
          <w:trHeight w:val="241"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1976</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56.3</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113.3</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15.5</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1977</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67.2</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151.3</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22.9</w:t>
            </w:r>
          </w:p>
        </w:tc>
      </w:tr>
      <w:tr>
        <w:trPr>
          <w:trHeight w:val="241"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1978</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80.0</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191.8</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29.3</w:t>
            </w:r>
          </w:p>
        </w:tc>
      </w:tr>
      <w:tr>
        <w:trPr>
          <w:trHeight w:val="248"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1979</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87.8</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247.0</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36.8</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1980</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69.2</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323.3</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42.4</w:t>
            </w:r>
          </w:p>
        </w:tc>
      </w:tr>
      <w:tr>
        <w:trPr>
          <w:trHeight w:val="241"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1981</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64.2</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313.4</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37.8</w:t>
            </w:r>
          </w:p>
        </w:tc>
      </w:tr>
      <w:tr>
        <w:trPr>
          <w:trHeight w:val="249"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1982</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34.2</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218.4</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26.9</w:t>
            </w:r>
          </w:p>
        </w:tc>
      </w:tr>
      <w:tr>
        <w:trPr>
          <w:trHeight w:val="244"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1983</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33.8</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169.4</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21.8</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1984</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49.5</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159.4</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21.9</w:t>
            </w:r>
          </w:p>
        </w:tc>
      </w:tr>
      <w:tr>
        <w:trPr>
          <w:trHeight w:val="249"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1985</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25.4</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164.5</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24.5</w:t>
            </w:r>
          </w:p>
        </w:tc>
      </w:tr>
      <w:tr>
        <w:trPr>
          <w:trHeight w:val="244"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1986</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126.3</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23.8</w:t>
            </w:r>
          </w:p>
        </w:tc>
      </w:tr>
      <w:tr>
        <w:trPr>
          <w:trHeight w:val="249"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1987</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45.5</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168.4</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32.3</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1988</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79.4</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216.5</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44.5</w:t>
            </w:r>
          </w:p>
        </w:tc>
      </w:tr>
      <w:tr>
        <w:trPr>
          <w:trHeight w:val="244"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1989</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34.8</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227.7</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56.4</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1990</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23.3</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284.5</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66.3</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1991</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8.2</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207.4</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45.9</w:t>
            </w:r>
          </w:p>
        </w:tc>
      </w:tr>
      <w:tr>
        <w:trPr>
          <w:trHeight w:val="241"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1992</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33.2</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154.6</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30.3</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1993</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47.7</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143.3</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31.4</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1994</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81.0</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139.6</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26.6</w:t>
            </w:r>
          </w:p>
        </w:tc>
      </w:tr>
      <w:tr>
        <w:trPr>
          <w:trHeight w:val="245"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1995</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86.6</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151.3</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30.1</w:t>
            </w:r>
          </w:p>
        </w:tc>
      </w:tr>
      <w:tr>
        <w:trPr>
          <w:trHeight w:val="263" w:hRule="exact"/>
        </w:trPr>
        <w:tc>
          <w:tcPr>
            <w:tcW w:w="946" w:type="dxa"/>
            <w:tcBorders/>
            <w:vAlign w:val="center"/>
          </w:tcPr>
          <w:p>
            <w:pPr>
              <w:pStyle w:val="Normal"/>
              <w:spacing w:lineRule="auto" w:line="240" w:before="0" w:after="0"/>
              <w:ind w:left="0" w:right="166" w:hanging="0"/>
              <w:jc w:val="righ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1996</w:t>
            </w:r>
          </w:p>
        </w:tc>
        <w:tc>
          <w:tcPr>
            <w:tcW w:w="1322" w:type="dxa"/>
            <w:tcBorders/>
            <w:vAlign w:val="center"/>
          </w:tcPr>
          <w:p>
            <w:pPr>
              <w:pStyle w:val="Normal"/>
              <w:tabs>
                <w:tab w:val="clear" w:pos="720"/>
                <w:tab w:val="decimal" w:pos="979"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90.1</w:t>
            </w:r>
          </w:p>
        </w:tc>
        <w:tc>
          <w:tcPr>
            <w:tcW w:w="1871" w:type="dxa"/>
            <w:tcBorders/>
            <w:vAlign w:val="center"/>
          </w:tcPr>
          <w:p>
            <w:pPr>
              <w:pStyle w:val="Normal"/>
              <w:tabs>
                <w:tab w:val="clear" w:pos="720"/>
                <w:tab w:val="decimal" w:pos="1151"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114.9</w:t>
            </w:r>
          </w:p>
        </w:tc>
        <w:tc>
          <w:tcPr>
            <w:tcW w:w="5080" w:type="dxa"/>
            <w:tcBorders/>
            <w:vAlign w:val="center"/>
          </w:tcPr>
          <w:p>
            <w:pPr>
              <w:pStyle w:val="Normal"/>
              <w:tabs>
                <w:tab w:val="clear" w:pos="720"/>
                <w:tab w:val="decimal" w:pos="844" w:leader="none"/>
              </w:tabs>
              <w:spacing w:lineRule="auto" w:line="240" w:before="0" w:after="0"/>
              <w:ind w:left="0" w:right="0" w:hanging="0"/>
              <w:jc w:val="left"/>
              <w:rPr>
                <w:rFonts w:ascii="Arial" w:hAnsi="Arial"/>
                <w:b/>
                <w:b/>
                <w:strike w:val="false"/>
                <w:dstrike w:val="false"/>
                <w:color w:val="000000"/>
                <w:spacing w:val="0"/>
                <w:w w:val="100"/>
                <w:position w:val="0"/>
                <w:sz w:val="22"/>
                <w:sz w:val="20"/>
                <w:vertAlign w:val="baseline"/>
                <w:lang w:val="en-US"/>
              </w:rPr>
            </w:pPr>
            <w:r>
              <w:rPr>
                <w:rFonts w:ascii="Arial" w:hAnsi="Arial"/>
                <w:b/>
                <w:strike w:val="false"/>
                <w:dstrike w:val="false"/>
                <w:color w:val="000000"/>
                <w:spacing w:val="0"/>
                <w:w w:val="100"/>
                <w:position w:val="0"/>
                <w:sz w:val="20"/>
                <w:sz w:val="20"/>
                <w:vertAlign w:val="baseline"/>
                <w:lang w:val="en-US"/>
              </w:rPr>
              <w:t>22.7</w:t>
            </w:r>
          </w:p>
        </w:tc>
      </w:tr>
    </w:tbl>
    <w:p>
      <w:pPr>
        <w:pStyle w:val="Normal"/>
        <w:spacing w:lineRule="exact" w:line="20" w:before="0" w:after="88"/>
        <w:rPr/>
      </w:pPr>
      <w:r>
        <w:rPr/>
      </w:r>
    </w:p>
    <w:p>
      <w:pPr>
        <w:pStyle w:val="Normal"/>
        <w:pBdr>
          <w:top w:val="dashed" w:sz="6" w:space="6" w:color="000000"/>
        </w:pBdr>
        <w:spacing w:lineRule="auto" w:line="240" w:before="10" w:after="0"/>
        <w:ind w:left="216" w:right="0" w:hanging="0"/>
        <w:jc w:val="left"/>
        <w:rPr>
          <w:rFonts w:ascii="Arial" w:hAnsi="Arial"/>
          <w:b/>
          <w:b/>
          <w:strike w:val="false"/>
          <w:dstrike w:val="false"/>
          <w:color w:val="000000"/>
          <w:spacing w:val="1"/>
          <w:w w:val="100"/>
          <w:position w:val="0"/>
          <w:sz w:val="22"/>
          <w:sz w:val="20"/>
          <w:vertAlign w:val="baseline"/>
          <w:lang w:val="en-US"/>
        </w:rPr>
      </w:pPr>
      <w:r>
        <w:rPr>
          <w:rFonts w:ascii="Arial" w:hAnsi="Arial"/>
          <w:b/>
          <w:strike w:val="false"/>
          <w:dstrike w:val="false"/>
          <w:color w:val="000000"/>
          <w:spacing w:val="1"/>
          <w:w w:val="100"/>
          <w:position w:val="0"/>
          <w:sz w:val="20"/>
          <w:sz w:val="20"/>
          <w:vertAlign w:val="baseline"/>
          <w:lang w:val="en-US"/>
        </w:rPr>
        <w:t xml:space="preserve">Notes: Entries describe elements that were used in calculating the investor-level tax burden </w:t>
      </w:r>
      <w:r>
        <w:rPr>
          <w:rFonts w:ascii="Arial" w:hAnsi="Arial"/>
          <w:b/>
          <w:strike w:val="false"/>
          <w:dstrike w:val="false"/>
          <w:color w:val="000000"/>
          <w:spacing w:val="3"/>
          <w:w w:val="100"/>
          <w:position w:val="0"/>
          <w:sz w:val="20"/>
          <w:sz w:val="20"/>
          <w:vertAlign w:val="baseline"/>
          <w:lang w:val="en-US"/>
        </w:rPr>
        <w:t>on corporate capital income in the United States. See appendix for further discussion.</w:t>
      </w:r>
    </w:p>
    <w:sectPr>
      <w:type w:val="nextPage"/>
      <w:pgSz w:w="12240" w:h="15840"/>
      <w:pgMar w:left="1395" w:right="1335" w:header="0" w:top="1496" w:footer="0" w:bottom="1134" w:gutter="0"/>
      <w:pgNumType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variable"/>
  </w:font>
  <w:font w:name="Arial">
    <w:charset w:val="01"/>
    <w:family w:val="roman"/>
    <w:pitch w:val="variable"/>
  </w:font>
  <w:font w:name="Verdana">
    <w:charset w:val="01"/>
    <w:family w:val="roman"/>
    <w:pitch w:val="variable"/>
  </w:font>
  <w:font w:name="Tahoma">
    <w:charset w:val="01"/>
    <w:family w:val="roman"/>
    <w:pitch w:val="variable"/>
  </w:font>
</w:fonts>
</file>

<file path=word/settings.xml><?xml version="1.0" encoding="utf-8"?>
<w:settings xmlns:w="http://schemas.openxmlformats.org/wordprocessingml/2006/main">
  <w:zoom w:percent="16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eastAsia="" w:cs="" w:asciiTheme="minorHAnsi" w:cstheme="minorBidi" w:eastAsiaTheme="minorHAnsi" w:hAnsiTheme="minorHAnsi"/>
        <w:sz w:val="22"/>
        <w:szCs w:val="22"/>
        <w:lang w:val="en-US" w:eastAsia="en-US" w:bidi="ar-SA"/>
      </w:rPr>
    </w:rPrDefault>
    <w:pPrDefault>
      <w:pPr>
        <w:suppressAutoHyphens w:val="true"/>
      </w:pPr>
    </w:pPrDefault>
  </w:docDefaults>
  <w:style w:type="paragraph" w:styleId="Normal">
    <w:name w:val="Normal"/>
    <w:qFormat/>
    <w:pPr>
      <w:widowControl/>
      <w:bidi w:val="0"/>
      <w:spacing w:before="0" w:after="0"/>
      <w:jc w:val="left"/>
    </w:pPr>
    <w:rPr>
      <w:rFonts w:eastAsia="" w:cs="" w:asciiTheme="minorHAnsi" w:cstheme="minorBidi" w:eastAsiaTheme="minorHAnsi" w:hAnsiTheme="minorHAnsi"/>
      <w:color w:val="auto"/>
      <w:kern w:val="0"/>
      <w:sz w:val="22"/>
      <w:szCs w:val="22"/>
      <w:lang w:val="en-US" w:eastAsia="en-US" w:bidi="ar-SA"/>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Nachlieli CLM"/>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avid CLM"/>
    </w:rPr>
  </w:style>
  <w:style w:type="paragraph" w:styleId="Caption">
    <w:name w:val="Caption"/>
    <w:basedOn w:val="Normal"/>
    <w:qFormat/>
    <w:pPr>
      <w:suppressLineNumbers/>
      <w:spacing w:before="120" w:after="120"/>
    </w:pPr>
    <w:rPr>
      <w:rFonts w:cs="David CLM"/>
      <w:i/>
      <w:iCs/>
      <w:sz w:val="24"/>
      <w:szCs w:val="24"/>
    </w:rPr>
  </w:style>
  <w:style w:type="paragraph" w:styleId="Index">
    <w:name w:val="Index"/>
    <w:basedOn w:val="Normal"/>
    <w:qFormat/>
    <w:pPr>
      <w:suppressLineNumbers/>
    </w:pPr>
    <w:rPr>
      <w:rFonts w:cs="David CLM"/>
    </w:rPr>
  </w:style>
  <w:style w:type="paragraph" w:styleId="FrameContents">
    <w:name w:val="Frame Contents"/>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ber.org/papers/w6263" TargetMode="External"/><Relationship Id="rId3" Type="http://schemas.openxmlformats.org/officeDocument/2006/relationships/hyperlink" Target="mailto:poterba@mit.edu" TargetMode="External"/><Relationship Id="rId4" Type="http://schemas.openxmlformats.org/officeDocument/2006/relationships/hyperlink" Target="http://payments.Net/" TargetMode="Externa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TotalTime>
  <Application>LibreOffice/6.4.7.2$Linux_X86_64 LibreOffice_project/40$Build-2</Application>
  <Pages>64</Pages>
  <Words>13955</Words>
  <Characters>71901</Characters>
  <CharactersWithSpaces>83758</CharactersWithSpaces>
  <Paragraphs>2173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dc:language>
  <cp:lastModifiedBy>Oren Schneorson</cp:lastModifiedBy>
  <dcterms:modified xsi:type="dcterms:W3CDTF">2023-09-21T16:24:16Z</dcterms:modified>
  <cp:revision>2</cp:revision>
  <dc:subject/>
  <dc:title/>
</cp:coreProperties>
</file>