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C2E4" w14:textId="4C761017" w:rsidR="00640E8F" w:rsidRDefault="00640E8F" w:rsidP="00075D0D">
      <w:pPr>
        <w:spacing w:line="360" w:lineRule="auto"/>
        <w:jc w:val="both"/>
        <w:rPr>
          <w:rFonts w:ascii="Arial" w:hAnsi="Arial" w:cs="Arial"/>
          <w:sz w:val="20"/>
          <w:szCs w:val="20"/>
        </w:rPr>
      </w:pPr>
      <w:r w:rsidRPr="00640E8F">
        <w:rPr>
          <w:rFonts w:ascii="Arial" w:hAnsi="Arial" w:cs="Arial"/>
          <w:sz w:val="20"/>
          <w:szCs w:val="20"/>
          <w:highlight w:val="yellow"/>
        </w:rPr>
        <w:t>Cenário</w:t>
      </w:r>
    </w:p>
    <w:p w14:paraId="563916C4" w14:textId="77777777" w:rsidR="00AD74D3" w:rsidRPr="002B294A" w:rsidRDefault="00AD74D3" w:rsidP="00AD74D3">
      <w:pPr>
        <w:spacing w:line="278" w:lineRule="auto"/>
        <w:jc w:val="both"/>
      </w:pPr>
      <w:r w:rsidRPr="002B294A">
        <w:t>Em agosto, o mercado de crédito foi marcado por um ambiente de menor liquidez nas negociações do mercado secundário e por uma leve reabertura dos spreads de crédito. Após meses consecutivos de compressão dos prêmios de risco, observou-se um movimento mais cauteloso por parte dos investidores, com os spreads médios dos títulos corporativos indexados ao CDI avançando aproximadamente 0,03%, passando de CDI + 1,19% para CDI + 1,22% ao ano. Apesar desse ajuste, os níveis de prêmio permaneceram próximos das mínimas históricas observadas ao longo do ciclo recente.</w:t>
      </w:r>
    </w:p>
    <w:p w14:paraId="672B3E15" w14:textId="77777777" w:rsidR="00AD74D3" w:rsidRPr="002B294A" w:rsidRDefault="00AD74D3" w:rsidP="00AD74D3">
      <w:pPr>
        <w:spacing w:line="278" w:lineRule="auto"/>
        <w:jc w:val="both"/>
      </w:pPr>
      <w:r w:rsidRPr="002B294A">
        <w:t>No mercado secundário, a redução do volume negociado contribuiu para uma formação de preços mais seletiva, especialmente em ativos corporativos com menor liquidez. Ainda assim, o comportamento dos investidores permaneceu construtivo, sustentado por um ambiente técnico favorável e pela continuidade da elevada demanda por ativos de crédito.</w:t>
      </w:r>
    </w:p>
    <w:p w14:paraId="00F9A684" w14:textId="77777777" w:rsidR="00AD74D3" w:rsidRPr="002B294A" w:rsidRDefault="00AD74D3" w:rsidP="00AD74D3">
      <w:pPr>
        <w:spacing w:line="278" w:lineRule="auto"/>
        <w:jc w:val="both"/>
      </w:pPr>
      <w:r w:rsidRPr="002B294A">
        <w:t>Já no mercado primário, as emissões bancárias seguiram registrando forte demanda por parte dos investidores. As ofertas de Letras Financeiras Seniores distribuídas ao longo do mês apresentaram níveis elevados de subscrição, com demanda que, em diversos casos, superou três vezes o volume ofertado. Esse forte apetite permitiu que as operações fossem precificadas com taxas inferiores aos limites inicialmente indicados pelos emissores, evidenciando a elevada disponibilidade de recursos para alocação na indústria de crédito. Por outro lado, o pipeline de emissões corporativas permaneceu limitado, restringindo a oferta de novos ativos em um momento de demanda ainda aquecida.</w:t>
      </w:r>
    </w:p>
    <w:p w14:paraId="0475C53D" w14:textId="77777777" w:rsidR="00AD74D3" w:rsidRPr="002B294A" w:rsidRDefault="00AD74D3" w:rsidP="00AD74D3">
      <w:pPr>
        <w:spacing w:line="278" w:lineRule="auto"/>
        <w:jc w:val="both"/>
      </w:pPr>
      <w:r w:rsidRPr="002B294A">
        <w:t>Em relação aos fluxos, os fundos com alocação mínima de 15% em crédito e ao menos 1% em debêntures apresentaram captação líquida próxima de R$ 8 bilhões em agosto, resultado significativamente superior ao observado no mês anterior. O volume reforça a percepção de que os investidores seguem direcionando recursos para estratégias de crédito, impulsionados pelo elevado nível de carrego proporcionado pelos ativos indexados ao CDI e pela busca por alternativas de investimento com perfil de risco-retorno atrativo.</w:t>
      </w:r>
    </w:p>
    <w:p w14:paraId="351C59E1" w14:textId="77777777" w:rsidR="00AD74D3" w:rsidRPr="002B294A" w:rsidRDefault="00AD74D3" w:rsidP="00AD74D3">
      <w:pPr>
        <w:spacing w:line="278" w:lineRule="auto"/>
        <w:jc w:val="both"/>
      </w:pPr>
      <w:r w:rsidRPr="002B294A">
        <w:t>Nesse contexto, a combinação entre fluxos positivos para a indústria, vencimentos e amortizações recorrentes das carteiras, além da limitada oferta de novos ativos corporativos, continuou sustentando a demanda por crédito privado. Ainda que agosto tenha apresentado uma leve reabertura dos spreads médios de mercado, a dinâmica técnica permanece favorável e os prêmios seguem negociando em patamares historicamente reduzidos.</w:t>
      </w:r>
    </w:p>
    <w:p w14:paraId="1BB0CBDD" w14:textId="77777777" w:rsidR="00AD74D3" w:rsidRPr="002B294A" w:rsidRDefault="00AD74D3" w:rsidP="00AD74D3">
      <w:pPr>
        <w:spacing w:line="278" w:lineRule="auto"/>
        <w:jc w:val="both"/>
      </w:pPr>
      <w:r w:rsidRPr="002B294A">
        <w:t>Por fim, sob a ótica da gestão, seguimos acompanhando de forma criteriosa a evolução dos fundamentos dos emissores presentes nas carteiras, com atenção especial aos indicadores operacionais, à geração de caixa e à manutenção de estruturas de capital adequadas. Em um ambiente em que os spreads permanecem comprimidos em termos históricos, mantemos disciplina na alocação dos recursos, priorizando operações que apresentem adequada relação entre risco e retorno e preservando flexibilidade para captura de oportunidades que possam surgir em eventuais períodos de maior volatilidade do mercado.</w:t>
      </w:r>
    </w:p>
    <w:p w14:paraId="4700F485" w14:textId="77777777" w:rsidR="00640E8F" w:rsidRDefault="00640E8F" w:rsidP="00075D0D">
      <w:pPr>
        <w:spacing w:line="360" w:lineRule="auto"/>
        <w:jc w:val="both"/>
        <w:rPr>
          <w:rFonts w:ascii="Arial" w:hAnsi="Arial" w:cs="Arial"/>
          <w:sz w:val="20"/>
          <w:szCs w:val="20"/>
          <w:highlight w:val="yellow"/>
        </w:rPr>
      </w:pPr>
    </w:p>
    <w:p w14:paraId="211781AF" w14:textId="77777777" w:rsidR="00640E8F" w:rsidRDefault="00640E8F" w:rsidP="00075D0D">
      <w:pPr>
        <w:spacing w:line="360" w:lineRule="auto"/>
        <w:jc w:val="both"/>
        <w:rPr>
          <w:rFonts w:ascii="Arial" w:hAnsi="Arial" w:cs="Arial"/>
          <w:sz w:val="20"/>
          <w:szCs w:val="20"/>
          <w:highlight w:val="yellow"/>
        </w:rPr>
      </w:pPr>
    </w:p>
    <w:p w14:paraId="581CF7D6" w14:textId="77777777" w:rsidR="00640E8F" w:rsidRDefault="00640E8F" w:rsidP="00075D0D">
      <w:pPr>
        <w:spacing w:line="360" w:lineRule="auto"/>
        <w:jc w:val="both"/>
        <w:rPr>
          <w:rFonts w:ascii="Arial" w:hAnsi="Arial" w:cs="Arial"/>
          <w:sz w:val="20"/>
          <w:szCs w:val="20"/>
          <w:highlight w:val="yellow"/>
        </w:rPr>
      </w:pPr>
    </w:p>
    <w:p w14:paraId="0956DC3C" w14:textId="69998213" w:rsidR="00075D0D" w:rsidRPr="00D437C6" w:rsidRDefault="00D437C6" w:rsidP="00D437C6">
      <w:pPr>
        <w:shd w:val="clear" w:color="auto" w:fill="FFC000" w:themeFill="accent4"/>
        <w:spacing w:line="360" w:lineRule="auto"/>
        <w:jc w:val="both"/>
        <w:rPr>
          <w:rFonts w:ascii="Arial" w:hAnsi="Arial" w:cs="Arial"/>
          <w:b/>
          <w:bCs/>
          <w:sz w:val="20"/>
          <w:szCs w:val="20"/>
        </w:rPr>
      </w:pPr>
      <w:r w:rsidRPr="00D437C6">
        <w:rPr>
          <w:rFonts w:ascii="Arial" w:hAnsi="Arial" w:cs="Arial"/>
          <w:b/>
          <w:bCs/>
          <w:sz w:val="20"/>
          <w:szCs w:val="20"/>
        </w:rPr>
        <w:t>Tivio Banks</w:t>
      </w:r>
    </w:p>
    <w:p w14:paraId="233E90D1" w14:textId="07F3CEBD" w:rsidR="00106A77" w:rsidRPr="00106A77" w:rsidRDefault="00106A77" w:rsidP="00106A77">
      <w:pPr>
        <w:jc w:val="both"/>
        <w:rPr>
          <w:rFonts w:ascii="Arial" w:hAnsi="Arial" w:cs="Arial"/>
          <w:sz w:val="20"/>
          <w:szCs w:val="20"/>
        </w:rPr>
      </w:pPr>
      <w:r w:rsidRPr="00106A77">
        <w:rPr>
          <w:rFonts w:ascii="Arial" w:hAnsi="Arial" w:cs="Arial"/>
          <w:sz w:val="20"/>
          <w:szCs w:val="20"/>
        </w:rPr>
        <w:t xml:space="preserve">O Fundo Tivio Banks obteve retorno de </w:t>
      </w:r>
      <w:r w:rsidR="00A05861">
        <w:rPr>
          <w:rFonts w:ascii="Arial" w:hAnsi="Arial" w:cs="Arial"/>
          <w:sz w:val="20"/>
          <w:szCs w:val="20"/>
        </w:rPr>
        <w:t>1</w:t>
      </w:r>
      <w:r w:rsidR="00C56E63">
        <w:rPr>
          <w:rFonts w:ascii="Arial" w:hAnsi="Arial" w:cs="Arial"/>
          <w:sz w:val="20"/>
          <w:szCs w:val="20"/>
        </w:rPr>
        <w:t>,</w:t>
      </w:r>
      <w:r w:rsidR="00A05861">
        <w:rPr>
          <w:rFonts w:ascii="Arial" w:hAnsi="Arial" w:cs="Arial"/>
          <w:sz w:val="20"/>
          <w:szCs w:val="20"/>
        </w:rPr>
        <w:t>10</w:t>
      </w:r>
      <w:r w:rsidRPr="00106A77">
        <w:rPr>
          <w:rFonts w:ascii="Arial" w:hAnsi="Arial" w:cs="Arial"/>
          <w:sz w:val="20"/>
          <w:szCs w:val="20"/>
        </w:rPr>
        <w:t>% (</w:t>
      </w:r>
      <w:r w:rsidR="00A05861">
        <w:rPr>
          <w:rFonts w:ascii="Arial" w:hAnsi="Arial" w:cs="Arial"/>
          <w:sz w:val="20"/>
          <w:szCs w:val="20"/>
        </w:rPr>
        <w:t>101</w:t>
      </w:r>
      <w:r w:rsidRPr="00106A77">
        <w:rPr>
          <w:rFonts w:ascii="Arial" w:hAnsi="Arial" w:cs="Arial"/>
          <w:sz w:val="20"/>
          <w:szCs w:val="20"/>
        </w:rPr>
        <w:t xml:space="preserve">% do CDI) no mês e acumula </w:t>
      </w:r>
      <w:r w:rsidR="00A05861">
        <w:rPr>
          <w:rFonts w:ascii="Arial" w:hAnsi="Arial" w:cs="Arial"/>
          <w:sz w:val="20"/>
          <w:szCs w:val="20"/>
        </w:rPr>
        <w:t>9</w:t>
      </w:r>
      <w:r w:rsidRPr="00106A77">
        <w:rPr>
          <w:rFonts w:ascii="Arial" w:hAnsi="Arial" w:cs="Arial"/>
          <w:sz w:val="20"/>
          <w:szCs w:val="20"/>
        </w:rPr>
        <w:t>,</w:t>
      </w:r>
      <w:r w:rsidR="00A05861">
        <w:rPr>
          <w:rFonts w:ascii="Arial" w:hAnsi="Arial" w:cs="Arial"/>
          <w:sz w:val="20"/>
          <w:szCs w:val="20"/>
        </w:rPr>
        <w:t>36</w:t>
      </w:r>
      <w:r w:rsidRPr="00106A77">
        <w:rPr>
          <w:rFonts w:ascii="Arial" w:hAnsi="Arial" w:cs="Arial"/>
          <w:sz w:val="20"/>
          <w:szCs w:val="20"/>
        </w:rPr>
        <w:t>% (</w:t>
      </w:r>
      <w:r w:rsidR="00A05861">
        <w:rPr>
          <w:rFonts w:ascii="Arial" w:hAnsi="Arial" w:cs="Arial"/>
          <w:sz w:val="20"/>
          <w:szCs w:val="20"/>
        </w:rPr>
        <w:t>100</w:t>
      </w:r>
      <w:r w:rsidRPr="00106A77">
        <w:rPr>
          <w:rFonts w:ascii="Arial" w:hAnsi="Arial" w:cs="Arial"/>
          <w:sz w:val="20"/>
          <w:szCs w:val="20"/>
        </w:rPr>
        <w:t xml:space="preserve">% do CDI) em 2026. A alocação em crédito era de </w:t>
      </w:r>
      <w:r w:rsidR="00EF27F9">
        <w:rPr>
          <w:rFonts w:ascii="Arial" w:hAnsi="Arial" w:cs="Arial"/>
          <w:sz w:val="20"/>
          <w:szCs w:val="20"/>
        </w:rPr>
        <w:t>7</w:t>
      </w:r>
      <w:r w:rsidR="00AD74D3">
        <w:rPr>
          <w:rFonts w:ascii="Arial" w:hAnsi="Arial" w:cs="Arial"/>
          <w:sz w:val="20"/>
          <w:szCs w:val="20"/>
        </w:rPr>
        <w:t>5</w:t>
      </w:r>
      <w:r w:rsidRPr="00106A77">
        <w:rPr>
          <w:rFonts w:ascii="Arial" w:hAnsi="Arial" w:cs="Arial"/>
          <w:sz w:val="20"/>
          <w:szCs w:val="20"/>
        </w:rPr>
        <w:t>%, integralmente concentrada em emissores do setor bancário. O carrego da carteira encontra-se em CDI +0,2</w:t>
      </w:r>
      <w:r w:rsidR="00A05861">
        <w:rPr>
          <w:rFonts w:ascii="Arial" w:hAnsi="Arial" w:cs="Arial"/>
          <w:sz w:val="20"/>
          <w:szCs w:val="20"/>
        </w:rPr>
        <w:t>5</w:t>
      </w:r>
      <w:r w:rsidRPr="00106A77">
        <w:rPr>
          <w:rFonts w:ascii="Arial" w:hAnsi="Arial" w:cs="Arial"/>
          <w:sz w:val="20"/>
          <w:szCs w:val="20"/>
        </w:rPr>
        <w:t>%, com duration média de 1,</w:t>
      </w:r>
      <w:r w:rsidR="00A05861">
        <w:rPr>
          <w:rFonts w:ascii="Arial" w:hAnsi="Arial" w:cs="Arial"/>
          <w:sz w:val="20"/>
          <w:szCs w:val="20"/>
        </w:rPr>
        <w:t>05</w:t>
      </w:r>
      <w:r w:rsidRPr="00106A77">
        <w:rPr>
          <w:rFonts w:ascii="Arial" w:hAnsi="Arial" w:cs="Arial"/>
          <w:sz w:val="20"/>
          <w:szCs w:val="20"/>
        </w:rPr>
        <w:t xml:space="preserve"> ano.</w:t>
      </w:r>
    </w:p>
    <w:p w14:paraId="513AEFBF" w14:textId="77777777" w:rsidR="00AD74D3" w:rsidRPr="002B294A" w:rsidRDefault="00AD74D3" w:rsidP="00AD74D3">
      <w:pPr>
        <w:spacing w:line="278" w:lineRule="auto"/>
        <w:jc w:val="both"/>
      </w:pPr>
      <w:r w:rsidRPr="002B294A">
        <w:t>Em agosto, o mercado de crédito foi marcado por um ambiente de menor liquidez nas negociações do mercado secundário e por uma leve reabertura dos spreads de crédito. Após meses consecutivos de compressão dos prêmios de risco, observou-se um movimento mais cauteloso por parte dos investidores, com os spreads médios dos títulos corporativos indexados ao CDI avançando aproximadamente 0,03%, passando de CDI + 1,19% para CDI + 1,22% ao ano. Apesar desse ajuste, os níveis de prêmio permaneceram próximos das mínimas históricas observadas ao longo do ciclo recente.</w:t>
      </w:r>
    </w:p>
    <w:p w14:paraId="5D0C44BB" w14:textId="77777777" w:rsidR="00AD74D3" w:rsidRPr="002B294A" w:rsidRDefault="00AD74D3" w:rsidP="00AD74D3">
      <w:pPr>
        <w:spacing w:line="278" w:lineRule="auto"/>
        <w:jc w:val="both"/>
      </w:pPr>
      <w:r w:rsidRPr="002B294A">
        <w:t>No mercado secundário, a redução do volume negociado contribuiu para uma formação de preços mais seletiva, especialmente em ativos corporativos com menor liquidez. Ainda assim, o comportamento dos investidores permaneceu construtivo, sustentado por um ambiente técnico favorável e pela continuidade da elevada demanda por ativos de crédito.</w:t>
      </w:r>
    </w:p>
    <w:p w14:paraId="3AB5ABAD" w14:textId="40768509" w:rsidR="00AD74D3" w:rsidRPr="002B294A" w:rsidRDefault="00AD74D3" w:rsidP="00AD74D3">
      <w:pPr>
        <w:spacing w:line="278" w:lineRule="auto"/>
        <w:jc w:val="both"/>
      </w:pPr>
      <w:r w:rsidRPr="002B294A">
        <w:t xml:space="preserve">Já no mercado primário, as emissões bancárias seguiram registrando forte demanda por parte dos investidores. As ofertas de Letras Financeiras Seniores distribuídas ao longo do mês apresentaram níveis elevados de subscrição, com demanda que, em diversos casos, superou três vezes o volume ofertado. Esse forte apetite permitiu que as operações fossem precificadas com taxas inferiores aos limites inicialmente indicados pelos emissores, evidenciando a elevada disponibilidade de recursos para alocação na indústria de crédito. </w:t>
      </w:r>
    </w:p>
    <w:p w14:paraId="6687DB58" w14:textId="77777777" w:rsidR="00AD74D3" w:rsidRPr="002B294A" w:rsidRDefault="00AD74D3" w:rsidP="00AD74D3">
      <w:pPr>
        <w:spacing w:line="278" w:lineRule="auto"/>
        <w:jc w:val="both"/>
      </w:pPr>
      <w:r w:rsidRPr="002B294A">
        <w:t>Em relação aos fluxos, os fundos com alocação mínima de 15% em crédito e ao menos 1% em debêntures apresentaram captação líquida próxima de R$ 8 bilhões em agosto, resultado significativamente superior ao observado no mês anterior. O volume reforça a percepção de que os investidores seguem direcionando recursos para estratégias de crédito, impulsionados pelo elevado nível de carrego proporcionado pelos ativos indexados ao CDI e pela busca por alternativas de investimento com perfil de risco-retorno atrativo.</w:t>
      </w:r>
    </w:p>
    <w:p w14:paraId="04F6B476" w14:textId="77777777" w:rsidR="00AD74D3" w:rsidRPr="002B294A" w:rsidRDefault="00AD74D3" w:rsidP="00AD74D3">
      <w:pPr>
        <w:spacing w:line="278" w:lineRule="auto"/>
        <w:jc w:val="both"/>
      </w:pPr>
      <w:r w:rsidRPr="002B294A">
        <w:t>Nesse contexto, a combinação entre fluxos positivos para a indústria, vencimentos e amortizações recorrentes das carteiras, além da limitada oferta de novos ativos corporativos, continuou sustentando a demanda por crédito privado. Ainda que agosto tenha apresentado uma leve reabertura dos spreads médios de mercado, a dinâmica técnica permanece favorável e os prêmios seguem negociando em patamares historicamente reduzidos.</w:t>
      </w:r>
    </w:p>
    <w:p w14:paraId="0775BF27" w14:textId="77777777" w:rsidR="00AD74D3" w:rsidRPr="002B294A" w:rsidRDefault="00AD74D3" w:rsidP="00AD74D3">
      <w:pPr>
        <w:spacing w:line="278" w:lineRule="auto"/>
        <w:jc w:val="both"/>
      </w:pPr>
      <w:r w:rsidRPr="002B294A">
        <w:t>Por fim, sob a ótica da gestão, seguimos acompanhando de forma criteriosa a evolução dos fundamentos dos emissores presentes nas carteiras, com atenção especial aos indicadores operacionais, à geração de caixa e à manutenção de estruturas de capital adequadas. Em um ambiente em que os spreads permanecem comprimidos em termos históricos, mantemos disciplina na alocação dos recursos, priorizando operações que apresentem adequada relação entre risco e retorno e preservando flexibilidade para captura de oportunidades que possam surgir em eventuais períodos de maior volatilidade do mercado.</w:t>
      </w:r>
    </w:p>
    <w:p w14:paraId="09179AEF" w14:textId="38EF68B6" w:rsidR="00075D0D" w:rsidRPr="003F24C4" w:rsidRDefault="003F24C4" w:rsidP="00075D0D">
      <w:pPr>
        <w:jc w:val="both"/>
        <w:rPr>
          <w:b/>
          <w:bCs/>
        </w:rPr>
      </w:pPr>
      <w:r w:rsidRPr="003F24C4">
        <w:rPr>
          <w:rFonts w:ascii="Arial" w:hAnsi="Arial" w:cs="Arial"/>
          <w:b/>
          <w:bCs/>
          <w:sz w:val="20"/>
          <w:szCs w:val="20"/>
          <w:shd w:val="clear" w:color="auto" w:fill="FFC000" w:themeFill="accent4"/>
        </w:rPr>
        <w:lastRenderedPageBreak/>
        <w:t xml:space="preserve">Fundo Tivio Institucional </w:t>
      </w:r>
    </w:p>
    <w:p w14:paraId="60B79802" w14:textId="77777777" w:rsidR="00AD74D3" w:rsidRPr="002B294A" w:rsidRDefault="00AD74D3" w:rsidP="00AD74D3">
      <w:pPr>
        <w:spacing w:line="278" w:lineRule="auto"/>
        <w:jc w:val="both"/>
      </w:pPr>
      <w:r w:rsidRPr="002B294A">
        <w:t>Em agosto, o mercado de crédito foi marcado por um ambiente de menor liquidez nas negociações do mercado secundário e por uma leve reabertura dos spreads de crédito. Após meses consecutivos de compressão dos prêmios de risco, observou-se um movimento mais cauteloso por parte dos investidores, com os spreads médios dos títulos corporativos indexados ao CDI avançando aproximadamente 0,03%, passando de CDI + 1,19% para CDI + 1,22% ao ano. Apesar desse ajuste, os níveis de prêmio permaneceram próximos das mínimas históricas observadas ao longo do ciclo recente.</w:t>
      </w:r>
    </w:p>
    <w:p w14:paraId="7E4F70EB" w14:textId="77777777" w:rsidR="00AD74D3" w:rsidRPr="002B294A" w:rsidRDefault="00AD74D3" w:rsidP="00AD74D3">
      <w:pPr>
        <w:spacing w:line="278" w:lineRule="auto"/>
        <w:jc w:val="both"/>
      </w:pPr>
      <w:r w:rsidRPr="002B294A">
        <w:t>No mercado secundário, a redução do volume negociado contribuiu para uma formação de preços mais seletiva, especialmente em ativos corporativos com menor liquidez. Ainda assim, o comportamento dos investidores permaneceu construtivo, sustentado por um ambiente técnico favorável e pela continuidade da elevada demanda por ativos de crédito.</w:t>
      </w:r>
    </w:p>
    <w:p w14:paraId="48ABF2AA" w14:textId="77777777" w:rsidR="00AD74D3" w:rsidRPr="002B294A" w:rsidRDefault="00AD74D3" w:rsidP="00AD74D3">
      <w:pPr>
        <w:spacing w:line="278" w:lineRule="auto"/>
        <w:jc w:val="both"/>
      </w:pPr>
      <w:r w:rsidRPr="002B294A">
        <w:t>Já no mercado primário, as emissões bancárias seguiram registrando forte demanda por parte dos investidores. As ofertas de Letras Financeiras Seniores distribuídas ao longo do mês apresentaram níveis elevados de subscrição, com demanda que, em diversos casos, superou três vezes o volume ofertado. Esse forte apetite permitiu que as operações fossem precificadas com taxas inferiores aos limites inicialmente indicados pelos emissores, evidenciando a elevada disponibilidade de recursos para alocação na indústria de crédito. Por outro lado, o pipeline de emissões corporativas permaneceu limitado, restringindo a oferta de novos ativos em um momento de demanda ainda aquecida.</w:t>
      </w:r>
    </w:p>
    <w:p w14:paraId="07893103" w14:textId="77777777" w:rsidR="00AD74D3" w:rsidRPr="002B294A" w:rsidRDefault="00AD74D3" w:rsidP="00AD74D3">
      <w:pPr>
        <w:spacing w:line="278" w:lineRule="auto"/>
        <w:jc w:val="both"/>
      </w:pPr>
      <w:r w:rsidRPr="002B294A">
        <w:t>Em relação aos fluxos, os fundos com alocação mínima de 15% em crédito e ao menos 1% em debêntures apresentaram captação líquida próxima de R$ 8 bilhões em agosto, resultado significativamente superior ao observado no mês anterior. O volume reforça a percepção de que os investidores seguem direcionando recursos para estratégias de crédito, impulsionados pelo elevado nível de carrego proporcionado pelos ativos indexados ao CDI e pela busca por alternativas de investimento com perfil de risco-retorno atrativo.</w:t>
      </w:r>
    </w:p>
    <w:p w14:paraId="3529FDFB" w14:textId="77777777" w:rsidR="00AD74D3" w:rsidRPr="002B294A" w:rsidRDefault="00AD74D3" w:rsidP="00AD74D3">
      <w:pPr>
        <w:spacing w:line="278" w:lineRule="auto"/>
        <w:jc w:val="both"/>
      </w:pPr>
      <w:r w:rsidRPr="002B294A">
        <w:t>Nesse contexto, a combinação entre fluxos positivos para a indústria, vencimentos e amortizações recorrentes das carteiras, além da limitada oferta de novos ativos corporativos, continuou sustentando a demanda por crédito privado. Ainda que agosto tenha apresentado uma leve reabertura dos spreads médios de mercado, a dinâmica técnica permanece favorável e os prêmios seguem negociando em patamares historicamente reduzidos.</w:t>
      </w:r>
    </w:p>
    <w:p w14:paraId="27016160" w14:textId="77777777" w:rsidR="00AD74D3" w:rsidRPr="002B294A" w:rsidRDefault="00AD74D3" w:rsidP="00AD74D3">
      <w:pPr>
        <w:spacing w:line="278" w:lineRule="auto"/>
        <w:jc w:val="both"/>
      </w:pPr>
      <w:r w:rsidRPr="002B294A">
        <w:t>Por fim, sob a ótica da gestão, seguimos acompanhando de forma criteriosa a evolução dos fundamentos dos emissores presentes nas carteiras, com atenção especial aos indicadores operacionais, à geração de caixa e à manutenção de estruturas de capital adequadas. Em um ambiente em que os spreads permanecem comprimidos em termos históricos, mantemos disciplina na alocação dos recursos, priorizando operações que apresentem adequada relação entre risco e retorno e preservando flexibilidade para captura de oportunidades que possam surgir em eventuais períodos de maior volatilidade do mercado.</w:t>
      </w:r>
    </w:p>
    <w:p w14:paraId="137816F6" w14:textId="4F97C5A0" w:rsidR="003F24C4" w:rsidRPr="003F24C4" w:rsidRDefault="003F24C4" w:rsidP="003F24C4">
      <w:pPr>
        <w:jc w:val="both"/>
        <w:rPr>
          <w:rFonts w:ascii="Arial" w:hAnsi="Arial" w:cs="Arial"/>
          <w:sz w:val="20"/>
          <w:szCs w:val="20"/>
        </w:rPr>
      </w:pPr>
      <w:r w:rsidRPr="003F24C4">
        <w:rPr>
          <w:rFonts w:ascii="Arial" w:hAnsi="Arial" w:cs="Arial"/>
          <w:sz w:val="20"/>
          <w:szCs w:val="20"/>
        </w:rPr>
        <w:t xml:space="preserve">Nesse cenário, o Fundo Tivio Institucional apresentou rentabilidade de </w:t>
      </w:r>
      <w:r w:rsidR="00A05861">
        <w:rPr>
          <w:rFonts w:ascii="Arial" w:hAnsi="Arial" w:cs="Arial"/>
          <w:sz w:val="20"/>
          <w:szCs w:val="20"/>
        </w:rPr>
        <w:t>1</w:t>
      </w:r>
      <w:r w:rsidR="001077C3">
        <w:rPr>
          <w:rFonts w:ascii="Arial" w:hAnsi="Arial" w:cs="Arial"/>
          <w:sz w:val="20"/>
          <w:szCs w:val="20"/>
        </w:rPr>
        <w:t>,</w:t>
      </w:r>
      <w:r w:rsidR="00A05861">
        <w:rPr>
          <w:rFonts w:ascii="Arial" w:hAnsi="Arial" w:cs="Arial"/>
          <w:sz w:val="20"/>
          <w:szCs w:val="20"/>
        </w:rPr>
        <w:t>09</w:t>
      </w:r>
      <w:r w:rsidRPr="003F24C4">
        <w:rPr>
          <w:rFonts w:ascii="Arial" w:hAnsi="Arial" w:cs="Arial"/>
          <w:sz w:val="20"/>
          <w:szCs w:val="20"/>
        </w:rPr>
        <w:t>% no mês (</w:t>
      </w:r>
      <w:r w:rsidR="00A05861">
        <w:rPr>
          <w:rFonts w:ascii="Arial" w:hAnsi="Arial" w:cs="Arial"/>
          <w:sz w:val="20"/>
          <w:szCs w:val="20"/>
        </w:rPr>
        <w:t>100</w:t>
      </w:r>
      <w:r w:rsidRPr="003F24C4">
        <w:rPr>
          <w:rFonts w:ascii="Arial" w:hAnsi="Arial" w:cs="Arial"/>
          <w:sz w:val="20"/>
          <w:szCs w:val="20"/>
        </w:rPr>
        <w:t xml:space="preserve">% do CDI), acumulando </w:t>
      </w:r>
      <w:r w:rsidR="00A05861">
        <w:rPr>
          <w:rFonts w:ascii="Arial" w:hAnsi="Arial" w:cs="Arial"/>
          <w:sz w:val="20"/>
          <w:szCs w:val="20"/>
        </w:rPr>
        <w:t>9</w:t>
      </w:r>
      <w:r w:rsidR="001077C3">
        <w:rPr>
          <w:rFonts w:ascii="Arial" w:hAnsi="Arial" w:cs="Arial"/>
          <w:sz w:val="20"/>
          <w:szCs w:val="20"/>
        </w:rPr>
        <w:t>,</w:t>
      </w:r>
      <w:r w:rsidR="00A05861">
        <w:rPr>
          <w:rFonts w:ascii="Arial" w:hAnsi="Arial" w:cs="Arial"/>
          <w:sz w:val="20"/>
          <w:szCs w:val="20"/>
        </w:rPr>
        <w:t>31</w:t>
      </w:r>
      <w:r w:rsidRPr="003F24C4">
        <w:rPr>
          <w:rFonts w:ascii="Arial" w:hAnsi="Arial" w:cs="Arial"/>
          <w:sz w:val="20"/>
          <w:szCs w:val="20"/>
        </w:rPr>
        <w:t>% (</w:t>
      </w:r>
      <w:r w:rsidR="00A05861">
        <w:rPr>
          <w:rFonts w:ascii="Arial" w:hAnsi="Arial" w:cs="Arial"/>
          <w:sz w:val="20"/>
          <w:szCs w:val="20"/>
        </w:rPr>
        <w:t>100</w:t>
      </w:r>
      <w:r w:rsidRPr="003F24C4">
        <w:rPr>
          <w:rFonts w:ascii="Arial" w:hAnsi="Arial" w:cs="Arial"/>
          <w:sz w:val="20"/>
          <w:szCs w:val="20"/>
        </w:rPr>
        <w:t>% do CDI)</w:t>
      </w:r>
      <w:r w:rsidR="001077C3">
        <w:rPr>
          <w:rFonts w:ascii="Arial" w:hAnsi="Arial" w:cs="Arial"/>
          <w:sz w:val="20"/>
          <w:szCs w:val="20"/>
        </w:rPr>
        <w:t xml:space="preserve"> no ano</w:t>
      </w:r>
      <w:r w:rsidRPr="003F24C4">
        <w:rPr>
          <w:rFonts w:ascii="Arial" w:hAnsi="Arial" w:cs="Arial"/>
          <w:sz w:val="20"/>
          <w:szCs w:val="20"/>
        </w:rPr>
        <w:t>. N</w:t>
      </w:r>
      <w:r w:rsidR="00D35530">
        <w:rPr>
          <w:rFonts w:ascii="Arial" w:hAnsi="Arial" w:cs="Arial"/>
          <w:sz w:val="20"/>
          <w:szCs w:val="20"/>
        </w:rPr>
        <w:t>a</w:t>
      </w:r>
      <w:r w:rsidRPr="003F24C4">
        <w:rPr>
          <w:rFonts w:ascii="Arial" w:hAnsi="Arial" w:cs="Arial"/>
          <w:sz w:val="20"/>
          <w:szCs w:val="20"/>
        </w:rPr>
        <w:t xml:space="preserve"> parcela de </w:t>
      </w:r>
      <w:r w:rsidR="00D35530">
        <w:rPr>
          <w:rFonts w:ascii="Arial" w:hAnsi="Arial" w:cs="Arial"/>
          <w:sz w:val="20"/>
          <w:szCs w:val="20"/>
        </w:rPr>
        <w:t>corporativos,</w:t>
      </w:r>
      <w:r w:rsidRPr="003F24C4">
        <w:rPr>
          <w:rFonts w:ascii="Arial" w:hAnsi="Arial" w:cs="Arial"/>
          <w:sz w:val="20"/>
          <w:szCs w:val="20"/>
        </w:rPr>
        <w:t xml:space="preserve"> </w:t>
      </w:r>
      <w:r w:rsidR="00D35530">
        <w:rPr>
          <w:rFonts w:ascii="Arial" w:hAnsi="Arial" w:cs="Arial"/>
          <w:sz w:val="20"/>
          <w:szCs w:val="20"/>
        </w:rPr>
        <w:t xml:space="preserve">os maiores atribuidores de </w:t>
      </w:r>
      <w:r w:rsidRPr="003F24C4">
        <w:rPr>
          <w:rFonts w:ascii="Arial" w:hAnsi="Arial" w:cs="Arial"/>
          <w:sz w:val="20"/>
          <w:szCs w:val="20"/>
        </w:rPr>
        <w:t>resultado</w:t>
      </w:r>
      <w:r w:rsidR="00D35530">
        <w:rPr>
          <w:rFonts w:ascii="Arial" w:hAnsi="Arial" w:cs="Arial"/>
          <w:sz w:val="20"/>
          <w:szCs w:val="20"/>
        </w:rPr>
        <w:t xml:space="preserve"> foram </w:t>
      </w:r>
      <w:r w:rsidRPr="003F24C4">
        <w:rPr>
          <w:rFonts w:ascii="Arial" w:hAnsi="Arial" w:cs="Arial"/>
          <w:sz w:val="20"/>
          <w:szCs w:val="20"/>
        </w:rPr>
        <w:t xml:space="preserve">para </w:t>
      </w:r>
      <w:r w:rsidR="00AD74D3">
        <w:rPr>
          <w:rFonts w:ascii="Arial" w:hAnsi="Arial" w:cs="Arial"/>
          <w:sz w:val="20"/>
          <w:szCs w:val="20"/>
        </w:rPr>
        <w:t>Argo</w:t>
      </w:r>
      <w:r w:rsidR="00D35530">
        <w:rPr>
          <w:rFonts w:ascii="Arial" w:hAnsi="Arial" w:cs="Arial"/>
          <w:sz w:val="20"/>
          <w:szCs w:val="20"/>
        </w:rPr>
        <w:t xml:space="preserve"> e </w:t>
      </w:r>
      <w:r w:rsidR="00AD74D3">
        <w:rPr>
          <w:rFonts w:ascii="Arial" w:hAnsi="Arial" w:cs="Arial"/>
          <w:sz w:val="20"/>
          <w:szCs w:val="20"/>
        </w:rPr>
        <w:t>Aegea</w:t>
      </w:r>
      <w:r>
        <w:rPr>
          <w:rFonts w:ascii="Arial" w:hAnsi="Arial" w:cs="Arial"/>
          <w:sz w:val="20"/>
          <w:szCs w:val="20"/>
        </w:rPr>
        <w:t xml:space="preserve">, enquanto </w:t>
      </w:r>
      <w:r w:rsidR="00AD74D3">
        <w:rPr>
          <w:rFonts w:ascii="Arial" w:hAnsi="Arial" w:cs="Arial"/>
          <w:sz w:val="20"/>
          <w:szCs w:val="20"/>
        </w:rPr>
        <w:t>Aegea</w:t>
      </w:r>
      <w:r>
        <w:rPr>
          <w:rFonts w:ascii="Arial" w:hAnsi="Arial" w:cs="Arial"/>
          <w:sz w:val="20"/>
          <w:szCs w:val="20"/>
        </w:rPr>
        <w:t xml:space="preserve"> foi o maior detrator</w:t>
      </w:r>
      <w:r w:rsidRPr="003F24C4">
        <w:rPr>
          <w:rFonts w:ascii="Arial" w:hAnsi="Arial" w:cs="Arial"/>
          <w:sz w:val="20"/>
          <w:szCs w:val="20"/>
        </w:rPr>
        <w:t>.</w:t>
      </w:r>
    </w:p>
    <w:p w14:paraId="2869ED1A" w14:textId="77777777" w:rsidR="003F24C4" w:rsidRPr="003F24C4" w:rsidRDefault="003F24C4" w:rsidP="003F24C4">
      <w:pPr>
        <w:shd w:val="clear" w:color="auto" w:fill="FFC000" w:themeFill="accent4"/>
        <w:spacing w:line="276" w:lineRule="auto"/>
        <w:jc w:val="both"/>
        <w:rPr>
          <w:rFonts w:ascii="Arial" w:hAnsi="Arial" w:cs="Arial"/>
          <w:b/>
          <w:bCs/>
          <w:sz w:val="20"/>
          <w:szCs w:val="20"/>
        </w:rPr>
      </w:pPr>
      <w:r w:rsidRPr="003F24C4">
        <w:rPr>
          <w:rFonts w:ascii="Arial" w:hAnsi="Arial" w:cs="Arial"/>
          <w:b/>
          <w:bCs/>
          <w:sz w:val="20"/>
          <w:szCs w:val="20"/>
        </w:rPr>
        <w:lastRenderedPageBreak/>
        <w:t xml:space="preserve">Tivio Legacy Prev </w:t>
      </w:r>
    </w:p>
    <w:p w14:paraId="16FB58D5" w14:textId="77777777" w:rsidR="003F24C4" w:rsidRDefault="003F24C4" w:rsidP="003F24C4">
      <w:pPr>
        <w:jc w:val="both"/>
        <w:rPr>
          <w:rFonts w:ascii="Arial" w:hAnsi="Arial" w:cs="Arial"/>
          <w:sz w:val="20"/>
          <w:szCs w:val="20"/>
        </w:rPr>
      </w:pPr>
    </w:p>
    <w:p w14:paraId="44F6DFE4" w14:textId="77777777" w:rsidR="00AD74D3" w:rsidRPr="002B294A" w:rsidRDefault="00AD74D3" w:rsidP="00AD74D3">
      <w:pPr>
        <w:spacing w:line="278" w:lineRule="auto"/>
        <w:jc w:val="both"/>
      </w:pPr>
      <w:r w:rsidRPr="002B294A">
        <w:t>Em agosto, o mercado de crédito foi marcado por um ambiente de menor liquidez nas negociações do mercado secundário e por uma leve reabertura dos spreads de crédito. Após meses consecutivos de compressão dos prêmios de risco, observou-se um movimento mais cauteloso por parte dos investidores, com os spreads médios dos títulos corporativos indexados ao CDI avançando aproximadamente 0,03%, passando de CDI + 1,19% para CDI + 1,22% ao ano. Apesar desse ajuste, os níveis de prêmio permaneceram próximos das mínimas históricas observadas ao longo do ciclo recente.</w:t>
      </w:r>
    </w:p>
    <w:p w14:paraId="4DF80AF7" w14:textId="77777777" w:rsidR="00AD74D3" w:rsidRPr="002B294A" w:rsidRDefault="00AD74D3" w:rsidP="00AD74D3">
      <w:pPr>
        <w:spacing w:line="278" w:lineRule="auto"/>
        <w:jc w:val="both"/>
      </w:pPr>
      <w:r w:rsidRPr="002B294A">
        <w:t>No mercado secundário, a redução do volume negociado contribuiu para uma formação de preços mais seletiva, especialmente em ativos corporativos com menor liquidez. Ainda assim, o comportamento dos investidores permaneceu construtivo, sustentado por um ambiente técnico favorável e pela continuidade da elevada demanda por ativos de crédito.</w:t>
      </w:r>
    </w:p>
    <w:p w14:paraId="3FC9771A" w14:textId="77777777" w:rsidR="00AD74D3" w:rsidRPr="002B294A" w:rsidRDefault="00AD74D3" w:rsidP="00AD74D3">
      <w:pPr>
        <w:spacing w:line="278" w:lineRule="auto"/>
        <w:jc w:val="both"/>
      </w:pPr>
      <w:r w:rsidRPr="002B294A">
        <w:t>Já no mercado primário, as emissões bancárias seguiram registrando forte demanda por parte dos investidores. As ofertas de Letras Financeiras Seniores distribuídas ao longo do mês apresentaram níveis elevados de subscrição, com demanda que, em diversos casos, superou três vezes o volume ofertado. Esse forte apetite permitiu que as operações fossem precificadas com taxas inferiores aos limites inicialmente indicados pelos emissores, evidenciando a elevada disponibilidade de recursos para alocação na indústria de crédito. Por outro lado, o pipeline de emissões corporativas permaneceu limitado, restringindo a oferta de novos ativos em um momento de demanda ainda aquecida.</w:t>
      </w:r>
    </w:p>
    <w:p w14:paraId="2EEB0453" w14:textId="77777777" w:rsidR="00AD74D3" w:rsidRPr="002B294A" w:rsidRDefault="00AD74D3" w:rsidP="00AD74D3">
      <w:pPr>
        <w:spacing w:line="278" w:lineRule="auto"/>
        <w:jc w:val="both"/>
      </w:pPr>
      <w:r w:rsidRPr="002B294A">
        <w:t>Em relação aos fluxos, os fundos com alocação mínima de 15% em crédito e ao menos 1% em debêntures apresentaram captação líquida próxima de R$ 8 bilhões em agosto, resultado significativamente superior ao observado no mês anterior. O volume reforça a percepção de que os investidores seguem direcionando recursos para estratégias de crédito, impulsionados pelo elevado nível de carrego proporcionado pelos ativos indexados ao CDI e pela busca por alternativas de investimento com perfil de risco-retorno atrativo.</w:t>
      </w:r>
    </w:p>
    <w:p w14:paraId="0911C2DE" w14:textId="77777777" w:rsidR="00AD74D3" w:rsidRPr="002B294A" w:rsidRDefault="00AD74D3" w:rsidP="00AD74D3">
      <w:pPr>
        <w:spacing w:line="278" w:lineRule="auto"/>
        <w:jc w:val="both"/>
      </w:pPr>
      <w:r w:rsidRPr="002B294A">
        <w:t>Nesse contexto, a combinação entre fluxos positivos para a indústria, vencimentos e amortizações recorrentes das carteiras, além da limitada oferta de novos ativos corporativos, continuou sustentando a demanda por crédito privado. Ainda que agosto tenha apresentado uma leve reabertura dos spreads médios de mercado, a dinâmica técnica permanece favorável e os prêmios seguem negociando em patamares historicamente reduzidos.</w:t>
      </w:r>
    </w:p>
    <w:p w14:paraId="096D628B" w14:textId="77777777" w:rsidR="00AD74D3" w:rsidRPr="002B294A" w:rsidRDefault="00AD74D3" w:rsidP="00AD74D3">
      <w:pPr>
        <w:spacing w:line="278" w:lineRule="auto"/>
        <w:jc w:val="both"/>
      </w:pPr>
      <w:r w:rsidRPr="002B294A">
        <w:t>Por fim, sob a ótica da gestão, seguimos acompanhando de forma criteriosa a evolução dos fundamentos dos emissores presentes nas carteiras, com atenção especial aos indicadores operacionais, à geração de caixa e à manutenção de estruturas de capital adequadas. Em um ambiente em que os spreads permanecem comprimidos em termos históricos, mantemos disciplina na alocação dos recursos, priorizando operações que apresentem adequada relação entre risco e retorno e preservando flexibilidade para captura de oportunidades que possam surgir em eventuais períodos de maior volatilidade do mercado.</w:t>
      </w:r>
    </w:p>
    <w:p w14:paraId="7A81D29F" w14:textId="4A577945" w:rsidR="00D35530" w:rsidRPr="003F24C4" w:rsidRDefault="003F24C4" w:rsidP="00D35530">
      <w:pPr>
        <w:jc w:val="both"/>
        <w:rPr>
          <w:rFonts w:ascii="Arial" w:hAnsi="Arial" w:cs="Arial"/>
          <w:sz w:val="20"/>
          <w:szCs w:val="20"/>
        </w:rPr>
      </w:pPr>
      <w:r w:rsidRPr="003F24C4">
        <w:rPr>
          <w:rFonts w:ascii="Arial" w:hAnsi="Arial" w:cs="Arial"/>
          <w:sz w:val="20"/>
          <w:szCs w:val="20"/>
        </w:rPr>
        <w:lastRenderedPageBreak/>
        <w:t xml:space="preserve">Nesse cenário, o Tivio </w:t>
      </w:r>
      <w:r w:rsidRPr="000F2E25">
        <w:rPr>
          <w:rFonts w:ascii="Arial" w:hAnsi="Arial" w:cs="Arial"/>
          <w:sz w:val="20"/>
          <w:szCs w:val="20"/>
        </w:rPr>
        <w:t>Legacy Prev</w:t>
      </w:r>
      <w:r w:rsidRPr="003F24C4">
        <w:rPr>
          <w:rFonts w:ascii="Arial" w:hAnsi="Arial" w:cs="Arial"/>
          <w:sz w:val="20"/>
          <w:szCs w:val="20"/>
        </w:rPr>
        <w:t xml:space="preserve"> apresentou rentabilidade de </w:t>
      </w:r>
      <w:r w:rsidR="000A3455">
        <w:rPr>
          <w:rFonts w:ascii="Arial" w:hAnsi="Arial" w:cs="Arial"/>
          <w:sz w:val="20"/>
          <w:szCs w:val="20"/>
        </w:rPr>
        <w:t>1</w:t>
      </w:r>
      <w:r w:rsidR="001077C3">
        <w:rPr>
          <w:rFonts w:ascii="Arial" w:hAnsi="Arial" w:cs="Arial"/>
          <w:sz w:val="20"/>
          <w:szCs w:val="20"/>
        </w:rPr>
        <w:t>,</w:t>
      </w:r>
      <w:r w:rsidR="000A3455">
        <w:rPr>
          <w:rFonts w:ascii="Arial" w:hAnsi="Arial" w:cs="Arial"/>
          <w:sz w:val="20"/>
          <w:szCs w:val="20"/>
        </w:rPr>
        <w:t>07</w:t>
      </w:r>
      <w:r w:rsidRPr="003F24C4">
        <w:rPr>
          <w:rFonts w:ascii="Arial" w:hAnsi="Arial" w:cs="Arial"/>
          <w:sz w:val="20"/>
          <w:szCs w:val="20"/>
        </w:rPr>
        <w:t>% no mês (</w:t>
      </w:r>
      <w:r w:rsidR="000A3455">
        <w:rPr>
          <w:rFonts w:ascii="Arial" w:hAnsi="Arial" w:cs="Arial"/>
          <w:sz w:val="20"/>
          <w:szCs w:val="20"/>
        </w:rPr>
        <w:t>97</w:t>
      </w:r>
      <w:r w:rsidRPr="003F24C4">
        <w:rPr>
          <w:rFonts w:ascii="Arial" w:hAnsi="Arial" w:cs="Arial"/>
          <w:sz w:val="20"/>
          <w:szCs w:val="20"/>
        </w:rPr>
        <w:t>% do CDI)</w:t>
      </w:r>
      <w:r w:rsidR="001077C3">
        <w:rPr>
          <w:rFonts w:ascii="Arial" w:hAnsi="Arial" w:cs="Arial"/>
          <w:sz w:val="20"/>
          <w:szCs w:val="20"/>
        </w:rPr>
        <w:t xml:space="preserve"> </w:t>
      </w:r>
      <w:r w:rsidRPr="003F24C4">
        <w:rPr>
          <w:rFonts w:ascii="Arial" w:hAnsi="Arial" w:cs="Arial"/>
          <w:sz w:val="20"/>
          <w:szCs w:val="20"/>
        </w:rPr>
        <w:t xml:space="preserve">, acumulando </w:t>
      </w:r>
      <w:r w:rsidR="000A3455">
        <w:rPr>
          <w:rFonts w:ascii="Arial" w:hAnsi="Arial" w:cs="Arial"/>
          <w:sz w:val="20"/>
          <w:szCs w:val="20"/>
        </w:rPr>
        <w:t>8</w:t>
      </w:r>
      <w:r w:rsidR="001077C3">
        <w:rPr>
          <w:rFonts w:ascii="Arial" w:hAnsi="Arial" w:cs="Arial"/>
          <w:sz w:val="20"/>
          <w:szCs w:val="20"/>
        </w:rPr>
        <w:t>,</w:t>
      </w:r>
      <w:r w:rsidR="000A3455">
        <w:rPr>
          <w:rFonts w:ascii="Arial" w:hAnsi="Arial" w:cs="Arial"/>
          <w:sz w:val="20"/>
          <w:szCs w:val="20"/>
        </w:rPr>
        <w:t>91</w:t>
      </w:r>
      <w:r w:rsidRPr="003F24C4">
        <w:rPr>
          <w:rFonts w:ascii="Arial" w:hAnsi="Arial" w:cs="Arial"/>
          <w:sz w:val="20"/>
          <w:szCs w:val="20"/>
        </w:rPr>
        <w:t>% (</w:t>
      </w:r>
      <w:r w:rsidR="000A3455">
        <w:rPr>
          <w:rFonts w:ascii="Arial" w:hAnsi="Arial" w:cs="Arial"/>
          <w:sz w:val="20"/>
          <w:szCs w:val="20"/>
        </w:rPr>
        <w:t>96</w:t>
      </w:r>
      <w:r w:rsidRPr="003F24C4">
        <w:rPr>
          <w:rFonts w:ascii="Arial" w:hAnsi="Arial" w:cs="Arial"/>
          <w:sz w:val="20"/>
          <w:szCs w:val="20"/>
        </w:rPr>
        <w:t xml:space="preserve">% do CDI) </w:t>
      </w:r>
      <w:r w:rsidR="001077C3">
        <w:rPr>
          <w:rFonts w:ascii="Arial" w:hAnsi="Arial" w:cs="Arial"/>
          <w:sz w:val="20"/>
          <w:szCs w:val="20"/>
        </w:rPr>
        <w:t>no ano</w:t>
      </w:r>
      <w:r w:rsidR="00D35530">
        <w:rPr>
          <w:rFonts w:ascii="Arial" w:hAnsi="Arial" w:cs="Arial"/>
          <w:sz w:val="20"/>
          <w:szCs w:val="20"/>
        </w:rPr>
        <w:t>.</w:t>
      </w:r>
      <w:r w:rsidR="00D35530" w:rsidRPr="00D35530">
        <w:rPr>
          <w:rFonts w:ascii="Arial" w:hAnsi="Arial" w:cs="Arial"/>
          <w:sz w:val="20"/>
          <w:szCs w:val="20"/>
        </w:rPr>
        <w:t xml:space="preserve"> </w:t>
      </w:r>
      <w:r w:rsidR="00D35530">
        <w:rPr>
          <w:rFonts w:ascii="Arial" w:hAnsi="Arial" w:cs="Arial"/>
          <w:sz w:val="20"/>
          <w:szCs w:val="20"/>
        </w:rPr>
        <w:t>Na</w:t>
      </w:r>
      <w:r w:rsidR="00D35530" w:rsidRPr="003F24C4">
        <w:rPr>
          <w:rFonts w:ascii="Arial" w:hAnsi="Arial" w:cs="Arial"/>
          <w:sz w:val="20"/>
          <w:szCs w:val="20"/>
        </w:rPr>
        <w:t xml:space="preserve"> parcela de </w:t>
      </w:r>
      <w:r w:rsidR="00D35530">
        <w:rPr>
          <w:rFonts w:ascii="Arial" w:hAnsi="Arial" w:cs="Arial"/>
          <w:sz w:val="20"/>
          <w:szCs w:val="20"/>
        </w:rPr>
        <w:t>corporativos,</w:t>
      </w:r>
      <w:r w:rsidR="00D35530" w:rsidRPr="003F24C4">
        <w:rPr>
          <w:rFonts w:ascii="Arial" w:hAnsi="Arial" w:cs="Arial"/>
          <w:sz w:val="20"/>
          <w:szCs w:val="20"/>
        </w:rPr>
        <w:t xml:space="preserve"> </w:t>
      </w:r>
      <w:r w:rsidR="00D35530">
        <w:rPr>
          <w:rFonts w:ascii="Arial" w:hAnsi="Arial" w:cs="Arial"/>
          <w:sz w:val="20"/>
          <w:szCs w:val="20"/>
        </w:rPr>
        <w:t xml:space="preserve">os maiores atribuidores de </w:t>
      </w:r>
      <w:r w:rsidR="00D35530" w:rsidRPr="003F24C4">
        <w:rPr>
          <w:rFonts w:ascii="Arial" w:hAnsi="Arial" w:cs="Arial"/>
          <w:sz w:val="20"/>
          <w:szCs w:val="20"/>
        </w:rPr>
        <w:t>resultado</w:t>
      </w:r>
      <w:r w:rsidR="00D35530">
        <w:rPr>
          <w:rFonts w:ascii="Arial" w:hAnsi="Arial" w:cs="Arial"/>
          <w:sz w:val="20"/>
          <w:szCs w:val="20"/>
        </w:rPr>
        <w:t xml:space="preserve"> foram </w:t>
      </w:r>
      <w:r w:rsidR="00D35530" w:rsidRPr="003F24C4">
        <w:rPr>
          <w:rFonts w:ascii="Arial" w:hAnsi="Arial" w:cs="Arial"/>
          <w:sz w:val="20"/>
          <w:szCs w:val="20"/>
        </w:rPr>
        <w:t xml:space="preserve">para </w:t>
      </w:r>
      <w:r w:rsidR="00EE0299">
        <w:rPr>
          <w:rFonts w:ascii="Arial" w:hAnsi="Arial" w:cs="Arial"/>
          <w:sz w:val="20"/>
          <w:szCs w:val="20"/>
        </w:rPr>
        <w:t>Tupy</w:t>
      </w:r>
      <w:r w:rsidR="00D35530">
        <w:rPr>
          <w:rFonts w:ascii="Arial" w:hAnsi="Arial" w:cs="Arial"/>
          <w:sz w:val="20"/>
          <w:szCs w:val="20"/>
        </w:rPr>
        <w:t xml:space="preserve"> e </w:t>
      </w:r>
      <w:r w:rsidR="00AD74D3">
        <w:rPr>
          <w:rFonts w:ascii="Arial" w:hAnsi="Arial" w:cs="Arial"/>
          <w:sz w:val="20"/>
          <w:szCs w:val="20"/>
        </w:rPr>
        <w:t>Randon</w:t>
      </w:r>
      <w:r w:rsidR="00D35530">
        <w:rPr>
          <w:rFonts w:ascii="Arial" w:hAnsi="Arial" w:cs="Arial"/>
          <w:sz w:val="20"/>
          <w:szCs w:val="20"/>
        </w:rPr>
        <w:t xml:space="preserve">, enquanto </w:t>
      </w:r>
      <w:r w:rsidR="00AD74D3">
        <w:rPr>
          <w:rFonts w:ascii="Arial" w:hAnsi="Arial" w:cs="Arial"/>
          <w:sz w:val="20"/>
          <w:szCs w:val="20"/>
        </w:rPr>
        <w:t>Hapvida</w:t>
      </w:r>
      <w:r w:rsidR="00D35530">
        <w:rPr>
          <w:rFonts w:ascii="Arial" w:hAnsi="Arial" w:cs="Arial"/>
          <w:sz w:val="20"/>
          <w:szCs w:val="20"/>
        </w:rPr>
        <w:t xml:space="preserve"> foi o maior detrator</w:t>
      </w:r>
      <w:r w:rsidR="00D35530" w:rsidRPr="003F24C4">
        <w:rPr>
          <w:rFonts w:ascii="Arial" w:hAnsi="Arial" w:cs="Arial"/>
          <w:sz w:val="20"/>
          <w:szCs w:val="20"/>
        </w:rPr>
        <w:t>.</w:t>
      </w:r>
    </w:p>
    <w:p w14:paraId="21F3B273" w14:textId="617A1160" w:rsidR="006147D5" w:rsidRDefault="006147D5" w:rsidP="00841470">
      <w:pPr>
        <w:jc w:val="both"/>
        <w:rPr>
          <w:rFonts w:ascii="Arial" w:hAnsi="Arial" w:cs="Arial"/>
          <w:sz w:val="20"/>
          <w:szCs w:val="20"/>
        </w:rPr>
      </w:pPr>
    </w:p>
    <w:p w14:paraId="3B819083" w14:textId="77777777" w:rsidR="003F24C4" w:rsidRPr="003F24C4" w:rsidRDefault="003F24C4" w:rsidP="003F24C4">
      <w:pPr>
        <w:shd w:val="clear" w:color="auto" w:fill="FFC000" w:themeFill="accent4"/>
        <w:jc w:val="both"/>
        <w:rPr>
          <w:rFonts w:ascii="Arial" w:hAnsi="Arial" w:cs="Arial"/>
          <w:b/>
          <w:bCs/>
          <w:sz w:val="20"/>
          <w:szCs w:val="20"/>
        </w:rPr>
      </w:pPr>
      <w:r w:rsidRPr="003F24C4">
        <w:rPr>
          <w:rFonts w:ascii="Arial" w:hAnsi="Arial" w:cs="Arial"/>
          <w:b/>
          <w:bCs/>
          <w:sz w:val="20"/>
          <w:szCs w:val="20"/>
        </w:rPr>
        <w:t xml:space="preserve">Fundo Tivio RF CP </w:t>
      </w:r>
    </w:p>
    <w:p w14:paraId="3BD1D37F" w14:textId="77777777" w:rsidR="003F24C4" w:rsidRDefault="003F24C4" w:rsidP="00075D0D">
      <w:pPr>
        <w:jc w:val="both"/>
        <w:rPr>
          <w:rFonts w:ascii="Arial" w:hAnsi="Arial" w:cs="Arial"/>
          <w:sz w:val="20"/>
          <w:szCs w:val="20"/>
        </w:rPr>
      </w:pPr>
    </w:p>
    <w:p w14:paraId="5812384A" w14:textId="77777777" w:rsidR="00AD74D3" w:rsidRPr="002B294A" w:rsidRDefault="00AD74D3" w:rsidP="00AD74D3">
      <w:pPr>
        <w:spacing w:line="278" w:lineRule="auto"/>
        <w:jc w:val="both"/>
      </w:pPr>
      <w:r w:rsidRPr="002B294A">
        <w:t>Em agosto, o mercado de crédito foi marcado por um ambiente de menor liquidez nas negociações do mercado secundário e por uma leve reabertura dos spreads de crédito. Após meses consecutivos de compressão dos prêmios de risco, observou-se um movimento mais cauteloso por parte dos investidores, com os spreads médios dos títulos corporativos indexados ao CDI avançando aproximadamente 0,03%, passando de CDI + 1,19% para CDI + 1,22% ao ano. Apesar desse ajuste, os níveis de prêmio permaneceram próximos das mínimas históricas observadas ao longo do ciclo recente.</w:t>
      </w:r>
    </w:p>
    <w:p w14:paraId="4E0653A9" w14:textId="77777777" w:rsidR="00AD74D3" w:rsidRPr="002B294A" w:rsidRDefault="00AD74D3" w:rsidP="00AD74D3">
      <w:pPr>
        <w:spacing w:line="278" w:lineRule="auto"/>
        <w:jc w:val="both"/>
      </w:pPr>
      <w:r w:rsidRPr="002B294A">
        <w:t>No mercado secundário, a redução do volume negociado contribuiu para uma formação de preços mais seletiva, especialmente em ativos corporativos com menor liquidez. Ainda assim, o comportamento dos investidores permaneceu construtivo, sustentado por um ambiente técnico favorável e pela continuidade da elevada demanda por ativos de crédito.</w:t>
      </w:r>
    </w:p>
    <w:p w14:paraId="63C45FFF" w14:textId="77777777" w:rsidR="00AD74D3" w:rsidRPr="002B294A" w:rsidRDefault="00AD74D3" w:rsidP="00AD74D3">
      <w:pPr>
        <w:spacing w:line="278" w:lineRule="auto"/>
        <w:jc w:val="both"/>
      </w:pPr>
      <w:r w:rsidRPr="002B294A">
        <w:t>Já no mercado primário, as emissões bancárias seguiram registrando forte demanda por parte dos investidores. As ofertas de Letras Financeiras Seniores distribuídas ao longo do mês apresentaram níveis elevados de subscrição, com demanda que, em diversos casos, superou três vezes o volume ofertado. Esse forte apetite permitiu que as operações fossem precificadas com taxas inferiores aos limites inicialmente indicados pelos emissores, evidenciando a elevada disponibilidade de recursos para alocação na indústria de crédito. Por outro lado, o pipeline de emissões corporativas permaneceu limitado, restringindo a oferta de novos ativos em um momento de demanda ainda aquecida.</w:t>
      </w:r>
    </w:p>
    <w:p w14:paraId="7FA39F29" w14:textId="77777777" w:rsidR="00AD74D3" w:rsidRPr="002B294A" w:rsidRDefault="00AD74D3" w:rsidP="00AD74D3">
      <w:pPr>
        <w:spacing w:line="278" w:lineRule="auto"/>
        <w:jc w:val="both"/>
      </w:pPr>
      <w:r w:rsidRPr="002B294A">
        <w:t>Em relação aos fluxos, os fundos com alocação mínima de 15% em crédito e ao menos 1% em debêntures apresentaram captação líquida próxima de R$ 8 bilhões em agosto, resultado significativamente superior ao observado no mês anterior. O volume reforça a percepção de que os investidores seguem direcionando recursos para estratégias de crédito, impulsionados pelo elevado nível de carrego proporcionado pelos ativos indexados ao CDI e pela busca por alternativas de investimento com perfil de risco-retorno atrativo.</w:t>
      </w:r>
    </w:p>
    <w:p w14:paraId="431DECD1" w14:textId="77777777" w:rsidR="00AD74D3" w:rsidRPr="002B294A" w:rsidRDefault="00AD74D3" w:rsidP="00AD74D3">
      <w:pPr>
        <w:spacing w:line="278" w:lineRule="auto"/>
        <w:jc w:val="both"/>
      </w:pPr>
      <w:r w:rsidRPr="002B294A">
        <w:t>Nesse contexto, a combinação entre fluxos positivos para a indústria, vencimentos e amortizações recorrentes das carteiras, além da limitada oferta de novos ativos corporativos, continuou sustentando a demanda por crédito privado. Ainda que agosto tenha apresentado uma leve reabertura dos spreads médios de mercado, a dinâmica técnica permanece favorável e os prêmios seguem negociando em patamares historicamente reduzidos.</w:t>
      </w:r>
    </w:p>
    <w:p w14:paraId="6E12F0C1" w14:textId="77777777" w:rsidR="00AD74D3" w:rsidRPr="002B294A" w:rsidRDefault="00AD74D3" w:rsidP="00AD74D3">
      <w:pPr>
        <w:spacing w:line="278" w:lineRule="auto"/>
        <w:jc w:val="both"/>
      </w:pPr>
      <w:r w:rsidRPr="002B294A">
        <w:t xml:space="preserve">Por fim, sob a ótica da gestão, seguimos acompanhando de forma criteriosa a evolução dos fundamentos dos emissores presentes nas carteiras, com atenção especial aos indicadores operacionais, à geração de caixa e à manutenção de estruturas de capital adequadas. Em um ambiente em que os spreads permanecem comprimidos em termos históricos, mantemos disciplina na alocação dos recursos, priorizando operações que apresentem adequada relação </w:t>
      </w:r>
      <w:r w:rsidRPr="002B294A">
        <w:lastRenderedPageBreak/>
        <w:t>entre risco e retorno e preservando flexibilidade para captura de oportunidades que possam surgir em eventuais períodos de maior volatilidade do mercado.</w:t>
      </w:r>
    </w:p>
    <w:p w14:paraId="2FBF9140" w14:textId="15D306A2" w:rsidR="00D35530" w:rsidRPr="003F24C4" w:rsidRDefault="00D35530" w:rsidP="00D35530">
      <w:pPr>
        <w:jc w:val="both"/>
        <w:rPr>
          <w:rFonts w:ascii="Arial" w:hAnsi="Arial" w:cs="Arial"/>
          <w:sz w:val="20"/>
          <w:szCs w:val="20"/>
        </w:rPr>
      </w:pPr>
      <w:r w:rsidRPr="003F24C4">
        <w:rPr>
          <w:rFonts w:ascii="Arial" w:hAnsi="Arial" w:cs="Arial"/>
          <w:sz w:val="20"/>
          <w:szCs w:val="20"/>
        </w:rPr>
        <w:t xml:space="preserve">Nesse cenário, o Tivio </w:t>
      </w:r>
      <w:r>
        <w:rPr>
          <w:rFonts w:ascii="Arial" w:hAnsi="Arial" w:cs="Arial"/>
          <w:sz w:val="20"/>
          <w:szCs w:val="20"/>
        </w:rPr>
        <w:t>RF CP</w:t>
      </w:r>
      <w:r w:rsidRPr="003F24C4">
        <w:rPr>
          <w:rFonts w:ascii="Arial" w:hAnsi="Arial" w:cs="Arial"/>
          <w:sz w:val="20"/>
          <w:szCs w:val="20"/>
        </w:rPr>
        <w:t xml:space="preserve"> apresentou rentabilidade de </w:t>
      </w:r>
      <w:r w:rsidR="000A3455">
        <w:rPr>
          <w:rFonts w:ascii="Arial" w:hAnsi="Arial" w:cs="Arial"/>
          <w:sz w:val="20"/>
          <w:szCs w:val="20"/>
        </w:rPr>
        <w:t>1</w:t>
      </w:r>
      <w:r>
        <w:rPr>
          <w:rFonts w:ascii="Arial" w:hAnsi="Arial" w:cs="Arial"/>
          <w:sz w:val="20"/>
          <w:szCs w:val="20"/>
        </w:rPr>
        <w:t>,</w:t>
      </w:r>
      <w:r w:rsidR="000A3455">
        <w:rPr>
          <w:rFonts w:ascii="Arial" w:hAnsi="Arial" w:cs="Arial"/>
          <w:sz w:val="20"/>
          <w:szCs w:val="20"/>
        </w:rPr>
        <w:t>12</w:t>
      </w:r>
      <w:r w:rsidRPr="003F24C4">
        <w:rPr>
          <w:rFonts w:ascii="Arial" w:hAnsi="Arial" w:cs="Arial"/>
          <w:sz w:val="20"/>
          <w:szCs w:val="20"/>
        </w:rPr>
        <w:t>% no mês (</w:t>
      </w:r>
      <w:r w:rsidR="000A3455">
        <w:rPr>
          <w:rFonts w:ascii="Arial" w:hAnsi="Arial" w:cs="Arial"/>
          <w:sz w:val="20"/>
          <w:szCs w:val="20"/>
        </w:rPr>
        <w:t>102</w:t>
      </w:r>
      <w:r w:rsidRPr="003F24C4">
        <w:rPr>
          <w:rFonts w:ascii="Arial" w:hAnsi="Arial" w:cs="Arial"/>
          <w:sz w:val="20"/>
          <w:szCs w:val="20"/>
        </w:rPr>
        <w:t xml:space="preserve">% do CDI), acumulando </w:t>
      </w:r>
      <w:r w:rsidR="000A3455">
        <w:rPr>
          <w:rFonts w:ascii="Arial" w:hAnsi="Arial" w:cs="Arial"/>
          <w:sz w:val="20"/>
          <w:szCs w:val="20"/>
        </w:rPr>
        <w:t>8</w:t>
      </w:r>
      <w:r>
        <w:rPr>
          <w:rFonts w:ascii="Arial" w:hAnsi="Arial" w:cs="Arial"/>
          <w:sz w:val="20"/>
          <w:szCs w:val="20"/>
        </w:rPr>
        <w:t>,</w:t>
      </w:r>
      <w:r w:rsidR="000A3455">
        <w:rPr>
          <w:rFonts w:ascii="Arial" w:hAnsi="Arial" w:cs="Arial"/>
          <w:sz w:val="20"/>
          <w:szCs w:val="20"/>
        </w:rPr>
        <w:t>59</w:t>
      </w:r>
      <w:r w:rsidRPr="003F24C4">
        <w:rPr>
          <w:rFonts w:ascii="Arial" w:hAnsi="Arial" w:cs="Arial"/>
          <w:sz w:val="20"/>
          <w:szCs w:val="20"/>
        </w:rPr>
        <w:t>% (</w:t>
      </w:r>
      <w:r w:rsidR="000A3455">
        <w:rPr>
          <w:rFonts w:ascii="Arial" w:hAnsi="Arial" w:cs="Arial"/>
          <w:sz w:val="20"/>
          <w:szCs w:val="20"/>
        </w:rPr>
        <w:t>92</w:t>
      </w:r>
      <w:r w:rsidRPr="003F24C4">
        <w:rPr>
          <w:rFonts w:ascii="Arial" w:hAnsi="Arial" w:cs="Arial"/>
          <w:sz w:val="20"/>
          <w:szCs w:val="20"/>
        </w:rPr>
        <w:t xml:space="preserve">% do CDI) </w:t>
      </w:r>
      <w:r>
        <w:rPr>
          <w:rFonts w:ascii="Arial" w:hAnsi="Arial" w:cs="Arial"/>
          <w:sz w:val="20"/>
          <w:szCs w:val="20"/>
        </w:rPr>
        <w:t>no ano</w:t>
      </w:r>
      <w:r w:rsidRPr="003F24C4">
        <w:rPr>
          <w:rFonts w:ascii="Arial" w:hAnsi="Arial" w:cs="Arial"/>
          <w:sz w:val="20"/>
          <w:szCs w:val="20"/>
        </w:rPr>
        <w:t>.</w:t>
      </w:r>
      <w:r>
        <w:rPr>
          <w:rFonts w:ascii="Arial" w:hAnsi="Arial" w:cs="Arial"/>
          <w:sz w:val="20"/>
          <w:szCs w:val="20"/>
        </w:rPr>
        <w:t xml:space="preserve"> </w:t>
      </w:r>
      <w:r w:rsidRPr="003F24C4">
        <w:rPr>
          <w:rFonts w:ascii="Arial" w:hAnsi="Arial" w:cs="Arial"/>
          <w:sz w:val="20"/>
          <w:szCs w:val="20"/>
        </w:rPr>
        <w:t>N</w:t>
      </w:r>
      <w:r>
        <w:rPr>
          <w:rFonts w:ascii="Arial" w:hAnsi="Arial" w:cs="Arial"/>
          <w:sz w:val="20"/>
          <w:szCs w:val="20"/>
        </w:rPr>
        <w:t>a</w:t>
      </w:r>
      <w:r w:rsidRPr="003F24C4">
        <w:rPr>
          <w:rFonts w:ascii="Arial" w:hAnsi="Arial" w:cs="Arial"/>
          <w:sz w:val="20"/>
          <w:szCs w:val="20"/>
        </w:rPr>
        <w:t xml:space="preserve"> parcela de </w:t>
      </w:r>
      <w:r>
        <w:rPr>
          <w:rFonts w:ascii="Arial" w:hAnsi="Arial" w:cs="Arial"/>
          <w:sz w:val="20"/>
          <w:szCs w:val="20"/>
        </w:rPr>
        <w:t>corporativos,</w:t>
      </w:r>
      <w:r w:rsidRPr="003F24C4">
        <w:rPr>
          <w:rFonts w:ascii="Arial" w:hAnsi="Arial" w:cs="Arial"/>
          <w:sz w:val="20"/>
          <w:szCs w:val="20"/>
        </w:rPr>
        <w:t xml:space="preserve"> </w:t>
      </w:r>
      <w:r>
        <w:rPr>
          <w:rFonts w:ascii="Arial" w:hAnsi="Arial" w:cs="Arial"/>
          <w:sz w:val="20"/>
          <w:szCs w:val="20"/>
        </w:rPr>
        <w:t xml:space="preserve">os maiores atribuidores de </w:t>
      </w:r>
      <w:r w:rsidRPr="003F24C4">
        <w:rPr>
          <w:rFonts w:ascii="Arial" w:hAnsi="Arial" w:cs="Arial"/>
          <w:sz w:val="20"/>
          <w:szCs w:val="20"/>
        </w:rPr>
        <w:t>resultado</w:t>
      </w:r>
      <w:r>
        <w:rPr>
          <w:rFonts w:ascii="Arial" w:hAnsi="Arial" w:cs="Arial"/>
          <w:sz w:val="20"/>
          <w:szCs w:val="20"/>
        </w:rPr>
        <w:t xml:space="preserve"> foram </w:t>
      </w:r>
      <w:r w:rsidRPr="003F24C4">
        <w:rPr>
          <w:rFonts w:ascii="Arial" w:hAnsi="Arial" w:cs="Arial"/>
          <w:sz w:val="20"/>
          <w:szCs w:val="20"/>
        </w:rPr>
        <w:t xml:space="preserve">para </w:t>
      </w:r>
      <w:r w:rsidR="00AD5ED2">
        <w:rPr>
          <w:rFonts w:ascii="Arial" w:hAnsi="Arial" w:cs="Arial"/>
          <w:sz w:val="20"/>
          <w:szCs w:val="20"/>
        </w:rPr>
        <w:t>Randon</w:t>
      </w:r>
      <w:r>
        <w:rPr>
          <w:rFonts w:ascii="Arial" w:hAnsi="Arial" w:cs="Arial"/>
          <w:sz w:val="20"/>
          <w:szCs w:val="20"/>
        </w:rPr>
        <w:t xml:space="preserve"> e </w:t>
      </w:r>
      <w:r w:rsidR="00A52E2C">
        <w:rPr>
          <w:rFonts w:ascii="Arial" w:hAnsi="Arial" w:cs="Arial"/>
          <w:sz w:val="20"/>
          <w:szCs w:val="20"/>
        </w:rPr>
        <w:t>Tupy</w:t>
      </w:r>
      <w:r>
        <w:rPr>
          <w:rFonts w:ascii="Arial" w:hAnsi="Arial" w:cs="Arial"/>
          <w:sz w:val="20"/>
          <w:szCs w:val="20"/>
        </w:rPr>
        <w:t xml:space="preserve">, enquanto </w:t>
      </w:r>
      <w:r w:rsidR="00AD5ED2">
        <w:rPr>
          <w:rFonts w:ascii="Arial" w:hAnsi="Arial" w:cs="Arial"/>
          <w:sz w:val="20"/>
          <w:szCs w:val="20"/>
        </w:rPr>
        <w:t>Hapvida</w:t>
      </w:r>
      <w:r>
        <w:rPr>
          <w:rFonts w:ascii="Arial" w:hAnsi="Arial" w:cs="Arial"/>
          <w:sz w:val="20"/>
          <w:szCs w:val="20"/>
        </w:rPr>
        <w:t xml:space="preserve"> foi o maior detrator</w:t>
      </w:r>
      <w:r w:rsidRPr="003F24C4">
        <w:rPr>
          <w:rFonts w:ascii="Arial" w:hAnsi="Arial" w:cs="Arial"/>
          <w:sz w:val="20"/>
          <w:szCs w:val="20"/>
        </w:rPr>
        <w:t>.</w:t>
      </w:r>
    </w:p>
    <w:p w14:paraId="3A293475" w14:textId="77777777" w:rsidR="006147D5" w:rsidRDefault="006147D5" w:rsidP="00841470">
      <w:pPr>
        <w:jc w:val="both"/>
        <w:rPr>
          <w:rFonts w:ascii="Arial" w:hAnsi="Arial" w:cs="Arial"/>
          <w:sz w:val="20"/>
          <w:szCs w:val="20"/>
        </w:rPr>
      </w:pPr>
    </w:p>
    <w:p w14:paraId="638C1A97" w14:textId="77777777" w:rsidR="003F24C4" w:rsidRPr="0091683C" w:rsidRDefault="003F24C4" w:rsidP="003F24C4">
      <w:pPr>
        <w:shd w:val="clear" w:color="auto" w:fill="FFC000" w:themeFill="accent4"/>
        <w:jc w:val="both"/>
        <w:rPr>
          <w:rFonts w:ascii="Arial" w:hAnsi="Arial" w:cs="Arial"/>
          <w:b/>
          <w:bCs/>
          <w:sz w:val="20"/>
          <w:szCs w:val="20"/>
        </w:rPr>
      </w:pPr>
      <w:r w:rsidRPr="0091683C">
        <w:rPr>
          <w:rFonts w:ascii="Arial" w:hAnsi="Arial" w:cs="Arial"/>
          <w:b/>
          <w:bCs/>
          <w:sz w:val="20"/>
          <w:szCs w:val="20"/>
        </w:rPr>
        <w:t xml:space="preserve">Fundo Tivio BVP </w:t>
      </w:r>
    </w:p>
    <w:p w14:paraId="230B732B" w14:textId="77777777" w:rsidR="00AD74D3" w:rsidRPr="002B294A" w:rsidRDefault="00AD74D3" w:rsidP="00AD74D3">
      <w:pPr>
        <w:spacing w:line="278" w:lineRule="auto"/>
        <w:jc w:val="both"/>
      </w:pPr>
      <w:r w:rsidRPr="002B294A">
        <w:t>Em agosto, o mercado de crédito foi marcado por um ambiente de menor liquidez nas negociações do mercado secundário e por uma leve reabertura dos spreads de crédito. Após meses consecutivos de compressão dos prêmios de risco, observou-se um movimento mais cauteloso por parte dos investidores, com os spreads médios dos títulos corporativos indexados ao CDI avançando aproximadamente 0,03%, passando de CDI + 1,19% para CDI + 1,22% ao ano. Apesar desse ajuste, os níveis de prêmio permaneceram próximos das mínimas históricas observadas ao longo do ciclo recente.</w:t>
      </w:r>
    </w:p>
    <w:p w14:paraId="094DFC36" w14:textId="77777777" w:rsidR="00AD74D3" w:rsidRPr="002B294A" w:rsidRDefault="00AD74D3" w:rsidP="00AD74D3">
      <w:pPr>
        <w:spacing w:line="278" w:lineRule="auto"/>
        <w:jc w:val="both"/>
      </w:pPr>
      <w:r w:rsidRPr="002B294A">
        <w:t>No mercado secundário, a redução do volume negociado contribuiu para uma formação de preços mais seletiva, especialmente em ativos corporativos com menor liquidez. Ainda assim, o comportamento dos investidores permaneceu construtivo, sustentado por um ambiente técnico favorável e pela continuidade da elevada demanda por ativos de crédito.</w:t>
      </w:r>
    </w:p>
    <w:p w14:paraId="0FD150F4" w14:textId="77777777" w:rsidR="00AD74D3" w:rsidRPr="002B294A" w:rsidRDefault="00AD74D3" w:rsidP="00AD74D3">
      <w:pPr>
        <w:spacing w:line="278" w:lineRule="auto"/>
        <w:jc w:val="both"/>
      </w:pPr>
      <w:r w:rsidRPr="002B294A">
        <w:t>Já no mercado primário, as emissões bancárias seguiram registrando forte demanda por parte dos investidores. As ofertas de Letras Financeiras Seniores distribuídas ao longo do mês apresentaram níveis elevados de subscrição, com demanda que, em diversos casos, superou três vezes o volume ofertado. Esse forte apetite permitiu que as operações fossem precificadas com taxas inferiores aos limites inicialmente indicados pelos emissores, evidenciando a elevada disponibilidade de recursos para alocação na indústria de crédito. Por outro lado, o pipeline de emissões corporativas permaneceu limitado, restringindo a oferta de novos ativos em um momento de demanda ainda aquecida.</w:t>
      </w:r>
    </w:p>
    <w:p w14:paraId="6C1B4FFE" w14:textId="77777777" w:rsidR="00AD74D3" w:rsidRPr="002B294A" w:rsidRDefault="00AD74D3" w:rsidP="00AD74D3">
      <w:pPr>
        <w:spacing w:line="278" w:lineRule="auto"/>
        <w:jc w:val="both"/>
      </w:pPr>
      <w:r w:rsidRPr="002B294A">
        <w:t>Em relação aos fluxos, os fundos com alocação mínima de 15% em crédito e ao menos 1% em debêntures apresentaram captação líquida próxima de R$ 8 bilhões em agosto, resultado significativamente superior ao observado no mês anterior. O volume reforça a percepção de que os investidores seguem direcionando recursos para estratégias de crédito, impulsionados pelo elevado nível de carrego proporcionado pelos ativos indexados ao CDI e pela busca por alternativas de investimento com perfil de risco-retorno atrativo.</w:t>
      </w:r>
    </w:p>
    <w:p w14:paraId="6ED8BBAE" w14:textId="77777777" w:rsidR="00AD74D3" w:rsidRPr="002B294A" w:rsidRDefault="00AD74D3" w:rsidP="00AD74D3">
      <w:pPr>
        <w:spacing w:line="278" w:lineRule="auto"/>
        <w:jc w:val="both"/>
      </w:pPr>
      <w:r w:rsidRPr="002B294A">
        <w:t>Nesse contexto, a combinação entre fluxos positivos para a indústria, vencimentos e amortizações recorrentes das carteiras, além da limitada oferta de novos ativos corporativos, continuou sustentando a demanda por crédito privado. Ainda que agosto tenha apresentado uma leve reabertura dos spreads médios de mercado, a dinâmica técnica permanece favorável e os prêmios seguem negociando em patamares historicamente reduzidos.</w:t>
      </w:r>
    </w:p>
    <w:p w14:paraId="0BA4FE85" w14:textId="77777777" w:rsidR="00AD74D3" w:rsidRPr="002B294A" w:rsidRDefault="00AD74D3" w:rsidP="00AD74D3">
      <w:pPr>
        <w:spacing w:line="278" w:lineRule="auto"/>
        <w:jc w:val="both"/>
      </w:pPr>
      <w:r w:rsidRPr="002B294A">
        <w:t xml:space="preserve">Por fim, sob a ótica da gestão, seguimos acompanhando de forma criteriosa a evolução dos fundamentos dos emissores presentes nas carteiras, com atenção especial aos indicadores operacionais, à geração de caixa e à manutenção de estruturas de capital adequadas. Em um ambiente em que os spreads permanecem comprimidos em termos históricos, mantemos </w:t>
      </w:r>
      <w:r w:rsidRPr="002B294A">
        <w:lastRenderedPageBreak/>
        <w:t>disciplina na alocação dos recursos, priorizando operações que apresentem adequada relação entre risco e retorno e preservando flexibilidade para captura de oportunidades que possam surgir em eventuais períodos de maior volatilidade do mercado.</w:t>
      </w:r>
    </w:p>
    <w:p w14:paraId="48D94D16" w14:textId="5779643F" w:rsidR="001B279A" w:rsidRPr="00A37CE6" w:rsidRDefault="003F24C4" w:rsidP="00841470">
      <w:pPr>
        <w:jc w:val="both"/>
        <w:rPr>
          <w:rFonts w:ascii="Arial" w:hAnsi="Arial" w:cs="Arial"/>
          <w:sz w:val="20"/>
          <w:szCs w:val="20"/>
        </w:rPr>
      </w:pPr>
      <w:r w:rsidRPr="003F24C4">
        <w:rPr>
          <w:rFonts w:ascii="Arial" w:hAnsi="Arial" w:cs="Arial"/>
          <w:sz w:val="20"/>
          <w:szCs w:val="20"/>
        </w:rPr>
        <w:t xml:space="preserve">Nesse cenário, o Tivio </w:t>
      </w:r>
      <w:r>
        <w:rPr>
          <w:rFonts w:ascii="Arial" w:hAnsi="Arial" w:cs="Arial"/>
          <w:sz w:val="20"/>
          <w:szCs w:val="20"/>
        </w:rPr>
        <w:t>BVP</w:t>
      </w:r>
      <w:r w:rsidRPr="003F24C4">
        <w:rPr>
          <w:rFonts w:ascii="Arial" w:hAnsi="Arial" w:cs="Arial"/>
          <w:sz w:val="20"/>
          <w:szCs w:val="20"/>
        </w:rPr>
        <w:t xml:space="preserve"> apresentou rentabilidade de </w:t>
      </w:r>
      <w:r w:rsidR="000A3455">
        <w:rPr>
          <w:rFonts w:ascii="Arial" w:hAnsi="Arial" w:cs="Arial"/>
          <w:sz w:val="20"/>
          <w:szCs w:val="20"/>
        </w:rPr>
        <w:t>1</w:t>
      </w:r>
      <w:r w:rsidR="001077C3">
        <w:rPr>
          <w:rFonts w:ascii="Arial" w:hAnsi="Arial" w:cs="Arial"/>
          <w:sz w:val="20"/>
          <w:szCs w:val="20"/>
        </w:rPr>
        <w:t>,</w:t>
      </w:r>
      <w:r w:rsidR="000A3455">
        <w:rPr>
          <w:rFonts w:ascii="Arial" w:hAnsi="Arial" w:cs="Arial"/>
          <w:sz w:val="20"/>
          <w:szCs w:val="20"/>
        </w:rPr>
        <w:t>10</w:t>
      </w:r>
      <w:r w:rsidRPr="003F24C4">
        <w:rPr>
          <w:rFonts w:ascii="Arial" w:hAnsi="Arial" w:cs="Arial"/>
          <w:sz w:val="20"/>
          <w:szCs w:val="20"/>
        </w:rPr>
        <w:t>% no mês (</w:t>
      </w:r>
      <w:r w:rsidR="000A3455">
        <w:rPr>
          <w:rFonts w:ascii="Arial" w:hAnsi="Arial" w:cs="Arial"/>
          <w:sz w:val="20"/>
          <w:szCs w:val="20"/>
        </w:rPr>
        <w:t>100</w:t>
      </w:r>
      <w:r w:rsidRPr="003F24C4">
        <w:rPr>
          <w:rFonts w:ascii="Arial" w:hAnsi="Arial" w:cs="Arial"/>
          <w:sz w:val="20"/>
          <w:szCs w:val="20"/>
        </w:rPr>
        <w:t xml:space="preserve">% do CDI), acumulando </w:t>
      </w:r>
      <w:r w:rsidR="000A3455">
        <w:rPr>
          <w:rFonts w:ascii="Arial" w:hAnsi="Arial" w:cs="Arial"/>
          <w:sz w:val="20"/>
          <w:szCs w:val="20"/>
        </w:rPr>
        <w:t>9</w:t>
      </w:r>
      <w:r w:rsidR="001077C3">
        <w:rPr>
          <w:rFonts w:ascii="Arial" w:hAnsi="Arial" w:cs="Arial"/>
          <w:sz w:val="20"/>
          <w:szCs w:val="20"/>
        </w:rPr>
        <w:t>,</w:t>
      </w:r>
      <w:r w:rsidR="000A3455">
        <w:rPr>
          <w:rFonts w:ascii="Arial" w:hAnsi="Arial" w:cs="Arial"/>
          <w:sz w:val="20"/>
          <w:szCs w:val="20"/>
        </w:rPr>
        <w:t>39</w:t>
      </w:r>
      <w:r w:rsidRPr="003F24C4">
        <w:rPr>
          <w:rFonts w:ascii="Arial" w:hAnsi="Arial" w:cs="Arial"/>
          <w:sz w:val="20"/>
          <w:szCs w:val="20"/>
        </w:rPr>
        <w:t>% (</w:t>
      </w:r>
      <w:r w:rsidR="000A3455">
        <w:rPr>
          <w:rFonts w:ascii="Arial" w:hAnsi="Arial" w:cs="Arial"/>
          <w:sz w:val="20"/>
          <w:szCs w:val="20"/>
        </w:rPr>
        <w:t>101</w:t>
      </w:r>
      <w:r w:rsidRPr="003F24C4">
        <w:rPr>
          <w:rFonts w:ascii="Arial" w:hAnsi="Arial" w:cs="Arial"/>
          <w:sz w:val="20"/>
          <w:szCs w:val="20"/>
        </w:rPr>
        <w:t xml:space="preserve">% do CDI) </w:t>
      </w:r>
      <w:r w:rsidR="001077C3">
        <w:rPr>
          <w:rFonts w:ascii="Arial" w:hAnsi="Arial" w:cs="Arial"/>
          <w:sz w:val="20"/>
          <w:szCs w:val="20"/>
        </w:rPr>
        <w:t>no ano</w:t>
      </w:r>
      <w:r w:rsidRPr="003F24C4">
        <w:rPr>
          <w:rFonts w:ascii="Arial" w:hAnsi="Arial" w:cs="Arial"/>
          <w:sz w:val="20"/>
          <w:szCs w:val="20"/>
        </w:rPr>
        <w:t xml:space="preserve">. </w:t>
      </w:r>
      <w:r w:rsidR="00D35530">
        <w:rPr>
          <w:rFonts w:ascii="Arial" w:hAnsi="Arial" w:cs="Arial"/>
          <w:sz w:val="20"/>
          <w:szCs w:val="20"/>
        </w:rPr>
        <w:t>Na</w:t>
      </w:r>
      <w:r w:rsidR="00D35530" w:rsidRPr="003F24C4">
        <w:rPr>
          <w:rFonts w:ascii="Arial" w:hAnsi="Arial" w:cs="Arial"/>
          <w:sz w:val="20"/>
          <w:szCs w:val="20"/>
        </w:rPr>
        <w:t xml:space="preserve"> parcela de </w:t>
      </w:r>
      <w:r w:rsidR="00D35530">
        <w:rPr>
          <w:rFonts w:ascii="Arial" w:hAnsi="Arial" w:cs="Arial"/>
          <w:sz w:val="20"/>
          <w:szCs w:val="20"/>
        </w:rPr>
        <w:t>corporativos,</w:t>
      </w:r>
      <w:r w:rsidR="00D35530" w:rsidRPr="003F24C4">
        <w:rPr>
          <w:rFonts w:ascii="Arial" w:hAnsi="Arial" w:cs="Arial"/>
          <w:sz w:val="20"/>
          <w:szCs w:val="20"/>
        </w:rPr>
        <w:t xml:space="preserve"> </w:t>
      </w:r>
      <w:r w:rsidR="00D35530">
        <w:rPr>
          <w:rFonts w:ascii="Arial" w:hAnsi="Arial" w:cs="Arial"/>
          <w:sz w:val="20"/>
          <w:szCs w:val="20"/>
        </w:rPr>
        <w:t xml:space="preserve">os maiores atribuidores de </w:t>
      </w:r>
      <w:r w:rsidR="00D35530" w:rsidRPr="003F24C4">
        <w:rPr>
          <w:rFonts w:ascii="Arial" w:hAnsi="Arial" w:cs="Arial"/>
          <w:sz w:val="20"/>
          <w:szCs w:val="20"/>
        </w:rPr>
        <w:t>resultado</w:t>
      </w:r>
      <w:r w:rsidR="00D35530">
        <w:rPr>
          <w:rFonts w:ascii="Arial" w:hAnsi="Arial" w:cs="Arial"/>
          <w:sz w:val="20"/>
          <w:szCs w:val="20"/>
        </w:rPr>
        <w:t xml:space="preserve"> foram </w:t>
      </w:r>
      <w:r w:rsidR="00D35530" w:rsidRPr="003F24C4">
        <w:rPr>
          <w:rFonts w:ascii="Arial" w:hAnsi="Arial" w:cs="Arial"/>
          <w:sz w:val="20"/>
          <w:szCs w:val="20"/>
        </w:rPr>
        <w:t xml:space="preserve">para </w:t>
      </w:r>
      <w:r w:rsidR="00AD5ED2">
        <w:rPr>
          <w:rFonts w:ascii="Arial" w:hAnsi="Arial" w:cs="Arial"/>
          <w:sz w:val="20"/>
          <w:szCs w:val="20"/>
        </w:rPr>
        <w:t>BRK</w:t>
      </w:r>
      <w:r w:rsidR="00F6051C">
        <w:rPr>
          <w:rFonts w:ascii="Arial" w:hAnsi="Arial" w:cs="Arial"/>
          <w:sz w:val="20"/>
          <w:szCs w:val="20"/>
        </w:rPr>
        <w:t xml:space="preserve"> e </w:t>
      </w:r>
      <w:r w:rsidR="00AD5ED2">
        <w:rPr>
          <w:rFonts w:ascii="Arial" w:hAnsi="Arial" w:cs="Arial"/>
          <w:sz w:val="20"/>
          <w:szCs w:val="20"/>
        </w:rPr>
        <w:t>Randon</w:t>
      </w:r>
      <w:r w:rsidR="00D35530">
        <w:rPr>
          <w:rFonts w:ascii="Arial" w:hAnsi="Arial" w:cs="Arial"/>
          <w:sz w:val="20"/>
          <w:szCs w:val="20"/>
        </w:rPr>
        <w:t xml:space="preserve">, enquanto </w:t>
      </w:r>
      <w:r w:rsidR="00AD5ED2">
        <w:rPr>
          <w:rFonts w:ascii="Arial" w:hAnsi="Arial" w:cs="Arial"/>
          <w:sz w:val="20"/>
          <w:szCs w:val="20"/>
        </w:rPr>
        <w:t>Hapvida</w:t>
      </w:r>
      <w:r w:rsidR="00D35530">
        <w:rPr>
          <w:rFonts w:ascii="Arial" w:hAnsi="Arial" w:cs="Arial"/>
          <w:sz w:val="20"/>
          <w:szCs w:val="20"/>
        </w:rPr>
        <w:t xml:space="preserve"> foi o maior detrator</w:t>
      </w:r>
      <w:r w:rsidR="00D35530" w:rsidRPr="003F24C4">
        <w:rPr>
          <w:rFonts w:ascii="Arial" w:hAnsi="Arial" w:cs="Arial"/>
          <w:sz w:val="20"/>
          <w:szCs w:val="20"/>
        </w:rPr>
        <w:t>.</w:t>
      </w:r>
    </w:p>
    <w:p w14:paraId="5C49CB81" w14:textId="554594D5" w:rsidR="003F24C4" w:rsidRPr="003F24C4" w:rsidRDefault="003F24C4" w:rsidP="003F24C4">
      <w:pPr>
        <w:shd w:val="clear" w:color="auto" w:fill="FFC000" w:themeFill="accent4"/>
        <w:jc w:val="both"/>
        <w:rPr>
          <w:rFonts w:ascii="Arial" w:hAnsi="Arial" w:cs="Arial"/>
          <w:b/>
          <w:bCs/>
          <w:sz w:val="20"/>
          <w:szCs w:val="20"/>
        </w:rPr>
      </w:pPr>
      <w:r w:rsidRPr="003F24C4">
        <w:rPr>
          <w:rFonts w:ascii="Arial" w:hAnsi="Arial" w:cs="Arial"/>
          <w:b/>
          <w:bCs/>
          <w:sz w:val="20"/>
          <w:szCs w:val="20"/>
        </w:rPr>
        <w:t xml:space="preserve">Tivio Institucional 15 </w:t>
      </w:r>
    </w:p>
    <w:p w14:paraId="14654A6A" w14:textId="77777777" w:rsidR="003F24C4" w:rsidRDefault="003F24C4" w:rsidP="00A4288D">
      <w:pPr>
        <w:jc w:val="both"/>
        <w:rPr>
          <w:rFonts w:ascii="Arial" w:hAnsi="Arial" w:cs="Arial"/>
          <w:sz w:val="20"/>
          <w:szCs w:val="20"/>
        </w:rPr>
      </w:pPr>
    </w:p>
    <w:p w14:paraId="19959981" w14:textId="77777777" w:rsidR="00AD74D3" w:rsidRPr="002B294A" w:rsidRDefault="00AD74D3" w:rsidP="00AD74D3">
      <w:pPr>
        <w:spacing w:line="278" w:lineRule="auto"/>
        <w:jc w:val="both"/>
      </w:pPr>
      <w:r w:rsidRPr="002B294A">
        <w:t>Em agosto, o mercado de crédito foi marcado por um ambiente de menor liquidez nas negociações do mercado secundário e por uma leve reabertura dos spreads de crédito. Após meses consecutivos de compressão dos prêmios de risco, observou-se um movimento mais cauteloso por parte dos investidores, com os spreads médios dos títulos corporativos indexados ao CDI avançando aproximadamente 0,03%, passando de CDI + 1,19% para CDI + 1,22% ao ano. Apesar desse ajuste, os níveis de prêmio permaneceram próximos das mínimas históricas observadas ao longo do ciclo recente.</w:t>
      </w:r>
    </w:p>
    <w:p w14:paraId="1B2EBBC3" w14:textId="77777777" w:rsidR="00AD74D3" w:rsidRPr="002B294A" w:rsidRDefault="00AD74D3" w:rsidP="00AD74D3">
      <w:pPr>
        <w:spacing w:line="278" w:lineRule="auto"/>
        <w:jc w:val="both"/>
      </w:pPr>
      <w:r w:rsidRPr="002B294A">
        <w:t>No mercado secundário, a redução do volume negociado contribuiu para uma formação de preços mais seletiva, especialmente em ativos corporativos com menor liquidez. Ainda assim, o comportamento dos investidores permaneceu construtivo, sustentado por um ambiente técnico favorável e pela continuidade da elevada demanda por ativos de crédito.</w:t>
      </w:r>
    </w:p>
    <w:p w14:paraId="6AE5EFC5" w14:textId="77777777" w:rsidR="00AD74D3" w:rsidRPr="002B294A" w:rsidRDefault="00AD74D3" w:rsidP="00AD74D3">
      <w:pPr>
        <w:spacing w:line="278" w:lineRule="auto"/>
        <w:jc w:val="both"/>
      </w:pPr>
      <w:r w:rsidRPr="002B294A">
        <w:t>Já no mercado primário, as emissões bancárias seguiram registrando forte demanda por parte dos investidores. As ofertas de Letras Financeiras Seniores distribuídas ao longo do mês apresentaram níveis elevados de subscrição, com demanda que, em diversos casos, superou três vezes o volume ofertado. Esse forte apetite permitiu que as operações fossem precificadas com taxas inferiores aos limites inicialmente indicados pelos emissores, evidenciando a elevada disponibilidade de recursos para alocação na indústria de crédito. Por outro lado, o pipeline de emissões corporativas permaneceu limitado, restringindo a oferta de novos ativos em um momento de demanda ainda aquecida.</w:t>
      </w:r>
    </w:p>
    <w:p w14:paraId="122C40CB" w14:textId="77777777" w:rsidR="00AD74D3" w:rsidRPr="002B294A" w:rsidRDefault="00AD74D3" w:rsidP="00AD74D3">
      <w:pPr>
        <w:spacing w:line="278" w:lineRule="auto"/>
        <w:jc w:val="both"/>
      </w:pPr>
      <w:r w:rsidRPr="002B294A">
        <w:t>Em relação aos fluxos, os fundos com alocação mínima de 15% em crédito e ao menos 1% em debêntures apresentaram captação líquida próxima de R$ 8 bilhões em agosto, resultado significativamente superior ao observado no mês anterior. O volume reforça a percepção de que os investidores seguem direcionando recursos para estratégias de crédito, impulsionados pelo elevado nível de carrego proporcionado pelos ativos indexados ao CDI e pela busca por alternativas de investimento com perfil de risco-retorno atrativo.</w:t>
      </w:r>
    </w:p>
    <w:p w14:paraId="46BE78B3" w14:textId="77777777" w:rsidR="00AD74D3" w:rsidRPr="002B294A" w:rsidRDefault="00AD74D3" w:rsidP="00AD74D3">
      <w:pPr>
        <w:spacing w:line="278" w:lineRule="auto"/>
        <w:jc w:val="both"/>
      </w:pPr>
      <w:r w:rsidRPr="002B294A">
        <w:t>Nesse contexto, a combinação entre fluxos positivos para a indústria, vencimentos e amortizações recorrentes das carteiras, além da limitada oferta de novos ativos corporativos, continuou sustentando a demanda por crédito privado. Ainda que agosto tenha apresentado uma leve reabertura dos spreads médios de mercado, a dinâmica técnica permanece favorável e os prêmios seguem negociando em patamares historicamente reduzidos.</w:t>
      </w:r>
    </w:p>
    <w:p w14:paraId="14293369" w14:textId="77777777" w:rsidR="00AD74D3" w:rsidRPr="002B294A" w:rsidRDefault="00AD74D3" w:rsidP="00AD74D3">
      <w:pPr>
        <w:spacing w:line="278" w:lineRule="auto"/>
        <w:jc w:val="both"/>
      </w:pPr>
      <w:r w:rsidRPr="002B294A">
        <w:t xml:space="preserve">Por fim, sob a ótica da gestão, seguimos acompanhando de forma criteriosa a evolução dos fundamentos dos emissores presentes nas carteiras, com atenção especial aos indicadores operacionais, à geração de caixa e à manutenção de estruturas de capital adequadas. Em um </w:t>
      </w:r>
      <w:r w:rsidRPr="002B294A">
        <w:lastRenderedPageBreak/>
        <w:t>ambiente em que os spreads permanecem comprimidos em termos históricos, mantemos disciplina na alocação dos recursos, priorizando operações que apresentem adequada relação entre risco e retorno e preservando flexibilidade para captura de oportunidades que possam surgir em eventuais períodos de maior volatilidade do mercado.</w:t>
      </w:r>
    </w:p>
    <w:p w14:paraId="21AC9EA4" w14:textId="4F568EA5" w:rsidR="00075D0D" w:rsidRDefault="003F24C4" w:rsidP="00841470">
      <w:pPr>
        <w:jc w:val="both"/>
        <w:rPr>
          <w:rFonts w:ascii="Arial" w:hAnsi="Arial" w:cs="Arial"/>
          <w:sz w:val="20"/>
          <w:szCs w:val="20"/>
        </w:rPr>
      </w:pPr>
      <w:r w:rsidRPr="003F24C4">
        <w:rPr>
          <w:rFonts w:ascii="Arial" w:hAnsi="Arial" w:cs="Arial"/>
          <w:sz w:val="20"/>
          <w:szCs w:val="20"/>
        </w:rPr>
        <w:t xml:space="preserve">Nesse cenário, o </w:t>
      </w:r>
      <w:r w:rsidRPr="00471778">
        <w:rPr>
          <w:rFonts w:ascii="Arial" w:hAnsi="Arial" w:cs="Arial"/>
          <w:sz w:val="20"/>
          <w:szCs w:val="20"/>
        </w:rPr>
        <w:t>Tivio Institucional 15</w:t>
      </w:r>
      <w:r w:rsidRPr="003F24C4">
        <w:rPr>
          <w:rFonts w:ascii="Arial" w:hAnsi="Arial" w:cs="Arial"/>
          <w:b/>
          <w:bCs/>
          <w:sz w:val="20"/>
          <w:szCs w:val="20"/>
        </w:rPr>
        <w:t xml:space="preserve"> </w:t>
      </w:r>
      <w:r w:rsidRPr="003F24C4">
        <w:rPr>
          <w:rFonts w:ascii="Arial" w:hAnsi="Arial" w:cs="Arial"/>
          <w:sz w:val="20"/>
          <w:szCs w:val="20"/>
        </w:rPr>
        <w:t xml:space="preserve">apresentou rentabilidade de </w:t>
      </w:r>
      <w:r w:rsidR="000A3455">
        <w:rPr>
          <w:rFonts w:ascii="Arial" w:hAnsi="Arial" w:cs="Arial"/>
          <w:sz w:val="20"/>
          <w:szCs w:val="20"/>
        </w:rPr>
        <w:t>1</w:t>
      </w:r>
      <w:r w:rsidR="00AD5ED2">
        <w:rPr>
          <w:rFonts w:ascii="Arial" w:hAnsi="Arial" w:cs="Arial"/>
          <w:sz w:val="20"/>
          <w:szCs w:val="20"/>
        </w:rPr>
        <w:t>,</w:t>
      </w:r>
      <w:r w:rsidR="000A3455">
        <w:rPr>
          <w:rFonts w:ascii="Arial" w:hAnsi="Arial" w:cs="Arial"/>
          <w:sz w:val="20"/>
          <w:szCs w:val="20"/>
        </w:rPr>
        <w:t>11</w:t>
      </w:r>
      <w:r w:rsidRPr="003F24C4">
        <w:rPr>
          <w:rFonts w:ascii="Arial" w:hAnsi="Arial" w:cs="Arial"/>
          <w:sz w:val="20"/>
          <w:szCs w:val="20"/>
        </w:rPr>
        <w:t>% no mês (</w:t>
      </w:r>
      <w:r w:rsidR="000A3455">
        <w:rPr>
          <w:rFonts w:ascii="Arial" w:hAnsi="Arial" w:cs="Arial"/>
          <w:sz w:val="20"/>
          <w:szCs w:val="20"/>
        </w:rPr>
        <w:t>102</w:t>
      </w:r>
      <w:r w:rsidRPr="003F24C4">
        <w:rPr>
          <w:rFonts w:ascii="Arial" w:hAnsi="Arial" w:cs="Arial"/>
          <w:sz w:val="20"/>
          <w:szCs w:val="20"/>
        </w:rPr>
        <w:t xml:space="preserve">% do CDI), acumulando </w:t>
      </w:r>
      <w:r w:rsidR="000A3455">
        <w:rPr>
          <w:rFonts w:ascii="Arial" w:hAnsi="Arial" w:cs="Arial"/>
          <w:sz w:val="20"/>
          <w:szCs w:val="20"/>
        </w:rPr>
        <w:t>9</w:t>
      </w:r>
      <w:r w:rsidR="001077C3">
        <w:rPr>
          <w:rFonts w:ascii="Arial" w:hAnsi="Arial" w:cs="Arial"/>
          <w:sz w:val="20"/>
          <w:szCs w:val="20"/>
        </w:rPr>
        <w:t>,</w:t>
      </w:r>
      <w:r w:rsidR="000A3455">
        <w:rPr>
          <w:rFonts w:ascii="Arial" w:hAnsi="Arial" w:cs="Arial"/>
          <w:sz w:val="20"/>
          <w:szCs w:val="20"/>
        </w:rPr>
        <w:t>53</w:t>
      </w:r>
      <w:r w:rsidRPr="003F24C4">
        <w:rPr>
          <w:rFonts w:ascii="Arial" w:hAnsi="Arial" w:cs="Arial"/>
          <w:sz w:val="20"/>
          <w:szCs w:val="20"/>
        </w:rPr>
        <w:t>% (</w:t>
      </w:r>
      <w:r w:rsidR="000A3455">
        <w:rPr>
          <w:rFonts w:ascii="Arial" w:hAnsi="Arial" w:cs="Arial"/>
          <w:sz w:val="20"/>
          <w:szCs w:val="20"/>
        </w:rPr>
        <w:t>102</w:t>
      </w:r>
      <w:r w:rsidRPr="003F24C4">
        <w:rPr>
          <w:rFonts w:ascii="Arial" w:hAnsi="Arial" w:cs="Arial"/>
          <w:sz w:val="20"/>
          <w:szCs w:val="20"/>
        </w:rPr>
        <w:t xml:space="preserve">% do CDI) </w:t>
      </w:r>
      <w:r w:rsidR="001077C3">
        <w:rPr>
          <w:rFonts w:ascii="Arial" w:hAnsi="Arial" w:cs="Arial"/>
          <w:sz w:val="20"/>
          <w:szCs w:val="20"/>
        </w:rPr>
        <w:t>no ano</w:t>
      </w:r>
      <w:r w:rsidRPr="003F24C4">
        <w:rPr>
          <w:rFonts w:ascii="Arial" w:hAnsi="Arial" w:cs="Arial"/>
          <w:sz w:val="20"/>
          <w:szCs w:val="20"/>
        </w:rPr>
        <w:t xml:space="preserve">. </w:t>
      </w:r>
      <w:r w:rsidR="00D35530">
        <w:rPr>
          <w:rFonts w:ascii="Arial" w:hAnsi="Arial" w:cs="Arial"/>
          <w:sz w:val="20"/>
          <w:szCs w:val="20"/>
        </w:rPr>
        <w:t>Na</w:t>
      </w:r>
      <w:r w:rsidR="00D35530" w:rsidRPr="003F24C4">
        <w:rPr>
          <w:rFonts w:ascii="Arial" w:hAnsi="Arial" w:cs="Arial"/>
          <w:sz w:val="20"/>
          <w:szCs w:val="20"/>
        </w:rPr>
        <w:t xml:space="preserve"> parcela de </w:t>
      </w:r>
      <w:r w:rsidR="00D35530">
        <w:rPr>
          <w:rFonts w:ascii="Arial" w:hAnsi="Arial" w:cs="Arial"/>
          <w:sz w:val="20"/>
          <w:szCs w:val="20"/>
        </w:rPr>
        <w:t>corporativos,</w:t>
      </w:r>
      <w:r w:rsidR="00D35530" w:rsidRPr="003F24C4">
        <w:rPr>
          <w:rFonts w:ascii="Arial" w:hAnsi="Arial" w:cs="Arial"/>
          <w:sz w:val="20"/>
          <w:szCs w:val="20"/>
        </w:rPr>
        <w:t xml:space="preserve"> </w:t>
      </w:r>
      <w:r w:rsidR="00D35530">
        <w:rPr>
          <w:rFonts w:ascii="Arial" w:hAnsi="Arial" w:cs="Arial"/>
          <w:sz w:val="20"/>
          <w:szCs w:val="20"/>
        </w:rPr>
        <w:t xml:space="preserve">os maiores atribuidores de </w:t>
      </w:r>
      <w:r w:rsidR="00D35530" w:rsidRPr="003F24C4">
        <w:rPr>
          <w:rFonts w:ascii="Arial" w:hAnsi="Arial" w:cs="Arial"/>
          <w:sz w:val="20"/>
          <w:szCs w:val="20"/>
        </w:rPr>
        <w:t>resultado</w:t>
      </w:r>
      <w:r w:rsidR="00D35530">
        <w:rPr>
          <w:rFonts w:ascii="Arial" w:hAnsi="Arial" w:cs="Arial"/>
          <w:sz w:val="20"/>
          <w:szCs w:val="20"/>
        </w:rPr>
        <w:t xml:space="preserve"> foram </w:t>
      </w:r>
      <w:r w:rsidR="00D35530" w:rsidRPr="003F24C4">
        <w:rPr>
          <w:rFonts w:ascii="Arial" w:hAnsi="Arial" w:cs="Arial"/>
          <w:sz w:val="20"/>
          <w:szCs w:val="20"/>
        </w:rPr>
        <w:t xml:space="preserve">para </w:t>
      </w:r>
      <w:r w:rsidR="00A52E2C">
        <w:rPr>
          <w:rFonts w:ascii="Arial" w:hAnsi="Arial" w:cs="Arial"/>
          <w:sz w:val="20"/>
          <w:szCs w:val="20"/>
        </w:rPr>
        <w:t>Tupy</w:t>
      </w:r>
      <w:r w:rsidR="00D35530">
        <w:rPr>
          <w:rFonts w:ascii="Arial" w:hAnsi="Arial" w:cs="Arial"/>
          <w:sz w:val="20"/>
          <w:szCs w:val="20"/>
        </w:rPr>
        <w:t xml:space="preserve"> e </w:t>
      </w:r>
      <w:r w:rsidR="00AD5ED2">
        <w:rPr>
          <w:rFonts w:ascii="Arial" w:hAnsi="Arial" w:cs="Arial"/>
          <w:sz w:val="20"/>
          <w:szCs w:val="20"/>
        </w:rPr>
        <w:t>Randon</w:t>
      </w:r>
      <w:r w:rsidR="00D35530">
        <w:rPr>
          <w:rFonts w:ascii="Arial" w:hAnsi="Arial" w:cs="Arial"/>
          <w:sz w:val="20"/>
          <w:szCs w:val="20"/>
        </w:rPr>
        <w:t>, enquanto Hapvida foi o maior detrator</w:t>
      </w:r>
      <w:r w:rsidR="00D35530" w:rsidRPr="003F24C4">
        <w:rPr>
          <w:rFonts w:ascii="Arial" w:hAnsi="Arial" w:cs="Arial"/>
          <w:sz w:val="20"/>
          <w:szCs w:val="20"/>
        </w:rPr>
        <w:t>.</w:t>
      </w:r>
    </w:p>
    <w:p w14:paraId="2E4BA358" w14:textId="77777777" w:rsidR="00A52E2C" w:rsidRDefault="00A52E2C" w:rsidP="00841470">
      <w:pPr>
        <w:jc w:val="both"/>
        <w:rPr>
          <w:rFonts w:ascii="Arial" w:hAnsi="Arial" w:cs="Arial"/>
          <w:sz w:val="20"/>
          <w:szCs w:val="20"/>
        </w:rPr>
      </w:pPr>
    </w:p>
    <w:p w14:paraId="44778B8D" w14:textId="02671AD8" w:rsidR="008967CE" w:rsidRPr="003F24C4" w:rsidRDefault="003F24C4" w:rsidP="008967CE">
      <w:pPr>
        <w:jc w:val="both"/>
        <w:rPr>
          <w:rFonts w:ascii="Times New Roman" w:hAnsi="Times New Roman" w:cs="Times New Roman"/>
          <w:b/>
          <w:bCs/>
          <w:sz w:val="24"/>
          <w:szCs w:val="24"/>
        </w:rPr>
      </w:pPr>
      <w:r w:rsidRPr="003F24C4">
        <w:rPr>
          <w:rFonts w:ascii="Arial" w:hAnsi="Arial" w:cs="Arial"/>
          <w:b/>
          <w:bCs/>
          <w:sz w:val="20"/>
          <w:szCs w:val="20"/>
          <w:shd w:val="clear" w:color="auto" w:fill="FFC000" w:themeFill="accent4"/>
        </w:rPr>
        <w:t>Tivio Institucional 30</w:t>
      </w:r>
      <w:r w:rsidRPr="003F24C4">
        <w:rPr>
          <w:rFonts w:ascii="Arial" w:hAnsi="Arial" w:cs="Arial"/>
          <w:b/>
          <w:bCs/>
          <w:sz w:val="20"/>
          <w:szCs w:val="20"/>
        </w:rPr>
        <w:t xml:space="preserve"> </w:t>
      </w:r>
      <w:r w:rsidR="008967CE" w:rsidRPr="003F24C4">
        <w:rPr>
          <w:rFonts w:ascii="Times New Roman" w:hAnsi="Times New Roman" w:cs="Times New Roman"/>
          <w:b/>
          <w:bCs/>
          <w:sz w:val="24"/>
          <w:szCs w:val="24"/>
          <w:highlight w:val="yellow"/>
        </w:rPr>
        <w:t xml:space="preserve"> </w:t>
      </w:r>
    </w:p>
    <w:p w14:paraId="340DFFE7" w14:textId="77777777" w:rsidR="00AD74D3" w:rsidRPr="002B294A" w:rsidRDefault="00AD74D3" w:rsidP="00AD74D3">
      <w:pPr>
        <w:spacing w:line="278" w:lineRule="auto"/>
        <w:jc w:val="both"/>
      </w:pPr>
      <w:r w:rsidRPr="002B294A">
        <w:t>Em agosto, o mercado de crédito foi marcado por um ambiente de menor liquidez nas negociações do mercado secundário e por uma leve reabertura dos spreads de crédito. Após meses consecutivos de compressão dos prêmios de risco, observou-se um movimento mais cauteloso por parte dos investidores, com os spreads médios dos títulos corporativos indexados ao CDI avançando aproximadamente 0,03%, passando de CDI + 1,19% para CDI + 1,22% ao ano. Apesar desse ajuste, os níveis de prêmio permaneceram próximos das mínimas históricas observadas ao longo do ciclo recente.</w:t>
      </w:r>
    </w:p>
    <w:p w14:paraId="181F1C68" w14:textId="77777777" w:rsidR="00AD74D3" w:rsidRPr="002B294A" w:rsidRDefault="00AD74D3" w:rsidP="00AD74D3">
      <w:pPr>
        <w:spacing w:line="278" w:lineRule="auto"/>
        <w:jc w:val="both"/>
      </w:pPr>
      <w:r w:rsidRPr="002B294A">
        <w:t>No mercado secundário, a redução do volume negociado contribuiu para uma formação de preços mais seletiva, especialmente em ativos corporativos com menor liquidez. Ainda assim, o comportamento dos investidores permaneceu construtivo, sustentado por um ambiente técnico favorável e pela continuidade da elevada demanda por ativos de crédito.</w:t>
      </w:r>
    </w:p>
    <w:p w14:paraId="7C91934D" w14:textId="77777777" w:rsidR="00AD74D3" w:rsidRPr="002B294A" w:rsidRDefault="00AD74D3" w:rsidP="00AD74D3">
      <w:pPr>
        <w:spacing w:line="278" w:lineRule="auto"/>
        <w:jc w:val="both"/>
      </w:pPr>
      <w:r w:rsidRPr="002B294A">
        <w:t>Já no mercado primário, as emissões bancárias seguiram registrando forte demanda por parte dos investidores. As ofertas de Letras Financeiras Seniores distribuídas ao longo do mês apresentaram níveis elevados de subscrição, com demanda que, em diversos casos, superou três vezes o volume ofertado. Esse forte apetite permitiu que as operações fossem precificadas com taxas inferiores aos limites inicialmente indicados pelos emissores, evidenciando a elevada disponibilidade de recursos para alocação na indústria de crédito. Por outro lado, o pipeline de emissões corporativas permaneceu limitado, restringindo a oferta de novos ativos em um momento de demanda ainda aquecida.</w:t>
      </w:r>
    </w:p>
    <w:p w14:paraId="77CCE2C9" w14:textId="77777777" w:rsidR="00AD74D3" w:rsidRPr="002B294A" w:rsidRDefault="00AD74D3" w:rsidP="00AD74D3">
      <w:pPr>
        <w:spacing w:line="278" w:lineRule="auto"/>
        <w:jc w:val="both"/>
      </w:pPr>
      <w:r w:rsidRPr="002B294A">
        <w:t>Em relação aos fluxos, os fundos com alocação mínima de 15% em crédito e ao menos 1% em debêntures apresentaram captação líquida próxima de R$ 8 bilhões em agosto, resultado significativamente superior ao observado no mês anterior. O volume reforça a percepção de que os investidores seguem direcionando recursos para estratégias de crédito, impulsionados pelo elevado nível de carrego proporcionado pelos ativos indexados ao CDI e pela busca por alternativas de investimento com perfil de risco-retorno atrativo.</w:t>
      </w:r>
    </w:p>
    <w:p w14:paraId="0A2535EE" w14:textId="77777777" w:rsidR="00AD74D3" w:rsidRPr="002B294A" w:rsidRDefault="00AD74D3" w:rsidP="00AD74D3">
      <w:pPr>
        <w:spacing w:line="278" w:lineRule="auto"/>
        <w:jc w:val="both"/>
      </w:pPr>
      <w:r w:rsidRPr="002B294A">
        <w:t>Nesse contexto, a combinação entre fluxos positivos para a indústria, vencimentos e amortizações recorrentes das carteiras, além da limitada oferta de novos ativos corporativos, continuou sustentando a demanda por crédito privado. Ainda que agosto tenha apresentado uma leve reabertura dos spreads médios de mercado, a dinâmica técnica permanece favorável e os prêmios seguem negociando em patamares historicamente reduzidos.</w:t>
      </w:r>
    </w:p>
    <w:p w14:paraId="50929725" w14:textId="77777777" w:rsidR="00AD74D3" w:rsidRPr="002B294A" w:rsidRDefault="00AD74D3" w:rsidP="00AD74D3">
      <w:pPr>
        <w:spacing w:line="278" w:lineRule="auto"/>
        <w:jc w:val="both"/>
      </w:pPr>
      <w:r w:rsidRPr="002B294A">
        <w:t xml:space="preserve">Por fim, sob a ótica da gestão, seguimos acompanhando de forma criteriosa a evolução dos fundamentos dos emissores presentes nas carteiras, com atenção especial aos indicadores </w:t>
      </w:r>
      <w:r w:rsidRPr="002B294A">
        <w:lastRenderedPageBreak/>
        <w:t>operacionais, à geração de caixa e à manutenção de estruturas de capital adequadas. Em um ambiente em que os spreads permanecem comprimidos em termos históricos, mantemos disciplina na alocação dos recursos, priorizando operações que apresentem adequada relação entre risco e retorno e preservando flexibilidade para captura de oportunidades que possam surgir em eventuais períodos de maior volatilidade do mercado.</w:t>
      </w:r>
    </w:p>
    <w:p w14:paraId="454B209D" w14:textId="594E22CE" w:rsidR="006147D5" w:rsidRDefault="003F24C4" w:rsidP="00841470">
      <w:pPr>
        <w:jc w:val="both"/>
        <w:rPr>
          <w:rFonts w:ascii="Arial" w:hAnsi="Arial" w:cs="Arial"/>
          <w:sz w:val="20"/>
          <w:szCs w:val="20"/>
        </w:rPr>
      </w:pPr>
      <w:r w:rsidRPr="003F24C4">
        <w:rPr>
          <w:rFonts w:ascii="Arial" w:hAnsi="Arial" w:cs="Arial"/>
          <w:sz w:val="20"/>
          <w:szCs w:val="20"/>
        </w:rPr>
        <w:t xml:space="preserve">Nesse cenário, o </w:t>
      </w:r>
      <w:r w:rsidR="00471778" w:rsidRPr="00471778">
        <w:rPr>
          <w:rFonts w:ascii="Arial" w:hAnsi="Arial" w:cs="Arial"/>
          <w:sz w:val="20"/>
          <w:szCs w:val="20"/>
        </w:rPr>
        <w:t>Tivio Institucional 30</w:t>
      </w:r>
      <w:r w:rsidRPr="003F24C4">
        <w:rPr>
          <w:rFonts w:ascii="Arial" w:hAnsi="Arial" w:cs="Arial"/>
          <w:sz w:val="20"/>
          <w:szCs w:val="20"/>
        </w:rPr>
        <w:t xml:space="preserve"> apresentou rentabilidade de </w:t>
      </w:r>
      <w:r w:rsidR="000A3455">
        <w:rPr>
          <w:rFonts w:ascii="Arial" w:hAnsi="Arial" w:cs="Arial"/>
          <w:sz w:val="20"/>
          <w:szCs w:val="20"/>
        </w:rPr>
        <w:t>1</w:t>
      </w:r>
      <w:r w:rsidR="001077C3">
        <w:rPr>
          <w:rFonts w:ascii="Arial" w:hAnsi="Arial" w:cs="Arial"/>
          <w:sz w:val="20"/>
          <w:szCs w:val="20"/>
        </w:rPr>
        <w:t>,</w:t>
      </w:r>
      <w:r w:rsidR="000A3455">
        <w:rPr>
          <w:rFonts w:ascii="Arial" w:hAnsi="Arial" w:cs="Arial"/>
          <w:sz w:val="20"/>
          <w:szCs w:val="20"/>
        </w:rPr>
        <w:t>12</w:t>
      </w:r>
      <w:r w:rsidRPr="003F24C4">
        <w:rPr>
          <w:rFonts w:ascii="Arial" w:hAnsi="Arial" w:cs="Arial"/>
          <w:sz w:val="20"/>
          <w:szCs w:val="20"/>
        </w:rPr>
        <w:t>% no mês (</w:t>
      </w:r>
      <w:r w:rsidR="000A3455">
        <w:rPr>
          <w:rFonts w:ascii="Arial" w:hAnsi="Arial" w:cs="Arial"/>
          <w:sz w:val="20"/>
          <w:szCs w:val="20"/>
        </w:rPr>
        <w:t>102</w:t>
      </w:r>
      <w:r w:rsidRPr="003F24C4">
        <w:rPr>
          <w:rFonts w:ascii="Arial" w:hAnsi="Arial" w:cs="Arial"/>
          <w:sz w:val="20"/>
          <w:szCs w:val="20"/>
        </w:rPr>
        <w:t xml:space="preserve">% do CDI), acumulando </w:t>
      </w:r>
      <w:r w:rsidR="000A3455">
        <w:rPr>
          <w:rFonts w:ascii="Arial" w:hAnsi="Arial" w:cs="Arial"/>
          <w:sz w:val="20"/>
          <w:szCs w:val="20"/>
        </w:rPr>
        <w:t>9</w:t>
      </w:r>
      <w:r w:rsidR="001077C3">
        <w:rPr>
          <w:rFonts w:ascii="Arial" w:hAnsi="Arial" w:cs="Arial"/>
          <w:sz w:val="20"/>
          <w:szCs w:val="20"/>
        </w:rPr>
        <w:t>,</w:t>
      </w:r>
      <w:r w:rsidR="000A3455">
        <w:rPr>
          <w:rFonts w:ascii="Arial" w:hAnsi="Arial" w:cs="Arial"/>
          <w:sz w:val="20"/>
          <w:szCs w:val="20"/>
        </w:rPr>
        <w:t>45</w:t>
      </w:r>
      <w:r w:rsidRPr="003F24C4">
        <w:rPr>
          <w:rFonts w:ascii="Arial" w:hAnsi="Arial" w:cs="Arial"/>
          <w:sz w:val="20"/>
          <w:szCs w:val="20"/>
        </w:rPr>
        <w:t>% (</w:t>
      </w:r>
      <w:r w:rsidR="000A3455">
        <w:rPr>
          <w:rFonts w:ascii="Arial" w:hAnsi="Arial" w:cs="Arial"/>
          <w:sz w:val="20"/>
          <w:szCs w:val="20"/>
        </w:rPr>
        <w:t>101</w:t>
      </w:r>
      <w:r w:rsidRPr="003F24C4">
        <w:rPr>
          <w:rFonts w:ascii="Arial" w:hAnsi="Arial" w:cs="Arial"/>
          <w:sz w:val="20"/>
          <w:szCs w:val="20"/>
        </w:rPr>
        <w:t xml:space="preserve">% do CDI) </w:t>
      </w:r>
      <w:r w:rsidR="001077C3">
        <w:rPr>
          <w:rFonts w:ascii="Arial" w:hAnsi="Arial" w:cs="Arial"/>
          <w:sz w:val="20"/>
          <w:szCs w:val="20"/>
        </w:rPr>
        <w:t>no ano</w:t>
      </w:r>
      <w:r w:rsidRPr="003F24C4">
        <w:rPr>
          <w:rFonts w:ascii="Arial" w:hAnsi="Arial" w:cs="Arial"/>
          <w:sz w:val="20"/>
          <w:szCs w:val="20"/>
        </w:rPr>
        <w:t xml:space="preserve">. </w:t>
      </w:r>
      <w:r w:rsidR="00AD5ED2">
        <w:rPr>
          <w:rFonts w:ascii="Arial" w:hAnsi="Arial" w:cs="Arial"/>
          <w:sz w:val="20"/>
          <w:szCs w:val="20"/>
        </w:rPr>
        <w:t>Na</w:t>
      </w:r>
      <w:r w:rsidR="00AD5ED2" w:rsidRPr="003F24C4">
        <w:rPr>
          <w:rFonts w:ascii="Arial" w:hAnsi="Arial" w:cs="Arial"/>
          <w:sz w:val="20"/>
          <w:szCs w:val="20"/>
        </w:rPr>
        <w:t xml:space="preserve"> parcela de </w:t>
      </w:r>
      <w:r w:rsidR="00AD5ED2">
        <w:rPr>
          <w:rFonts w:ascii="Arial" w:hAnsi="Arial" w:cs="Arial"/>
          <w:sz w:val="20"/>
          <w:szCs w:val="20"/>
        </w:rPr>
        <w:t>corporativos,</w:t>
      </w:r>
      <w:r w:rsidR="00AD5ED2" w:rsidRPr="003F24C4">
        <w:rPr>
          <w:rFonts w:ascii="Arial" w:hAnsi="Arial" w:cs="Arial"/>
          <w:sz w:val="20"/>
          <w:szCs w:val="20"/>
        </w:rPr>
        <w:t xml:space="preserve"> </w:t>
      </w:r>
      <w:r w:rsidR="00AD5ED2">
        <w:rPr>
          <w:rFonts w:ascii="Arial" w:hAnsi="Arial" w:cs="Arial"/>
          <w:sz w:val="20"/>
          <w:szCs w:val="20"/>
        </w:rPr>
        <w:t xml:space="preserve">os maiores atribuidores de </w:t>
      </w:r>
      <w:r w:rsidR="00AD5ED2" w:rsidRPr="003F24C4">
        <w:rPr>
          <w:rFonts w:ascii="Arial" w:hAnsi="Arial" w:cs="Arial"/>
          <w:sz w:val="20"/>
          <w:szCs w:val="20"/>
        </w:rPr>
        <w:t>resultado</w:t>
      </w:r>
      <w:r w:rsidR="00AD5ED2">
        <w:rPr>
          <w:rFonts w:ascii="Arial" w:hAnsi="Arial" w:cs="Arial"/>
          <w:sz w:val="20"/>
          <w:szCs w:val="20"/>
        </w:rPr>
        <w:t xml:space="preserve"> foram </w:t>
      </w:r>
      <w:r w:rsidR="00AD5ED2" w:rsidRPr="003F24C4">
        <w:rPr>
          <w:rFonts w:ascii="Arial" w:hAnsi="Arial" w:cs="Arial"/>
          <w:sz w:val="20"/>
          <w:szCs w:val="20"/>
        </w:rPr>
        <w:t xml:space="preserve">para </w:t>
      </w:r>
      <w:r w:rsidR="00AD5ED2">
        <w:rPr>
          <w:rFonts w:ascii="Arial" w:hAnsi="Arial" w:cs="Arial"/>
          <w:sz w:val="20"/>
          <w:szCs w:val="20"/>
        </w:rPr>
        <w:t>Tupy e Randon, enquanto Hapvida foi o maior detrator</w:t>
      </w:r>
      <w:r w:rsidR="00A52E2C" w:rsidRPr="003F24C4">
        <w:rPr>
          <w:rFonts w:ascii="Arial" w:hAnsi="Arial" w:cs="Arial"/>
          <w:sz w:val="20"/>
          <w:szCs w:val="20"/>
        </w:rPr>
        <w:t>.</w:t>
      </w:r>
    </w:p>
    <w:p w14:paraId="357752CD" w14:textId="77777777" w:rsidR="00A52E2C" w:rsidRPr="00637F74" w:rsidRDefault="00A52E2C" w:rsidP="00841470">
      <w:pPr>
        <w:jc w:val="both"/>
        <w:rPr>
          <w:rFonts w:ascii="Arial" w:hAnsi="Arial" w:cs="Arial"/>
          <w:sz w:val="20"/>
          <w:szCs w:val="20"/>
        </w:rPr>
      </w:pPr>
    </w:p>
    <w:p w14:paraId="16D6D8E0" w14:textId="77777777" w:rsidR="003F24C4" w:rsidRPr="003F24C4" w:rsidRDefault="003F24C4" w:rsidP="003F24C4">
      <w:pPr>
        <w:shd w:val="clear" w:color="auto" w:fill="FFC000" w:themeFill="accent4"/>
        <w:jc w:val="both"/>
        <w:rPr>
          <w:rFonts w:ascii="Arial" w:hAnsi="Arial" w:cs="Arial"/>
          <w:b/>
          <w:bCs/>
          <w:sz w:val="20"/>
          <w:szCs w:val="20"/>
        </w:rPr>
      </w:pPr>
      <w:r w:rsidRPr="003F24C4">
        <w:rPr>
          <w:rFonts w:ascii="Arial" w:hAnsi="Arial" w:cs="Arial"/>
          <w:b/>
          <w:bCs/>
          <w:sz w:val="20"/>
          <w:szCs w:val="20"/>
        </w:rPr>
        <w:t xml:space="preserve">Fundo Tivio Infra Plus </w:t>
      </w:r>
    </w:p>
    <w:p w14:paraId="3B4E5F1D" w14:textId="77777777" w:rsidR="003F24C4" w:rsidRDefault="003F24C4" w:rsidP="00637F74">
      <w:pPr>
        <w:jc w:val="both"/>
        <w:rPr>
          <w:rFonts w:ascii="Arial" w:hAnsi="Arial" w:cs="Arial"/>
          <w:sz w:val="20"/>
          <w:szCs w:val="20"/>
        </w:rPr>
      </w:pPr>
    </w:p>
    <w:p w14:paraId="00B17684" w14:textId="77777777" w:rsidR="00372556" w:rsidRPr="00372556" w:rsidRDefault="00372556" w:rsidP="00372556">
      <w:pPr>
        <w:jc w:val="both"/>
        <w:rPr>
          <w:rFonts w:ascii="Arial" w:hAnsi="Arial" w:cs="Arial"/>
          <w:sz w:val="20"/>
          <w:szCs w:val="20"/>
        </w:rPr>
      </w:pPr>
      <w:r w:rsidRPr="00372556">
        <w:rPr>
          <w:rFonts w:ascii="Arial" w:hAnsi="Arial" w:cs="Arial"/>
          <w:sz w:val="20"/>
          <w:szCs w:val="20"/>
        </w:rPr>
        <w:t>Em agosto, os títulos de crédito indexados ao IPCA precificados pela ANBIMA apresentaram desempenho positivo, refletindo principalmente o movimento de fechamento da curva real de juros observado ao longo do período. Embora os spreads de crédito tenham registrado abertura média de aproximadamente 5 bps em relação a julho, a redução das taxas reais ao longo da estrutura a termo mais do que compensou esse movimento. Como resultado, as taxas médias dos títulos incentivados precificados pela ANBIMA encerraram o mês com fechamento próximo de 16 bps, proporcionando valorização dos ativos no mercado secundário.</w:t>
      </w:r>
    </w:p>
    <w:p w14:paraId="15B7C5F4" w14:textId="77777777" w:rsidR="001303A6" w:rsidRPr="001303A6" w:rsidRDefault="001303A6" w:rsidP="001303A6">
      <w:pPr>
        <w:jc w:val="both"/>
        <w:rPr>
          <w:rFonts w:ascii="Arial" w:hAnsi="Arial" w:cs="Arial"/>
          <w:sz w:val="20"/>
          <w:szCs w:val="20"/>
        </w:rPr>
      </w:pPr>
      <w:r w:rsidRPr="001303A6">
        <w:rPr>
          <w:rFonts w:ascii="Arial" w:hAnsi="Arial" w:cs="Arial"/>
          <w:sz w:val="20"/>
          <w:szCs w:val="20"/>
        </w:rPr>
        <w:t>No mercado primário, manteve-se o cenário de oferta restrita de ativos, com parcela relevante das emissões sendo absorvida diretamente pelos balanços dos bancos distribuidores. Já no mercado secundário, observou-se um nível de liquidez inferior à média observada ao longo de 2025, contribuindo para um ambiente de maior equilíbrio entre oferta e demanda dos ativos negociados.</w:t>
      </w:r>
    </w:p>
    <w:p w14:paraId="4631E7C6" w14:textId="77777777" w:rsidR="001303A6" w:rsidRPr="001303A6" w:rsidRDefault="001303A6" w:rsidP="001303A6">
      <w:pPr>
        <w:jc w:val="both"/>
        <w:rPr>
          <w:rFonts w:ascii="Arial" w:hAnsi="Arial" w:cs="Arial"/>
          <w:sz w:val="20"/>
          <w:szCs w:val="20"/>
        </w:rPr>
      </w:pPr>
      <w:r w:rsidRPr="001303A6">
        <w:rPr>
          <w:rFonts w:ascii="Arial" w:hAnsi="Arial" w:cs="Arial"/>
          <w:sz w:val="20"/>
          <w:szCs w:val="20"/>
        </w:rPr>
        <w:t>Sob a ótica da gestão, mantivemos uma postura cautelosa ao longo do período, priorizando o encurtamento da duration da carteira como forma de mitigar a volatilidade e reduzir a sensibilidade do portfólio a eventuais movimentos adversos nos spreads de crédito. Apesar da melhora observada no desempenho dos ativos incentivados no mês, seguimos avaliando que os níveis atuais de prêmio ainda oferecem pouca margem de segurança frente aos riscos inerentes à classe. Dessa forma, permanecemos atentos à evolução das condições de mercado e à dinâmica de precificação dos ativos, buscando identificar oportunidades mais atrativas para aumentar a exposição ao risco de crédito de forma gradual e criteriosa, quando a relação risco-retorno se mostrar mais favorável.</w:t>
      </w:r>
    </w:p>
    <w:p w14:paraId="4BB9A8B8" w14:textId="37E4F51B" w:rsidR="00064C3C" w:rsidRPr="00064C3C" w:rsidRDefault="00064C3C" w:rsidP="00064C3C">
      <w:pPr>
        <w:jc w:val="both"/>
        <w:rPr>
          <w:rFonts w:ascii="Arial" w:hAnsi="Arial" w:cs="Arial"/>
          <w:sz w:val="20"/>
          <w:szCs w:val="20"/>
        </w:rPr>
      </w:pPr>
      <w:r w:rsidRPr="003F24C4">
        <w:rPr>
          <w:rFonts w:ascii="Arial" w:hAnsi="Arial" w:cs="Arial"/>
          <w:sz w:val="20"/>
          <w:szCs w:val="20"/>
        </w:rPr>
        <w:t xml:space="preserve">Nesse cenário, o </w:t>
      </w:r>
      <w:r w:rsidRPr="00064C3C">
        <w:rPr>
          <w:rFonts w:ascii="Arial" w:hAnsi="Arial" w:cs="Arial"/>
          <w:sz w:val="20"/>
          <w:szCs w:val="20"/>
        </w:rPr>
        <w:t>Tivio Infra Plus</w:t>
      </w:r>
      <w:r w:rsidRPr="003F24C4">
        <w:rPr>
          <w:rFonts w:ascii="Arial" w:hAnsi="Arial" w:cs="Arial"/>
          <w:b/>
          <w:bCs/>
          <w:sz w:val="20"/>
          <w:szCs w:val="20"/>
        </w:rPr>
        <w:t xml:space="preserve"> </w:t>
      </w:r>
      <w:r w:rsidRPr="003F24C4">
        <w:rPr>
          <w:rFonts w:ascii="Arial" w:hAnsi="Arial" w:cs="Arial"/>
          <w:sz w:val="20"/>
          <w:szCs w:val="20"/>
        </w:rPr>
        <w:t>apresentou rentabilidade</w:t>
      </w:r>
      <w:r w:rsidR="003B6E28">
        <w:rPr>
          <w:rFonts w:ascii="Arial" w:hAnsi="Arial" w:cs="Arial"/>
          <w:sz w:val="20"/>
          <w:szCs w:val="20"/>
        </w:rPr>
        <w:t>, isenta de imposto de renda</w:t>
      </w:r>
      <w:r w:rsidRPr="003F24C4">
        <w:rPr>
          <w:rFonts w:ascii="Arial" w:hAnsi="Arial" w:cs="Arial"/>
          <w:sz w:val="20"/>
          <w:szCs w:val="20"/>
        </w:rPr>
        <w:t xml:space="preserve"> de </w:t>
      </w:r>
      <w:r w:rsidR="00F71F21">
        <w:rPr>
          <w:rFonts w:ascii="Arial" w:hAnsi="Arial" w:cs="Arial"/>
          <w:sz w:val="20"/>
          <w:szCs w:val="20"/>
        </w:rPr>
        <w:t>1</w:t>
      </w:r>
      <w:r>
        <w:rPr>
          <w:rFonts w:ascii="Arial" w:hAnsi="Arial" w:cs="Arial"/>
          <w:sz w:val="20"/>
          <w:szCs w:val="20"/>
        </w:rPr>
        <w:t>,</w:t>
      </w:r>
      <w:r w:rsidR="00F71F21">
        <w:rPr>
          <w:rFonts w:ascii="Arial" w:hAnsi="Arial" w:cs="Arial"/>
          <w:sz w:val="20"/>
          <w:szCs w:val="20"/>
        </w:rPr>
        <w:t>26</w:t>
      </w:r>
      <w:r w:rsidRPr="003F24C4">
        <w:rPr>
          <w:rFonts w:ascii="Arial" w:hAnsi="Arial" w:cs="Arial"/>
          <w:sz w:val="20"/>
          <w:szCs w:val="20"/>
        </w:rPr>
        <w:t xml:space="preserve">% no mês, acumulando </w:t>
      </w:r>
      <w:r w:rsidR="00F71F21">
        <w:rPr>
          <w:rFonts w:ascii="Arial" w:hAnsi="Arial" w:cs="Arial"/>
          <w:sz w:val="20"/>
          <w:szCs w:val="20"/>
        </w:rPr>
        <w:t>5</w:t>
      </w:r>
      <w:r>
        <w:rPr>
          <w:rFonts w:ascii="Arial" w:hAnsi="Arial" w:cs="Arial"/>
          <w:sz w:val="20"/>
          <w:szCs w:val="20"/>
        </w:rPr>
        <w:t>,</w:t>
      </w:r>
      <w:r w:rsidR="00F71F21">
        <w:rPr>
          <w:rFonts w:ascii="Arial" w:hAnsi="Arial" w:cs="Arial"/>
          <w:sz w:val="20"/>
          <w:szCs w:val="20"/>
        </w:rPr>
        <w:t>98</w:t>
      </w:r>
      <w:r w:rsidRPr="003F24C4">
        <w:rPr>
          <w:rFonts w:ascii="Arial" w:hAnsi="Arial" w:cs="Arial"/>
          <w:sz w:val="20"/>
          <w:szCs w:val="20"/>
        </w:rPr>
        <w:t xml:space="preserve">% </w:t>
      </w:r>
      <w:r>
        <w:rPr>
          <w:rFonts w:ascii="Arial" w:hAnsi="Arial" w:cs="Arial"/>
          <w:sz w:val="20"/>
          <w:szCs w:val="20"/>
        </w:rPr>
        <w:t>no ano</w:t>
      </w:r>
      <w:r w:rsidRPr="003F24C4">
        <w:rPr>
          <w:rFonts w:ascii="Arial" w:hAnsi="Arial" w:cs="Arial"/>
          <w:sz w:val="20"/>
          <w:szCs w:val="20"/>
        </w:rPr>
        <w:t xml:space="preserve">. Na atribuição de performance, </w:t>
      </w:r>
      <w:r>
        <w:rPr>
          <w:rFonts w:ascii="Arial" w:hAnsi="Arial" w:cs="Arial"/>
          <w:sz w:val="20"/>
          <w:szCs w:val="20"/>
        </w:rPr>
        <w:t>pode-se</w:t>
      </w:r>
      <w:r w:rsidRPr="003F24C4">
        <w:rPr>
          <w:rFonts w:ascii="Arial" w:hAnsi="Arial" w:cs="Arial"/>
          <w:sz w:val="20"/>
          <w:szCs w:val="20"/>
        </w:rPr>
        <w:t xml:space="preserve"> desta</w:t>
      </w:r>
      <w:r>
        <w:rPr>
          <w:rFonts w:ascii="Arial" w:hAnsi="Arial" w:cs="Arial"/>
          <w:sz w:val="20"/>
          <w:szCs w:val="20"/>
        </w:rPr>
        <w:t>car</w:t>
      </w:r>
      <w:r w:rsidRPr="003F24C4">
        <w:rPr>
          <w:rFonts w:ascii="Arial" w:hAnsi="Arial" w:cs="Arial"/>
          <w:sz w:val="20"/>
          <w:szCs w:val="20"/>
        </w:rPr>
        <w:t xml:space="preserve"> </w:t>
      </w:r>
      <w:r>
        <w:rPr>
          <w:rFonts w:ascii="Arial" w:hAnsi="Arial" w:cs="Arial"/>
          <w:sz w:val="20"/>
          <w:szCs w:val="20"/>
        </w:rPr>
        <w:t xml:space="preserve">as debêntures de </w:t>
      </w:r>
      <w:r w:rsidR="00431CC9">
        <w:rPr>
          <w:rFonts w:ascii="Arial" w:hAnsi="Arial" w:cs="Arial"/>
          <w:sz w:val="20"/>
          <w:szCs w:val="20"/>
        </w:rPr>
        <w:t>NTS</w:t>
      </w:r>
      <w:r w:rsidR="00372556">
        <w:rPr>
          <w:rFonts w:ascii="Arial" w:hAnsi="Arial" w:cs="Arial"/>
          <w:sz w:val="20"/>
          <w:szCs w:val="20"/>
        </w:rPr>
        <w:t xml:space="preserve"> e São Simão</w:t>
      </w:r>
      <w:r>
        <w:rPr>
          <w:rFonts w:ascii="Arial" w:hAnsi="Arial" w:cs="Arial"/>
          <w:sz w:val="20"/>
          <w:szCs w:val="20"/>
        </w:rPr>
        <w:t xml:space="preserve">, enquanto as de </w:t>
      </w:r>
      <w:r w:rsidR="00372556">
        <w:rPr>
          <w:rFonts w:ascii="Arial" w:hAnsi="Arial" w:cs="Arial"/>
          <w:sz w:val="20"/>
          <w:szCs w:val="20"/>
        </w:rPr>
        <w:t>Jalles Machado</w:t>
      </w:r>
      <w:r>
        <w:rPr>
          <w:rFonts w:ascii="Arial" w:hAnsi="Arial" w:cs="Arial"/>
          <w:sz w:val="20"/>
          <w:szCs w:val="20"/>
        </w:rPr>
        <w:t xml:space="preserve"> foram as maiores detratoras</w:t>
      </w:r>
      <w:r w:rsidRPr="003F24C4">
        <w:rPr>
          <w:rFonts w:ascii="Arial" w:hAnsi="Arial" w:cs="Arial"/>
          <w:sz w:val="20"/>
          <w:szCs w:val="20"/>
        </w:rPr>
        <w:t>.</w:t>
      </w:r>
    </w:p>
    <w:p w14:paraId="77102B90" w14:textId="0DBE450E" w:rsidR="00001D8A" w:rsidRDefault="00001D8A" w:rsidP="0033448D">
      <w:pPr>
        <w:jc w:val="both"/>
        <w:rPr>
          <w:rFonts w:ascii="Arial" w:hAnsi="Arial" w:cs="Arial"/>
          <w:sz w:val="20"/>
          <w:szCs w:val="20"/>
        </w:rPr>
      </w:pPr>
    </w:p>
    <w:p w14:paraId="33013CF2" w14:textId="77777777" w:rsidR="00001D8A" w:rsidRDefault="00001D8A" w:rsidP="0033448D">
      <w:pPr>
        <w:jc w:val="both"/>
        <w:rPr>
          <w:rFonts w:ascii="Arial" w:hAnsi="Arial" w:cs="Arial"/>
          <w:color w:val="FF0000"/>
          <w:sz w:val="20"/>
          <w:szCs w:val="20"/>
        </w:rPr>
      </w:pPr>
    </w:p>
    <w:p w14:paraId="0350CC6F" w14:textId="77777777" w:rsidR="003F24C4" w:rsidRPr="00064C3C" w:rsidRDefault="003F24C4" w:rsidP="003F24C4">
      <w:pPr>
        <w:shd w:val="clear" w:color="auto" w:fill="FFC000" w:themeFill="accent4"/>
        <w:jc w:val="both"/>
        <w:rPr>
          <w:rFonts w:ascii="Arial" w:hAnsi="Arial" w:cs="Arial"/>
          <w:b/>
          <w:bCs/>
          <w:sz w:val="20"/>
          <w:szCs w:val="20"/>
        </w:rPr>
      </w:pPr>
      <w:r w:rsidRPr="00064C3C">
        <w:rPr>
          <w:rFonts w:ascii="Arial" w:hAnsi="Arial" w:cs="Arial"/>
          <w:b/>
          <w:bCs/>
          <w:sz w:val="20"/>
          <w:szCs w:val="20"/>
        </w:rPr>
        <w:t xml:space="preserve">Fundo Tivio Atuarial </w:t>
      </w:r>
    </w:p>
    <w:p w14:paraId="3E46E3D3" w14:textId="77777777" w:rsidR="003F24C4" w:rsidRDefault="003F24C4" w:rsidP="0033448D">
      <w:pPr>
        <w:jc w:val="both"/>
        <w:rPr>
          <w:rFonts w:ascii="Arial" w:hAnsi="Arial" w:cs="Arial"/>
          <w:sz w:val="20"/>
          <w:szCs w:val="20"/>
        </w:rPr>
      </w:pPr>
    </w:p>
    <w:p w14:paraId="3951B0D1" w14:textId="77777777" w:rsidR="00372556" w:rsidRPr="00372556" w:rsidRDefault="00372556" w:rsidP="00372556">
      <w:pPr>
        <w:jc w:val="both"/>
        <w:rPr>
          <w:rFonts w:ascii="Arial" w:hAnsi="Arial" w:cs="Arial"/>
          <w:sz w:val="20"/>
          <w:szCs w:val="20"/>
        </w:rPr>
      </w:pPr>
      <w:r w:rsidRPr="00372556">
        <w:rPr>
          <w:rFonts w:ascii="Arial" w:hAnsi="Arial" w:cs="Arial"/>
          <w:sz w:val="20"/>
          <w:szCs w:val="20"/>
        </w:rPr>
        <w:t>Em agosto, os títulos de crédito indexados ao IPCA precificados pela ANBIMA apresentaram desempenho positivo, refletindo principalmente o movimento de fechamento da curva real de juros observado ao longo do período. Embora os spreads de crédito tenham registrado abertura média de aproximadamente 5 bps em relação a julho, a redução das taxas reais ao longo da estrutura a termo mais do que compensou esse movimento. Como resultado, as taxas médias dos títulos incentivados precificados pela ANBIMA encerraram o mês com fechamento próximo de 16 bps, proporcionando valorização dos ativos no mercado secundário.</w:t>
      </w:r>
    </w:p>
    <w:p w14:paraId="0DF90CEF" w14:textId="77777777" w:rsidR="00372556" w:rsidRPr="001303A6" w:rsidRDefault="00372556" w:rsidP="00372556">
      <w:pPr>
        <w:jc w:val="both"/>
        <w:rPr>
          <w:rFonts w:ascii="Arial" w:hAnsi="Arial" w:cs="Arial"/>
          <w:sz w:val="20"/>
          <w:szCs w:val="20"/>
        </w:rPr>
      </w:pPr>
      <w:r w:rsidRPr="001303A6">
        <w:rPr>
          <w:rFonts w:ascii="Arial" w:hAnsi="Arial" w:cs="Arial"/>
          <w:sz w:val="20"/>
          <w:szCs w:val="20"/>
        </w:rPr>
        <w:lastRenderedPageBreak/>
        <w:t>No mercado primário, manteve-se o cenário de oferta restrita de ativos, com parcela relevante das emissões sendo absorvida diretamente pelos balanços dos bancos distribuidores. Já no mercado secundário, observou-se um nível de liquidez inferior à média observada ao longo de 2025, contribuindo para um ambiente de maior equilíbrio entre oferta e demanda dos ativos negociados.</w:t>
      </w:r>
    </w:p>
    <w:p w14:paraId="2671D97C" w14:textId="77777777" w:rsidR="00372556" w:rsidRPr="001303A6" w:rsidRDefault="00372556" w:rsidP="00372556">
      <w:pPr>
        <w:jc w:val="both"/>
        <w:rPr>
          <w:rFonts w:ascii="Arial" w:hAnsi="Arial" w:cs="Arial"/>
          <w:sz w:val="20"/>
          <w:szCs w:val="20"/>
        </w:rPr>
      </w:pPr>
      <w:r w:rsidRPr="001303A6">
        <w:rPr>
          <w:rFonts w:ascii="Arial" w:hAnsi="Arial" w:cs="Arial"/>
          <w:sz w:val="20"/>
          <w:szCs w:val="20"/>
        </w:rPr>
        <w:t>Sob a ótica da gestão, mantivemos uma postura cautelosa ao longo do período, priorizando o encurtamento da duration da carteira como forma de mitigar a volatilidade e reduzir a sensibilidade do portfólio a eventuais movimentos adversos nos spreads de crédito. Apesar da melhora observada no desempenho dos ativos incentivados no mês, seguimos avaliando que os níveis atuais de prêmio ainda oferecem pouca margem de segurança frente aos riscos inerentes à classe. Dessa forma, permanecemos atentos à evolução das condições de mercado e à dinâmica de precificação dos ativos, buscando identificar oportunidades mais atrativas para aumentar a exposição ao risco de crédito de forma gradual e criteriosa, quando a relação risco-retorno se mostrar mais favorável.</w:t>
      </w:r>
    </w:p>
    <w:p w14:paraId="67B29767" w14:textId="0F672DA8" w:rsidR="00064C3C" w:rsidRPr="00064C3C" w:rsidRDefault="00064C3C" w:rsidP="00064C3C">
      <w:pPr>
        <w:jc w:val="both"/>
        <w:rPr>
          <w:rFonts w:ascii="Arial" w:hAnsi="Arial" w:cs="Arial"/>
          <w:sz w:val="20"/>
          <w:szCs w:val="20"/>
        </w:rPr>
      </w:pPr>
      <w:r w:rsidRPr="003F24C4">
        <w:rPr>
          <w:rFonts w:ascii="Arial" w:hAnsi="Arial" w:cs="Arial"/>
          <w:sz w:val="20"/>
          <w:szCs w:val="20"/>
        </w:rPr>
        <w:t xml:space="preserve">Nesse cenário, o </w:t>
      </w:r>
      <w:r w:rsidRPr="00064C3C">
        <w:rPr>
          <w:rFonts w:ascii="Arial" w:hAnsi="Arial" w:cs="Arial"/>
          <w:sz w:val="20"/>
          <w:szCs w:val="20"/>
        </w:rPr>
        <w:t xml:space="preserve">Tivio </w:t>
      </w:r>
      <w:r>
        <w:rPr>
          <w:rFonts w:ascii="Arial" w:hAnsi="Arial" w:cs="Arial"/>
          <w:sz w:val="20"/>
          <w:szCs w:val="20"/>
        </w:rPr>
        <w:t>Atuarial</w:t>
      </w:r>
      <w:r w:rsidRPr="003F24C4">
        <w:rPr>
          <w:rFonts w:ascii="Arial" w:hAnsi="Arial" w:cs="Arial"/>
          <w:b/>
          <w:bCs/>
          <w:sz w:val="20"/>
          <w:szCs w:val="20"/>
        </w:rPr>
        <w:t xml:space="preserve"> </w:t>
      </w:r>
      <w:r w:rsidRPr="003F24C4">
        <w:rPr>
          <w:rFonts w:ascii="Arial" w:hAnsi="Arial" w:cs="Arial"/>
          <w:sz w:val="20"/>
          <w:szCs w:val="20"/>
        </w:rPr>
        <w:t xml:space="preserve">apresentou rentabilidade de </w:t>
      </w:r>
      <w:r w:rsidR="00F71F21">
        <w:rPr>
          <w:rFonts w:ascii="Arial" w:hAnsi="Arial" w:cs="Arial"/>
          <w:sz w:val="20"/>
          <w:szCs w:val="20"/>
        </w:rPr>
        <w:t>1</w:t>
      </w:r>
      <w:r>
        <w:rPr>
          <w:rFonts w:ascii="Arial" w:hAnsi="Arial" w:cs="Arial"/>
          <w:sz w:val="20"/>
          <w:szCs w:val="20"/>
        </w:rPr>
        <w:t>,</w:t>
      </w:r>
      <w:r w:rsidR="00F71F21">
        <w:rPr>
          <w:rFonts w:ascii="Arial" w:hAnsi="Arial" w:cs="Arial"/>
          <w:sz w:val="20"/>
          <w:szCs w:val="20"/>
        </w:rPr>
        <w:t>26</w:t>
      </w:r>
      <w:r w:rsidRPr="003F24C4">
        <w:rPr>
          <w:rFonts w:ascii="Arial" w:hAnsi="Arial" w:cs="Arial"/>
          <w:sz w:val="20"/>
          <w:szCs w:val="20"/>
        </w:rPr>
        <w:t xml:space="preserve">% no mês, acumulando </w:t>
      </w:r>
      <w:r w:rsidR="00F71F21">
        <w:rPr>
          <w:rFonts w:ascii="Arial" w:hAnsi="Arial" w:cs="Arial"/>
          <w:sz w:val="20"/>
          <w:szCs w:val="20"/>
        </w:rPr>
        <w:t>8</w:t>
      </w:r>
      <w:r>
        <w:rPr>
          <w:rFonts w:ascii="Arial" w:hAnsi="Arial" w:cs="Arial"/>
          <w:sz w:val="20"/>
          <w:szCs w:val="20"/>
        </w:rPr>
        <w:t>,</w:t>
      </w:r>
      <w:r w:rsidR="00F71F21">
        <w:rPr>
          <w:rFonts w:ascii="Arial" w:hAnsi="Arial" w:cs="Arial"/>
          <w:sz w:val="20"/>
          <w:szCs w:val="20"/>
        </w:rPr>
        <w:t>09</w:t>
      </w:r>
      <w:r w:rsidRPr="003F24C4">
        <w:rPr>
          <w:rFonts w:ascii="Arial" w:hAnsi="Arial" w:cs="Arial"/>
          <w:sz w:val="20"/>
          <w:szCs w:val="20"/>
        </w:rPr>
        <w:t xml:space="preserve">% </w:t>
      </w:r>
      <w:r>
        <w:rPr>
          <w:rFonts w:ascii="Arial" w:hAnsi="Arial" w:cs="Arial"/>
          <w:sz w:val="20"/>
          <w:szCs w:val="20"/>
        </w:rPr>
        <w:t>no ano</w:t>
      </w:r>
      <w:r w:rsidRPr="003F24C4">
        <w:rPr>
          <w:rFonts w:ascii="Arial" w:hAnsi="Arial" w:cs="Arial"/>
          <w:sz w:val="20"/>
          <w:szCs w:val="20"/>
        </w:rPr>
        <w:t xml:space="preserve">. Na atribuição de performance, </w:t>
      </w:r>
      <w:r>
        <w:rPr>
          <w:rFonts w:ascii="Arial" w:hAnsi="Arial" w:cs="Arial"/>
          <w:sz w:val="20"/>
          <w:szCs w:val="20"/>
        </w:rPr>
        <w:t>pode-se</w:t>
      </w:r>
      <w:r w:rsidRPr="003F24C4">
        <w:rPr>
          <w:rFonts w:ascii="Arial" w:hAnsi="Arial" w:cs="Arial"/>
          <w:sz w:val="20"/>
          <w:szCs w:val="20"/>
        </w:rPr>
        <w:t xml:space="preserve"> desta</w:t>
      </w:r>
      <w:r>
        <w:rPr>
          <w:rFonts w:ascii="Arial" w:hAnsi="Arial" w:cs="Arial"/>
          <w:sz w:val="20"/>
          <w:szCs w:val="20"/>
        </w:rPr>
        <w:t>car</w:t>
      </w:r>
      <w:r w:rsidRPr="003F24C4">
        <w:rPr>
          <w:rFonts w:ascii="Arial" w:hAnsi="Arial" w:cs="Arial"/>
          <w:sz w:val="20"/>
          <w:szCs w:val="20"/>
        </w:rPr>
        <w:t xml:space="preserve"> </w:t>
      </w:r>
      <w:r>
        <w:rPr>
          <w:rFonts w:ascii="Arial" w:hAnsi="Arial" w:cs="Arial"/>
          <w:sz w:val="20"/>
          <w:szCs w:val="20"/>
        </w:rPr>
        <w:t xml:space="preserve">as debêntures de </w:t>
      </w:r>
      <w:r w:rsidR="00372556">
        <w:rPr>
          <w:rFonts w:ascii="Arial" w:hAnsi="Arial" w:cs="Arial"/>
          <w:sz w:val="20"/>
          <w:szCs w:val="20"/>
        </w:rPr>
        <w:t>Sabesp</w:t>
      </w:r>
      <w:r w:rsidR="00C37FE7" w:rsidRPr="003F24C4">
        <w:rPr>
          <w:rFonts w:ascii="Arial" w:hAnsi="Arial" w:cs="Arial"/>
          <w:sz w:val="20"/>
          <w:szCs w:val="20"/>
        </w:rPr>
        <w:t xml:space="preserve"> e </w:t>
      </w:r>
      <w:r w:rsidR="00372556">
        <w:rPr>
          <w:rFonts w:ascii="Arial" w:hAnsi="Arial" w:cs="Arial"/>
          <w:sz w:val="20"/>
          <w:szCs w:val="20"/>
        </w:rPr>
        <w:t>IRB</w:t>
      </w:r>
      <w:r w:rsidR="00C37FE7">
        <w:rPr>
          <w:rFonts w:ascii="Arial" w:hAnsi="Arial" w:cs="Arial"/>
          <w:sz w:val="20"/>
          <w:szCs w:val="20"/>
        </w:rPr>
        <w:t xml:space="preserve">, enquanto as de </w:t>
      </w:r>
      <w:r w:rsidR="00372556">
        <w:rPr>
          <w:rFonts w:ascii="Arial" w:hAnsi="Arial" w:cs="Arial"/>
          <w:sz w:val="20"/>
          <w:szCs w:val="20"/>
        </w:rPr>
        <w:t>Neoenergia</w:t>
      </w:r>
      <w:r w:rsidR="00C37FE7">
        <w:rPr>
          <w:rFonts w:ascii="Arial" w:hAnsi="Arial" w:cs="Arial"/>
          <w:sz w:val="20"/>
          <w:szCs w:val="20"/>
        </w:rPr>
        <w:t xml:space="preserve"> foram as maiores detratoras</w:t>
      </w:r>
      <w:r w:rsidR="00C37FE7" w:rsidRPr="003F24C4">
        <w:rPr>
          <w:rFonts w:ascii="Arial" w:hAnsi="Arial" w:cs="Arial"/>
          <w:sz w:val="20"/>
          <w:szCs w:val="20"/>
        </w:rPr>
        <w:t>.</w:t>
      </w:r>
    </w:p>
    <w:p w14:paraId="51B943F5" w14:textId="0FC0C82B" w:rsidR="00001D8A" w:rsidRDefault="00001D8A" w:rsidP="00001D8A">
      <w:pPr>
        <w:jc w:val="both"/>
        <w:rPr>
          <w:rFonts w:ascii="Arial" w:hAnsi="Arial" w:cs="Arial"/>
          <w:sz w:val="20"/>
          <w:szCs w:val="20"/>
        </w:rPr>
      </w:pPr>
    </w:p>
    <w:p w14:paraId="177C5930" w14:textId="77777777" w:rsidR="008E63FF" w:rsidRDefault="008E63FF" w:rsidP="00841470">
      <w:pPr>
        <w:jc w:val="both"/>
        <w:rPr>
          <w:rFonts w:ascii="Times New Roman" w:hAnsi="Times New Roman" w:cs="Times New Roman"/>
          <w:sz w:val="24"/>
          <w:szCs w:val="24"/>
        </w:rPr>
      </w:pPr>
    </w:p>
    <w:p w14:paraId="40AAB904" w14:textId="77777777" w:rsidR="003F24C4" w:rsidRPr="00064C3C" w:rsidRDefault="003F24C4" w:rsidP="003F24C4">
      <w:pPr>
        <w:shd w:val="clear" w:color="auto" w:fill="FFC000" w:themeFill="accent4"/>
        <w:jc w:val="both"/>
        <w:rPr>
          <w:rFonts w:ascii="Arial" w:hAnsi="Arial" w:cs="Arial"/>
          <w:b/>
          <w:bCs/>
          <w:sz w:val="20"/>
          <w:szCs w:val="20"/>
        </w:rPr>
      </w:pPr>
      <w:r w:rsidRPr="00064C3C">
        <w:rPr>
          <w:rFonts w:ascii="Arial" w:hAnsi="Arial" w:cs="Arial"/>
          <w:b/>
          <w:bCs/>
          <w:sz w:val="20"/>
          <w:szCs w:val="20"/>
        </w:rPr>
        <w:t xml:space="preserve">Fundo Tivio Esplanada </w:t>
      </w:r>
    </w:p>
    <w:p w14:paraId="52C4555F" w14:textId="77777777" w:rsidR="00372556" w:rsidRPr="00372556" w:rsidRDefault="00372556" w:rsidP="00372556">
      <w:pPr>
        <w:jc w:val="both"/>
        <w:rPr>
          <w:rFonts w:ascii="Arial" w:hAnsi="Arial" w:cs="Arial"/>
          <w:sz w:val="20"/>
          <w:szCs w:val="20"/>
        </w:rPr>
      </w:pPr>
      <w:r w:rsidRPr="00372556">
        <w:rPr>
          <w:rFonts w:ascii="Arial" w:hAnsi="Arial" w:cs="Arial"/>
          <w:sz w:val="20"/>
          <w:szCs w:val="20"/>
        </w:rPr>
        <w:t>Em agosto, os títulos de crédito indexados ao IPCA precificados pela ANBIMA apresentaram desempenho positivo, refletindo principalmente o movimento de fechamento da curva real de juros observado ao longo do período. Embora os spreads de crédito tenham registrado abertura média de aproximadamente 5 bps em relação a julho, a redução das taxas reais ao longo da estrutura a termo mais do que compensou esse movimento. Como resultado, as taxas médias dos títulos incentivados precificados pela ANBIMA encerraram o mês com fechamento próximo de 16 bps, proporcionando valorização dos ativos no mercado secundário.</w:t>
      </w:r>
    </w:p>
    <w:p w14:paraId="510C0536" w14:textId="77777777" w:rsidR="00372556" w:rsidRPr="001303A6" w:rsidRDefault="00372556" w:rsidP="00372556">
      <w:pPr>
        <w:jc w:val="both"/>
        <w:rPr>
          <w:rFonts w:ascii="Arial" w:hAnsi="Arial" w:cs="Arial"/>
          <w:sz w:val="20"/>
          <w:szCs w:val="20"/>
        </w:rPr>
      </w:pPr>
      <w:r w:rsidRPr="001303A6">
        <w:rPr>
          <w:rFonts w:ascii="Arial" w:hAnsi="Arial" w:cs="Arial"/>
          <w:sz w:val="20"/>
          <w:szCs w:val="20"/>
        </w:rPr>
        <w:t>No mercado primário, manteve-se o cenário de oferta restrita de ativos, com parcela relevante das emissões sendo absorvida diretamente pelos balanços dos bancos distribuidores. Já no mercado secundário, observou-se um nível de liquidez inferior à média observada ao longo de 2025, contribuindo para um ambiente de maior equilíbrio entre oferta e demanda dos ativos negociados.</w:t>
      </w:r>
    </w:p>
    <w:p w14:paraId="5530D171" w14:textId="77777777" w:rsidR="00372556" w:rsidRPr="001303A6" w:rsidRDefault="00372556" w:rsidP="00372556">
      <w:pPr>
        <w:jc w:val="both"/>
        <w:rPr>
          <w:rFonts w:ascii="Arial" w:hAnsi="Arial" w:cs="Arial"/>
          <w:sz w:val="20"/>
          <w:szCs w:val="20"/>
        </w:rPr>
      </w:pPr>
      <w:r w:rsidRPr="001303A6">
        <w:rPr>
          <w:rFonts w:ascii="Arial" w:hAnsi="Arial" w:cs="Arial"/>
          <w:sz w:val="20"/>
          <w:szCs w:val="20"/>
        </w:rPr>
        <w:t>Sob a ótica da gestão, mantivemos uma postura cautelosa ao longo do período, priorizando o encurtamento da duration da carteira como forma de mitigar a volatilidade e reduzir a sensibilidade do portfólio a eventuais movimentos adversos nos spreads de crédito. Apesar da melhora observada no desempenho dos ativos incentivados no mês, seguimos avaliando que os níveis atuais de prêmio ainda oferecem pouca margem de segurança frente aos riscos inerentes à classe. Dessa forma, permanecemos atentos à evolução das condições de mercado e à dinâmica de precificação dos ativos, buscando identificar oportunidades mais atrativas para aumentar a exposição ao risco de crédito de forma gradual e criteriosa, quando a relação risco-retorno se mostrar mais favorável.</w:t>
      </w:r>
    </w:p>
    <w:p w14:paraId="6AAD535F" w14:textId="6085EB26" w:rsidR="00042D55" w:rsidRDefault="00064C3C" w:rsidP="00042D55">
      <w:pPr>
        <w:jc w:val="both"/>
        <w:rPr>
          <w:rFonts w:ascii="Arial" w:hAnsi="Arial" w:cs="Arial"/>
          <w:sz w:val="20"/>
          <w:szCs w:val="20"/>
        </w:rPr>
      </w:pPr>
      <w:r w:rsidRPr="003F24C4">
        <w:rPr>
          <w:rFonts w:ascii="Arial" w:hAnsi="Arial" w:cs="Arial"/>
          <w:sz w:val="20"/>
          <w:szCs w:val="20"/>
        </w:rPr>
        <w:t xml:space="preserve">Nesse cenário, o </w:t>
      </w:r>
      <w:r w:rsidRPr="00064C3C">
        <w:rPr>
          <w:rFonts w:ascii="Arial" w:hAnsi="Arial" w:cs="Arial"/>
          <w:sz w:val="20"/>
          <w:szCs w:val="20"/>
        </w:rPr>
        <w:t>Tivio Esplanada</w:t>
      </w:r>
      <w:r w:rsidRPr="00064C3C">
        <w:rPr>
          <w:rFonts w:ascii="Arial" w:hAnsi="Arial" w:cs="Arial"/>
          <w:b/>
          <w:bCs/>
          <w:sz w:val="20"/>
          <w:szCs w:val="20"/>
        </w:rPr>
        <w:t xml:space="preserve"> </w:t>
      </w:r>
      <w:r w:rsidRPr="003F24C4">
        <w:rPr>
          <w:rFonts w:ascii="Arial" w:hAnsi="Arial" w:cs="Arial"/>
          <w:sz w:val="20"/>
          <w:szCs w:val="20"/>
        </w:rPr>
        <w:t>apresentou rentabilidade</w:t>
      </w:r>
      <w:r w:rsidR="003B6E28">
        <w:rPr>
          <w:rFonts w:ascii="Arial" w:hAnsi="Arial" w:cs="Arial"/>
          <w:sz w:val="20"/>
          <w:szCs w:val="20"/>
        </w:rPr>
        <w:t>, isenta de imposto de renda,</w:t>
      </w:r>
      <w:r w:rsidRPr="003F24C4">
        <w:rPr>
          <w:rFonts w:ascii="Arial" w:hAnsi="Arial" w:cs="Arial"/>
          <w:sz w:val="20"/>
          <w:szCs w:val="20"/>
        </w:rPr>
        <w:t xml:space="preserve"> de </w:t>
      </w:r>
      <w:r w:rsidR="00F71F21">
        <w:rPr>
          <w:rFonts w:ascii="Arial" w:hAnsi="Arial" w:cs="Arial"/>
          <w:sz w:val="20"/>
          <w:szCs w:val="20"/>
        </w:rPr>
        <w:t>1</w:t>
      </w:r>
      <w:r>
        <w:rPr>
          <w:rFonts w:ascii="Arial" w:hAnsi="Arial" w:cs="Arial"/>
          <w:sz w:val="20"/>
          <w:szCs w:val="20"/>
        </w:rPr>
        <w:t>,</w:t>
      </w:r>
      <w:r w:rsidR="00F71F21">
        <w:rPr>
          <w:rFonts w:ascii="Arial" w:hAnsi="Arial" w:cs="Arial"/>
          <w:sz w:val="20"/>
          <w:szCs w:val="20"/>
        </w:rPr>
        <w:t>28</w:t>
      </w:r>
      <w:r w:rsidRPr="003F24C4">
        <w:rPr>
          <w:rFonts w:ascii="Arial" w:hAnsi="Arial" w:cs="Arial"/>
          <w:sz w:val="20"/>
          <w:szCs w:val="20"/>
        </w:rPr>
        <w:t xml:space="preserve">% no mês, acumulando </w:t>
      </w:r>
      <w:r w:rsidR="00F71F21">
        <w:rPr>
          <w:rFonts w:ascii="Arial" w:hAnsi="Arial" w:cs="Arial"/>
          <w:sz w:val="20"/>
          <w:szCs w:val="20"/>
        </w:rPr>
        <w:t>6</w:t>
      </w:r>
      <w:r>
        <w:rPr>
          <w:rFonts w:ascii="Arial" w:hAnsi="Arial" w:cs="Arial"/>
          <w:sz w:val="20"/>
          <w:szCs w:val="20"/>
        </w:rPr>
        <w:t>,</w:t>
      </w:r>
      <w:r w:rsidR="00F71F21">
        <w:rPr>
          <w:rFonts w:ascii="Arial" w:hAnsi="Arial" w:cs="Arial"/>
          <w:sz w:val="20"/>
          <w:szCs w:val="20"/>
        </w:rPr>
        <w:t>11</w:t>
      </w:r>
      <w:r w:rsidR="00321333" w:rsidRPr="003F24C4">
        <w:rPr>
          <w:rFonts w:ascii="Arial" w:hAnsi="Arial" w:cs="Arial"/>
          <w:sz w:val="20"/>
          <w:szCs w:val="20"/>
        </w:rPr>
        <w:t>% no</w:t>
      </w:r>
      <w:r>
        <w:rPr>
          <w:rFonts w:ascii="Arial" w:hAnsi="Arial" w:cs="Arial"/>
          <w:sz w:val="20"/>
          <w:szCs w:val="20"/>
        </w:rPr>
        <w:t xml:space="preserve"> ano</w:t>
      </w:r>
      <w:r w:rsidRPr="003F24C4">
        <w:rPr>
          <w:rFonts w:ascii="Arial" w:hAnsi="Arial" w:cs="Arial"/>
          <w:sz w:val="20"/>
          <w:szCs w:val="20"/>
        </w:rPr>
        <w:t xml:space="preserve">. </w:t>
      </w:r>
      <w:r w:rsidR="00321333" w:rsidRPr="003F24C4">
        <w:rPr>
          <w:rFonts w:ascii="Arial" w:hAnsi="Arial" w:cs="Arial"/>
          <w:sz w:val="20"/>
          <w:szCs w:val="20"/>
        </w:rPr>
        <w:t xml:space="preserve">Na atribuição de performance, </w:t>
      </w:r>
      <w:r w:rsidR="00321333">
        <w:rPr>
          <w:rFonts w:ascii="Arial" w:hAnsi="Arial" w:cs="Arial"/>
          <w:sz w:val="20"/>
          <w:szCs w:val="20"/>
        </w:rPr>
        <w:t>pode-se</w:t>
      </w:r>
      <w:r w:rsidR="00321333" w:rsidRPr="003F24C4">
        <w:rPr>
          <w:rFonts w:ascii="Arial" w:hAnsi="Arial" w:cs="Arial"/>
          <w:sz w:val="20"/>
          <w:szCs w:val="20"/>
        </w:rPr>
        <w:t xml:space="preserve"> desta</w:t>
      </w:r>
      <w:r w:rsidR="00321333">
        <w:rPr>
          <w:rFonts w:ascii="Arial" w:hAnsi="Arial" w:cs="Arial"/>
          <w:sz w:val="20"/>
          <w:szCs w:val="20"/>
        </w:rPr>
        <w:t>car</w:t>
      </w:r>
      <w:r w:rsidR="00321333" w:rsidRPr="003F24C4">
        <w:rPr>
          <w:rFonts w:ascii="Arial" w:hAnsi="Arial" w:cs="Arial"/>
          <w:sz w:val="20"/>
          <w:szCs w:val="20"/>
        </w:rPr>
        <w:t xml:space="preserve"> </w:t>
      </w:r>
      <w:r w:rsidR="00321333">
        <w:rPr>
          <w:rFonts w:ascii="Arial" w:hAnsi="Arial" w:cs="Arial"/>
          <w:sz w:val="20"/>
          <w:szCs w:val="20"/>
        </w:rPr>
        <w:t xml:space="preserve">as debêntures de </w:t>
      </w:r>
      <w:r w:rsidR="00372556">
        <w:rPr>
          <w:rFonts w:ascii="Arial" w:hAnsi="Arial" w:cs="Arial"/>
          <w:sz w:val="20"/>
          <w:szCs w:val="20"/>
        </w:rPr>
        <w:t>Sabesp</w:t>
      </w:r>
      <w:r w:rsidR="00321333" w:rsidRPr="003F24C4">
        <w:rPr>
          <w:rFonts w:ascii="Arial" w:hAnsi="Arial" w:cs="Arial"/>
          <w:sz w:val="20"/>
          <w:szCs w:val="20"/>
        </w:rPr>
        <w:t xml:space="preserve"> e </w:t>
      </w:r>
      <w:r w:rsidR="00372556">
        <w:rPr>
          <w:rFonts w:ascii="Arial" w:hAnsi="Arial" w:cs="Arial"/>
          <w:sz w:val="20"/>
          <w:szCs w:val="20"/>
        </w:rPr>
        <w:t>Auren</w:t>
      </w:r>
      <w:r w:rsidR="00321333">
        <w:rPr>
          <w:rFonts w:ascii="Arial" w:hAnsi="Arial" w:cs="Arial"/>
          <w:sz w:val="20"/>
          <w:szCs w:val="20"/>
        </w:rPr>
        <w:t xml:space="preserve">, enquanto as de </w:t>
      </w:r>
      <w:r w:rsidR="00372556">
        <w:rPr>
          <w:rFonts w:ascii="Arial" w:hAnsi="Arial" w:cs="Arial"/>
          <w:sz w:val="20"/>
          <w:szCs w:val="20"/>
        </w:rPr>
        <w:t xml:space="preserve">Energisa </w:t>
      </w:r>
      <w:r w:rsidR="00321333">
        <w:rPr>
          <w:rFonts w:ascii="Arial" w:hAnsi="Arial" w:cs="Arial"/>
          <w:sz w:val="20"/>
          <w:szCs w:val="20"/>
        </w:rPr>
        <w:t>foram as maiores detratoras</w:t>
      </w:r>
      <w:r w:rsidR="00321333" w:rsidRPr="003F24C4">
        <w:rPr>
          <w:rFonts w:ascii="Arial" w:hAnsi="Arial" w:cs="Arial"/>
          <w:sz w:val="20"/>
          <w:szCs w:val="20"/>
        </w:rPr>
        <w:t>.</w:t>
      </w:r>
    </w:p>
    <w:p w14:paraId="65A43F7B" w14:textId="669C728D" w:rsidR="00050DFA" w:rsidRPr="00064C3C" w:rsidRDefault="00050DFA" w:rsidP="00064C3C">
      <w:pPr>
        <w:shd w:val="clear" w:color="auto" w:fill="FFC000" w:themeFill="accent4"/>
        <w:jc w:val="both"/>
        <w:rPr>
          <w:rFonts w:ascii="Arial" w:hAnsi="Arial" w:cs="Arial"/>
          <w:b/>
          <w:bCs/>
          <w:sz w:val="20"/>
          <w:szCs w:val="20"/>
        </w:rPr>
      </w:pPr>
      <w:r w:rsidRPr="00064C3C">
        <w:rPr>
          <w:rFonts w:ascii="Arial" w:hAnsi="Arial" w:cs="Arial"/>
          <w:b/>
          <w:bCs/>
          <w:sz w:val="20"/>
          <w:szCs w:val="20"/>
        </w:rPr>
        <w:t>TIVIO Institucional Incentivado CDI</w:t>
      </w:r>
    </w:p>
    <w:p w14:paraId="3FE3F1F7" w14:textId="77777777" w:rsidR="00372556" w:rsidRPr="00372556" w:rsidRDefault="00372556" w:rsidP="00372556">
      <w:pPr>
        <w:jc w:val="both"/>
        <w:rPr>
          <w:rFonts w:ascii="Arial" w:hAnsi="Arial" w:cs="Arial"/>
          <w:sz w:val="20"/>
          <w:szCs w:val="20"/>
        </w:rPr>
      </w:pPr>
      <w:r w:rsidRPr="00372556">
        <w:rPr>
          <w:rFonts w:ascii="Arial" w:hAnsi="Arial" w:cs="Arial"/>
          <w:sz w:val="20"/>
          <w:szCs w:val="20"/>
        </w:rPr>
        <w:t xml:space="preserve">Em agosto, os títulos de crédito indexados ao IPCA precificados pela ANBIMA apresentaram desempenho positivo, refletindo principalmente o movimento de fechamento da curva real de juros observado ao longo do período. Embora os spreads de crédito tenham registrado abertura média de aproximadamente 5 bps em relação a julho, a redução das taxas reais ao longo da </w:t>
      </w:r>
      <w:r w:rsidRPr="00372556">
        <w:rPr>
          <w:rFonts w:ascii="Arial" w:hAnsi="Arial" w:cs="Arial"/>
          <w:sz w:val="20"/>
          <w:szCs w:val="20"/>
        </w:rPr>
        <w:lastRenderedPageBreak/>
        <w:t>estrutura a termo mais do que compensou esse movimento. Como resultado, as taxas médias dos títulos incentivados precificados pela ANBIMA encerraram o mês com fechamento próximo de 16 bps, proporcionando valorização dos ativos no mercado secundário.</w:t>
      </w:r>
    </w:p>
    <w:p w14:paraId="26C65B36" w14:textId="77777777" w:rsidR="00372556" w:rsidRPr="001303A6" w:rsidRDefault="00372556" w:rsidP="00372556">
      <w:pPr>
        <w:jc w:val="both"/>
        <w:rPr>
          <w:rFonts w:ascii="Arial" w:hAnsi="Arial" w:cs="Arial"/>
          <w:sz w:val="20"/>
          <w:szCs w:val="20"/>
        </w:rPr>
      </w:pPr>
      <w:r w:rsidRPr="001303A6">
        <w:rPr>
          <w:rFonts w:ascii="Arial" w:hAnsi="Arial" w:cs="Arial"/>
          <w:sz w:val="20"/>
          <w:szCs w:val="20"/>
        </w:rPr>
        <w:t>No mercado primário, manteve-se o cenário de oferta restrita de ativos, com parcela relevante das emissões sendo absorvida diretamente pelos balanços dos bancos distribuidores. Já no mercado secundário, observou-se um nível de liquidez inferior à média observada ao longo de 2025, contribuindo para um ambiente de maior equilíbrio entre oferta e demanda dos ativos negociados.</w:t>
      </w:r>
    </w:p>
    <w:p w14:paraId="22A5EF3A" w14:textId="77777777" w:rsidR="00372556" w:rsidRPr="001303A6" w:rsidRDefault="00372556" w:rsidP="00372556">
      <w:pPr>
        <w:jc w:val="both"/>
        <w:rPr>
          <w:rFonts w:ascii="Arial" w:hAnsi="Arial" w:cs="Arial"/>
          <w:sz w:val="20"/>
          <w:szCs w:val="20"/>
        </w:rPr>
      </w:pPr>
      <w:r w:rsidRPr="001303A6">
        <w:rPr>
          <w:rFonts w:ascii="Arial" w:hAnsi="Arial" w:cs="Arial"/>
          <w:sz w:val="20"/>
          <w:szCs w:val="20"/>
        </w:rPr>
        <w:t>Sob a ótica da gestão, mantivemos uma postura cautelosa ao longo do período, priorizando o encurtamento da duration da carteira como forma de mitigar a volatilidade e reduzir a sensibilidade do portfólio a eventuais movimentos adversos nos spreads de crédito. Apesar da melhora observada no desempenho dos ativos incentivados no mês, seguimos avaliando que os níveis atuais de prêmio ainda oferecem pouca margem de segurança frente aos riscos inerentes à classe. Dessa forma, permanecemos atentos à evolução das condições de mercado e à dinâmica de precificação dos ativos, buscando identificar oportunidades mais atrativas para aumentar a exposição ao risco de crédito de forma gradual e criteriosa, quando a relação risco-retorno se mostrar mais favorável.</w:t>
      </w:r>
    </w:p>
    <w:p w14:paraId="2468AE8E" w14:textId="2CCD6BD7" w:rsidR="00050DFA" w:rsidRDefault="00064C3C" w:rsidP="00107951">
      <w:pPr>
        <w:jc w:val="both"/>
        <w:rPr>
          <w:rFonts w:ascii="Arial" w:hAnsi="Arial" w:cs="Arial"/>
          <w:sz w:val="20"/>
          <w:szCs w:val="20"/>
        </w:rPr>
      </w:pPr>
      <w:r w:rsidRPr="003F24C4">
        <w:rPr>
          <w:rFonts w:ascii="Arial" w:hAnsi="Arial" w:cs="Arial"/>
          <w:sz w:val="20"/>
          <w:szCs w:val="20"/>
        </w:rPr>
        <w:t xml:space="preserve">Nesse cenário, o </w:t>
      </w:r>
      <w:r w:rsidRPr="00064C3C">
        <w:rPr>
          <w:rFonts w:ascii="Arial" w:hAnsi="Arial" w:cs="Arial"/>
          <w:sz w:val="20"/>
          <w:szCs w:val="20"/>
        </w:rPr>
        <w:t>Institucional Incentivado CDI</w:t>
      </w:r>
      <w:r w:rsidRPr="003F24C4">
        <w:rPr>
          <w:rFonts w:ascii="Arial" w:hAnsi="Arial" w:cs="Arial"/>
          <w:sz w:val="20"/>
          <w:szCs w:val="20"/>
        </w:rPr>
        <w:t xml:space="preserve"> apresentou rentabilidade</w:t>
      </w:r>
      <w:r w:rsidR="003B6E28">
        <w:rPr>
          <w:rFonts w:ascii="Arial" w:hAnsi="Arial" w:cs="Arial"/>
          <w:sz w:val="20"/>
          <w:szCs w:val="20"/>
        </w:rPr>
        <w:t>, isenta de imposto de renda,</w:t>
      </w:r>
      <w:r w:rsidRPr="003F24C4">
        <w:rPr>
          <w:rFonts w:ascii="Arial" w:hAnsi="Arial" w:cs="Arial"/>
          <w:sz w:val="20"/>
          <w:szCs w:val="20"/>
        </w:rPr>
        <w:t xml:space="preserve"> de </w:t>
      </w:r>
      <w:r w:rsidR="00F71F21">
        <w:rPr>
          <w:rFonts w:ascii="Arial" w:hAnsi="Arial" w:cs="Arial"/>
          <w:sz w:val="20"/>
          <w:szCs w:val="20"/>
        </w:rPr>
        <w:t>0</w:t>
      </w:r>
      <w:r w:rsidR="00024019">
        <w:rPr>
          <w:rFonts w:ascii="Arial" w:hAnsi="Arial" w:cs="Arial"/>
          <w:sz w:val="20"/>
          <w:szCs w:val="20"/>
        </w:rPr>
        <w:t>,</w:t>
      </w:r>
      <w:r w:rsidR="00F71F21">
        <w:rPr>
          <w:rFonts w:ascii="Arial" w:hAnsi="Arial" w:cs="Arial"/>
          <w:sz w:val="20"/>
          <w:szCs w:val="20"/>
        </w:rPr>
        <w:t>97</w:t>
      </w:r>
      <w:r w:rsidRPr="003F24C4">
        <w:rPr>
          <w:rFonts w:ascii="Arial" w:hAnsi="Arial" w:cs="Arial"/>
          <w:sz w:val="20"/>
          <w:szCs w:val="20"/>
        </w:rPr>
        <w:t>% no mês (</w:t>
      </w:r>
      <w:r w:rsidR="00F71F21">
        <w:rPr>
          <w:rFonts w:ascii="Arial" w:hAnsi="Arial" w:cs="Arial"/>
          <w:sz w:val="20"/>
          <w:szCs w:val="20"/>
        </w:rPr>
        <w:t>89</w:t>
      </w:r>
      <w:r w:rsidRPr="003F24C4">
        <w:rPr>
          <w:rFonts w:ascii="Arial" w:hAnsi="Arial" w:cs="Arial"/>
          <w:sz w:val="20"/>
          <w:szCs w:val="20"/>
        </w:rPr>
        <w:t xml:space="preserve">% do CDI), acumulando </w:t>
      </w:r>
      <w:r w:rsidR="00F71F21">
        <w:rPr>
          <w:rFonts w:ascii="Arial" w:hAnsi="Arial" w:cs="Arial"/>
          <w:sz w:val="20"/>
          <w:szCs w:val="20"/>
        </w:rPr>
        <w:t>8</w:t>
      </w:r>
      <w:r>
        <w:rPr>
          <w:rFonts w:ascii="Arial" w:hAnsi="Arial" w:cs="Arial"/>
          <w:sz w:val="20"/>
          <w:szCs w:val="20"/>
        </w:rPr>
        <w:t>,</w:t>
      </w:r>
      <w:r w:rsidR="00F71F21">
        <w:rPr>
          <w:rFonts w:ascii="Arial" w:hAnsi="Arial" w:cs="Arial"/>
          <w:sz w:val="20"/>
          <w:szCs w:val="20"/>
        </w:rPr>
        <w:t>80</w:t>
      </w:r>
      <w:r w:rsidRPr="003F24C4">
        <w:rPr>
          <w:rFonts w:ascii="Arial" w:hAnsi="Arial" w:cs="Arial"/>
          <w:sz w:val="20"/>
          <w:szCs w:val="20"/>
        </w:rPr>
        <w:t>% (</w:t>
      </w:r>
      <w:r w:rsidR="00F71F21">
        <w:rPr>
          <w:rFonts w:ascii="Arial" w:hAnsi="Arial" w:cs="Arial"/>
          <w:sz w:val="20"/>
          <w:szCs w:val="20"/>
        </w:rPr>
        <w:t>94</w:t>
      </w:r>
      <w:r w:rsidRPr="003F24C4">
        <w:rPr>
          <w:rFonts w:ascii="Arial" w:hAnsi="Arial" w:cs="Arial"/>
          <w:sz w:val="20"/>
          <w:szCs w:val="20"/>
        </w:rPr>
        <w:t xml:space="preserve">% do CDI) </w:t>
      </w:r>
      <w:r>
        <w:rPr>
          <w:rFonts w:ascii="Arial" w:hAnsi="Arial" w:cs="Arial"/>
          <w:sz w:val="20"/>
          <w:szCs w:val="20"/>
        </w:rPr>
        <w:t>no ano</w:t>
      </w:r>
      <w:r w:rsidRPr="003F24C4">
        <w:rPr>
          <w:rFonts w:ascii="Arial" w:hAnsi="Arial" w:cs="Arial"/>
          <w:sz w:val="20"/>
          <w:szCs w:val="20"/>
        </w:rPr>
        <w:t xml:space="preserve">. </w:t>
      </w:r>
      <w:r w:rsidR="00321333" w:rsidRPr="003F24C4">
        <w:rPr>
          <w:rFonts w:ascii="Arial" w:hAnsi="Arial" w:cs="Arial"/>
          <w:sz w:val="20"/>
          <w:szCs w:val="20"/>
        </w:rPr>
        <w:t xml:space="preserve">Na atribuição de performance, </w:t>
      </w:r>
      <w:r w:rsidR="00321333">
        <w:rPr>
          <w:rFonts w:ascii="Arial" w:hAnsi="Arial" w:cs="Arial"/>
          <w:sz w:val="20"/>
          <w:szCs w:val="20"/>
        </w:rPr>
        <w:t>pode-se</w:t>
      </w:r>
      <w:r w:rsidR="00321333" w:rsidRPr="003F24C4">
        <w:rPr>
          <w:rFonts w:ascii="Arial" w:hAnsi="Arial" w:cs="Arial"/>
          <w:sz w:val="20"/>
          <w:szCs w:val="20"/>
        </w:rPr>
        <w:t xml:space="preserve"> desta</w:t>
      </w:r>
      <w:r w:rsidR="00321333">
        <w:rPr>
          <w:rFonts w:ascii="Arial" w:hAnsi="Arial" w:cs="Arial"/>
          <w:sz w:val="20"/>
          <w:szCs w:val="20"/>
        </w:rPr>
        <w:t>car</w:t>
      </w:r>
      <w:r w:rsidR="00321333" w:rsidRPr="003F24C4">
        <w:rPr>
          <w:rFonts w:ascii="Arial" w:hAnsi="Arial" w:cs="Arial"/>
          <w:sz w:val="20"/>
          <w:szCs w:val="20"/>
        </w:rPr>
        <w:t xml:space="preserve"> </w:t>
      </w:r>
      <w:r w:rsidR="00321333">
        <w:rPr>
          <w:rFonts w:ascii="Arial" w:hAnsi="Arial" w:cs="Arial"/>
          <w:sz w:val="20"/>
          <w:szCs w:val="20"/>
        </w:rPr>
        <w:t xml:space="preserve">as debêntures de </w:t>
      </w:r>
      <w:r w:rsidR="00372556">
        <w:rPr>
          <w:rFonts w:ascii="Arial" w:hAnsi="Arial" w:cs="Arial"/>
          <w:sz w:val="20"/>
          <w:szCs w:val="20"/>
        </w:rPr>
        <w:t>Copel</w:t>
      </w:r>
      <w:r w:rsidR="00321333" w:rsidRPr="003F24C4">
        <w:rPr>
          <w:rFonts w:ascii="Arial" w:hAnsi="Arial" w:cs="Arial"/>
          <w:sz w:val="20"/>
          <w:szCs w:val="20"/>
        </w:rPr>
        <w:t xml:space="preserve"> e </w:t>
      </w:r>
      <w:r w:rsidR="00372556">
        <w:rPr>
          <w:rFonts w:ascii="Arial" w:hAnsi="Arial" w:cs="Arial"/>
          <w:sz w:val="20"/>
          <w:szCs w:val="20"/>
        </w:rPr>
        <w:t>CPFL</w:t>
      </w:r>
      <w:r w:rsidR="00321333">
        <w:rPr>
          <w:rFonts w:ascii="Arial" w:hAnsi="Arial" w:cs="Arial"/>
          <w:sz w:val="20"/>
          <w:szCs w:val="20"/>
        </w:rPr>
        <w:t xml:space="preserve">, enquanto as de </w:t>
      </w:r>
      <w:r w:rsidR="00372556">
        <w:rPr>
          <w:rFonts w:ascii="Arial" w:hAnsi="Arial" w:cs="Arial"/>
          <w:sz w:val="20"/>
          <w:szCs w:val="20"/>
        </w:rPr>
        <w:t>Energisa</w:t>
      </w:r>
      <w:r w:rsidR="00321333">
        <w:rPr>
          <w:rFonts w:ascii="Arial" w:hAnsi="Arial" w:cs="Arial"/>
          <w:sz w:val="20"/>
          <w:szCs w:val="20"/>
        </w:rPr>
        <w:t xml:space="preserve"> foram as maiores detratoras</w:t>
      </w:r>
      <w:r w:rsidR="00321333" w:rsidRPr="003F24C4">
        <w:rPr>
          <w:rFonts w:ascii="Arial" w:hAnsi="Arial" w:cs="Arial"/>
          <w:sz w:val="20"/>
          <w:szCs w:val="20"/>
        </w:rPr>
        <w:t>.</w:t>
      </w:r>
    </w:p>
    <w:p w14:paraId="37A5670E" w14:textId="77777777" w:rsidR="00050DFA" w:rsidRDefault="00050DFA" w:rsidP="00050DFA">
      <w:pPr>
        <w:jc w:val="both"/>
        <w:rPr>
          <w:rFonts w:ascii="Arial" w:hAnsi="Arial" w:cs="Arial"/>
          <w:sz w:val="20"/>
          <w:szCs w:val="20"/>
        </w:rPr>
      </w:pPr>
    </w:p>
    <w:p w14:paraId="0A96443F"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 xml:space="preserve">O Tivio ALT 90 registrou rentabilidade de X% no mês, equivalente a X% do CDI no período. Desde o início da estratégia, o fundo acumula retorno de X%, frente a X% do CDI, o que corresponde a um desempenho anualizado de XXX% do CDI. </w:t>
      </w:r>
      <w:r w:rsidRPr="00507C99">
        <w:rPr>
          <w:rFonts w:ascii="Segoe UI" w:eastAsia="Times New Roman" w:hAnsi="Segoe UI" w:cs="Segoe UI"/>
          <w:b/>
          <w:bCs/>
          <w:sz w:val="21"/>
          <w:szCs w:val="21"/>
          <w:lang w:eastAsia="pt-BR"/>
        </w:rPr>
        <w:t>(AQUI COLOCAR POR EXEMPLO 122% do CDI)</w:t>
      </w:r>
    </w:p>
    <w:p w14:paraId="41C4D00C"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 </w:t>
      </w:r>
    </w:p>
    <w:p w14:paraId="366E3ECF"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 xml:space="preserve">Em setembro, iniciamos posição em uma cota sênior de FIDC com exposição ao setor de telecomunicações. A tese de investimento está fundamentada na atuação consolidada do originador, que possui mais de 23 anos de experiência no segmento, bem como nas características estruturais do mercado em que atua, marcado por elevada pulverização, baixa bancarização, receitas recorrentes e oferta restrita de crédito. Adicionalmente, a operação apresenta carteira de recebíveis amplamente diversificada entre cedentes e sacados, além de mecanismos de proteção que incluem </w:t>
      </w:r>
      <w:proofErr w:type="spellStart"/>
      <w:r w:rsidRPr="00507C99">
        <w:rPr>
          <w:rFonts w:ascii="Segoe UI" w:eastAsia="Times New Roman" w:hAnsi="Segoe UI" w:cs="Segoe UI"/>
          <w:sz w:val="21"/>
          <w:szCs w:val="21"/>
          <w:lang w:eastAsia="pt-BR"/>
        </w:rPr>
        <w:t>overcollateral</w:t>
      </w:r>
      <w:proofErr w:type="spellEnd"/>
      <w:r w:rsidRPr="00507C99">
        <w:rPr>
          <w:rFonts w:ascii="Segoe UI" w:eastAsia="Times New Roman" w:hAnsi="Segoe UI" w:cs="Segoe UI"/>
          <w:sz w:val="21"/>
          <w:szCs w:val="21"/>
          <w:lang w:eastAsia="pt-BR"/>
        </w:rPr>
        <w:t xml:space="preserve"> mínimo de 25% sobre os ativos cedidos ao fundo.</w:t>
      </w:r>
    </w:p>
    <w:p w14:paraId="3E6C4951"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 </w:t>
      </w:r>
    </w:p>
    <w:p w14:paraId="5B457227"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A nova alocação reforça nossa estratégia de buscar operações com perfil defensivo, adequada relação entre risco e retorno e estruturas robustas de mitigação de risco. Seguimos priorizando ativos com forte alinhamento de interesses entre as partes envolvidas, qualidade na originação dos créditos e mecanismos de proteção compatíveis com o cenário de mercado. Mantemos uma postura seletiva na alocação de capital, avaliando continuamente oportunidades que possam contribuir para a geração consistente de retornos ajustados ao risco para os cotistas.</w:t>
      </w:r>
    </w:p>
    <w:p w14:paraId="1239382F" w14:textId="77777777" w:rsidR="00507C99" w:rsidRPr="00507C99" w:rsidRDefault="00507C99" w:rsidP="00507C99">
      <w:pPr>
        <w:spacing w:after="0"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 </w:t>
      </w:r>
    </w:p>
    <w:p w14:paraId="382D19C6"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lastRenderedPageBreak/>
        <w:t xml:space="preserve">O Tivio ALT 180 registrou rentabilidade de X% no mês, equivalente a X% do CDI no período. Desde o início da estratégia, o fundo acumula retorno de X%, frente a X% do CDI, o que corresponde a um desempenho anualizado de XXX% do CDI. </w:t>
      </w:r>
      <w:r w:rsidRPr="00507C99">
        <w:rPr>
          <w:rFonts w:ascii="Segoe UI" w:eastAsia="Times New Roman" w:hAnsi="Segoe UI" w:cs="Segoe UI"/>
          <w:b/>
          <w:bCs/>
          <w:sz w:val="21"/>
          <w:szCs w:val="21"/>
          <w:lang w:eastAsia="pt-BR"/>
        </w:rPr>
        <w:t>(AQUI COLOCAR POR EXEMPLO 122% do CDI)</w:t>
      </w:r>
    </w:p>
    <w:p w14:paraId="35428B56"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 </w:t>
      </w:r>
    </w:p>
    <w:p w14:paraId="54E823E1"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 xml:space="preserve">Em setembro, iniciamos posição em uma cota sênior de FIDC com exposição ao setor de telecomunicações. A tese de investimento está fundamentada na atuação consolidada do originador, que possui mais de 23 anos de experiência no segmento, bem como nas características estruturais do mercado em que atua, marcado por elevada pulverização, baixa bancarização, receitas recorrentes e oferta restrita de crédito. Adicionalmente, a operação apresenta carteira de recebíveis amplamente diversificada entre cedentes e sacados, além de mecanismos de proteção que incluem </w:t>
      </w:r>
      <w:proofErr w:type="spellStart"/>
      <w:r w:rsidRPr="00507C99">
        <w:rPr>
          <w:rFonts w:ascii="Segoe UI" w:eastAsia="Times New Roman" w:hAnsi="Segoe UI" w:cs="Segoe UI"/>
          <w:sz w:val="21"/>
          <w:szCs w:val="21"/>
          <w:lang w:eastAsia="pt-BR"/>
        </w:rPr>
        <w:t>overcollateral</w:t>
      </w:r>
      <w:proofErr w:type="spellEnd"/>
      <w:r w:rsidRPr="00507C99">
        <w:rPr>
          <w:rFonts w:ascii="Segoe UI" w:eastAsia="Times New Roman" w:hAnsi="Segoe UI" w:cs="Segoe UI"/>
          <w:sz w:val="21"/>
          <w:szCs w:val="21"/>
          <w:lang w:eastAsia="pt-BR"/>
        </w:rPr>
        <w:t xml:space="preserve"> mínimo de 25% sobre os ativos cedidos ao fundo.</w:t>
      </w:r>
    </w:p>
    <w:p w14:paraId="68B54D12"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 </w:t>
      </w:r>
    </w:p>
    <w:p w14:paraId="0E5A9FAE" w14:textId="77777777" w:rsidR="00507C99" w:rsidRPr="00507C99" w:rsidRDefault="00507C99" w:rsidP="00507C99">
      <w:pPr>
        <w:spacing w:before="100" w:beforeAutospacing="1" w:after="100" w:afterAutospacing="1" w:line="240" w:lineRule="auto"/>
        <w:rPr>
          <w:rFonts w:ascii="Segoe UI" w:eastAsia="Times New Roman" w:hAnsi="Segoe UI" w:cs="Segoe UI"/>
          <w:sz w:val="21"/>
          <w:szCs w:val="21"/>
          <w:lang w:eastAsia="pt-BR"/>
        </w:rPr>
      </w:pPr>
      <w:r w:rsidRPr="00507C99">
        <w:rPr>
          <w:rFonts w:ascii="Segoe UI" w:eastAsia="Times New Roman" w:hAnsi="Segoe UI" w:cs="Segoe UI"/>
          <w:sz w:val="21"/>
          <w:szCs w:val="21"/>
          <w:lang w:eastAsia="pt-BR"/>
        </w:rPr>
        <w:t>A nova alocação reforça nossa estratégia de buscar operações com perfil defensivo, adequada relação entre risco e retorno e estruturas robustas de mitigação de risco. Seguimos priorizando ativos com forte alinhamento de interesses entre as partes envolvidas, qualidade na originação dos créditos e mecanismos de proteção compatíveis com o cenário de mercado. Mantemos uma postura seletiva na alocação de capital, avaliando continuamente oportunidades que possam contribuir para a geração consistente de retornos ajustados ao risco para os cotistas.</w:t>
      </w:r>
    </w:p>
    <w:p w14:paraId="45AC9E84" w14:textId="77777777" w:rsidR="00507C99" w:rsidRPr="00507C99" w:rsidRDefault="00507C99" w:rsidP="00507C99">
      <w:pPr>
        <w:spacing w:after="0" w:line="240" w:lineRule="auto"/>
        <w:rPr>
          <w:rFonts w:ascii="Times New Roman" w:eastAsia="Times New Roman" w:hAnsi="Times New Roman" w:cs="Times New Roman"/>
          <w:sz w:val="24"/>
          <w:szCs w:val="24"/>
          <w:lang w:eastAsia="pt-BR"/>
        </w:rPr>
      </w:pPr>
      <w:r w:rsidRPr="00507C99">
        <w:rPr>
          <w:rFonts w:ascii="Segoe UI" w:eastAsia="Times New Roman" w:hAnsi="Segoe UI" w:cs="Segoe UI"/>
          <w:sz w:val="21"/>
          <w:szCs w:val="21"/>
          <w:lang w:eastAsia="pt-BR"/>
        </w:rPr>
        <w:t> </w:t>
      </w:r>
    </w:p>
    <w:p w14:paraId="785E96EB" w14:textId="210E8375" w:rsidR="00001D8A" w:rsidRDefault="00507C99" w:rsidP="00001D8A">
      <w:pPr>
        <w:jc w:val="both"/>
        <w:rPr>
          <w:rFonts w:ascii="Arial" w:hAnsi="Arial" w:cs="Arial"/>
          <w:sz w:val="20"/>
          <w:szCs w:val="20"/>
        </w:rPr>
      </w:pPr>
      <w:r>
        <w:rPr>
          <w:rFonts w:ascii="Arial" w:hAnsi="Arial" w:cs="Arial"/>
          <w:sz w:val="20"/>
          <w:szCs w:val="20"/>
        </w:rPr>
        <w:t>ALT LIGHT</w:t>
      </w:r>
    </w:p>
    <w:p w14:paraId="5A453645" w14:textId="77777777" w:rsidR="00507C99" w:rsidRDefault="00507C99" w:rsidP="00001D8A">
      <w:pPr>
        <w:jc w:val="both"/>
        <w:rPr>
          <w:rFonts w:ascii="Arial" w:hAnsi="Arial" w:cs="Arial"/>
          <w:sz w:val="20"/>
          <w:szCs w:val="20"/>
        </w:rPr>
      </w:pPr>
    </w:p>
    <w:p w14:paraId="3277E6DE" w14:textId="77777777" w:rsidR="00507C99" w:rsidRDefault="00507C99" w:rsidP="00507C99">
      <w:pPr>
        <w:pStyle w:val="NormalWeb"/>
      </w:pPr>
      <w:r>
        <w:t>Em julho, o mercado de crédito líquido seguiu marcado pela compressão dos spreads, em um ambiente de menor liquidez no mercado secundário. Ativos corporativos de maior qualidade apresentaram maior resistência ao fechamento de prêmios, enquanto emissores mais cíclicos registraram demanda favorecida por níveis de spread relativamente mais atrativos. No segmento bancário, destacou-se a forte procura por Letras Financeiras Subordinadas e perpétuas de bancos S1 e S2, impulsionando a compressão dos prêmios desses instrumentos. Os títulos corporativos indexados ao CDI encerraram o mês com spread médio de CDI+1,20% a.a., ante CDI+1,24% em junho. A indústria de crédito voltou a registrar captação líquida positiva após cinco meses de saídas. Somado ao menor volume de emissões primárias, ao elevado volume de vencimentos e amortizações e ao forte carrego dos fundos atrelados ao CDI, esse cenário sustentou a demanda por crédito e levou os prêmios de mercado para níveis próximos das mínimas históricas.</w:t>
      </w:r>
    </w:p>
    <w:p w14:paraId="3CE0A00D" w14:textId="77777777" w:rsidR="00507C99" w:rsidRDefault="00507C99" w:rsidP="00507C99">
      <w:pPr>
        <w:pStyle w:val="NormalWeb"/>
      </w:pPr>
      <w:r>
        <w:t> </w:t>
      </w:r>
    </w:p>
    <w:p w14:paraId="1068DE8E" w14:textId="77777777" w:rsidR="00507C99" w:rsidRDefault="00507C99" w:rsidP="00507C99">
      <w:pPr>
        <w:pStyle w:val="NormalWeb"/>
      </w:pPr>
      <w:r>
        <w:t xml:space="preserve">Já na parcela de crédito estruturado, durante o mês, não realizamos movimentações relevantes na carteira, apenas ajustes pontuais relacionados à gestão ordinária do portfólio. A estratégia permaneceu concentrada em ativos com fundamentos sólidos, </w:t>
      </w:r>
      <w:r>
        <w:lastRenderedPageBreak/>
        <w:t>preservando ampla diversificação entre setores e diferentes teses de investimento. Continuamos priorizando estruturas de crédito com adequada proteção jurídica, níveis satisfatórios de garantias e alinhamento entre risco e retorno.</w:t>
      </w:r>
    </w:p>
    <w:p w14:paraId="222E9A2C" w14:textId="77777777" w:rsidR="00507C99" w:rsidRDefault="00507C99" w:rsidP="00507C99">
      <w:pPr>
        <w:pStyle w:val="NormalWeb"/>
      </w:pPr>
      <w:r>
        <w:t> </w:t>
      </w:r>
    </w:p>
    <w:p w14:paraId="70DD4061" w14:textId="77777777" w:rsidR="00507C99" w:rsidRDefault="00507C99" w:rsidP="00507C99">
      <w:pPr>
        <w:pStyle w:val="NormalWeb"/>
      </w:pPr>
      <w:r>
        <w:t xml:space="preserve">O cenário atual segue oferecendo oportunidades atrativas no mercado de crédito estruturado, em especial diante do elevado patamar das taxas de juros. Nesse contexto, mantemos uma postura seletiva na alocação de recursos e níveis adequados de liquidez, de forma a aproveitar potenciais oportunidades sem </w:t>
      </w:r>
      <w:proofErr w:type="gramStart"/>
      <w:r>
        <w:t>abrir mão da</w:t>
      </w:r>
      <w:proofErr w:type="gramEnd"/>
      <w:r>
        <w:t xml:space="preserve"> disciplina na análise e monitoramento dos riscos da carteira.</w:t>
      </w:r>
    </w:p>
    <w:p w14:paraId="01EEE509" w14:textId="77777777" w:rsidR="00F85C9E" w:rsidRDefault="00F85C9E" w:rsidP="00841470">
      <w:pPr>
        <w:jc w:val="both"/>
        <w:rPr>
          <w:rFonts w:ascii="Times New Roman" w:hAnsi="Times New Roman" w:cs="Times New Roman"/>
          <w:sz w:val="24"/>
          <w:szCs w:val="24"/>
        </w:rPr>
      </w:pPr>
    </w:p>
    <w:p w14:paraId="543A7E86" w14:textId="77777777" w:rsidR="00075D0D" w:rsidRDefault="00075D0D" w:rsidP="00252C89">
      <w:pPr>
        <w:jc w:val="both"/>
        <w:rPr>
          <w:rFonts w:ascii="Calibri" w:hAnsi="Calibri" w:cs="Calibri"/>
          <w:b/>
          <w:bCs/>
          <w:color w:val="000000"/>
          <w:sz w:val="28"/>
          <w:szCs w:val="28"/>
          <w:shd w:val="clear" w:color="auto" w:fill="FFFFFF"/>
        </w:rPr>
      </w:pPr>
    </w:p>
    <w:sectPr w:rsidR="00075D0D">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BDCCB" w14:textId="77777777" w:rsidR="00780ED0" w:rsidRDefault="00780ED0" w:rsidP="00F848DA">
      <w:pPr>
        <w:spacing w:after="0" w:line="240" w:lineRule="auto"/>
      </w:pPr>
      <w:r>
        <w:separator/>
      </w:r>
    </w:p>
  </w:endnote>
  <w:endnote w:type="continuationSeparator" w:id="0">
    <w:p w14:paraId="6AC6CA5D" w14:textId="77777777" w:rsidR="00780ED0" w:rsidRDefault="00780ED0" w:rsidP="00F84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D35F" w14:textId="40816C3F" w:rsidR="00F848DA" w:rsidRDefault="00F848DA">
    <w:pPr>
      <w:pStyle w:val="Footer"/>
    </w:pPr>
    <w:r>
      <w:rPr>
        <w:noProof/>
      </w:rPr>
      <mc:AlternateContent>
        <mc:Choice Requires="wps">
          <w:drawing>
            <wp:anchor distT="0" distB="0" distL="114300" distR="114300" simplePos="0" relativeHeight="251664384" behindDoc="0" locked="0" layoutInCell="0" allowOverlap="1" wp14:anchorId="402273FF" wp14:editId="24C67B32">
              <wp:simplePos x="0" y="0"/>
              <wp:positionH relativeFrom="page">
                <wp:posOffset>0</wp:posOffset>
              </wp:positionH>
              <wp:positionV relativeFrom="page">
                <wp:posOffset>10228580</wp:posOffset>
              </wp:positionV>
              <wp:extent cx="7560310" cy="273050"/>
              <wp:effectExtent l="0" t="0" r="0" b="12700"/>
              <wp:wrapNone/>
              <wp:docPr id="13" name="MSIPCM2383455fa097bc2e84b3f96e" descr="{&quot;HashCode&quot;:850766601,&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953D6F9" w14:textId="4D4A265A" w:rsidR="00F848DA" w:rsidRPr="00DB4DED" w:rsidRDefault="00DB4DED" w:rsidP="00DB4DED">
                          <w:pPr>
                            <w:spacing w:after="0"/>
                            <w:rPr>
                              <w:rFonts w:ascii="Calibri" w:hAnsi="Calibri" w:cs="Calibri"/>
                              <w:color w:val="000000"/>
                              <w:sz w:val="20"/>
                            </w:rPr>
                          </w:pPr>
                          <w:r w:rsidRPr="00DB4DED">
                            <w:rPr>
                              <w:rFonts w:ascii="Calibri" w:hAnsi="Calibri" w:cs="Calibri"/>
                              <w:color w:val="000000"/>
                              <w:sz w:val="20"/>
                            </w:rPr>
                            <w:t>INTERNO</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02273FF" id="_x0000_t202" coordsize="21600,21600" o:spt="202" path="m,l,21600r21600,l21600,xe">
              <v:stroke joinstyle="miter"/>
              <v:path gradientshapeok="t" o:connecttype="rect"/>
            </v:shapetype>
            <v:shape id="MSIPCM2383455fa097bc2e84b3f96e" o:spid="_x0000_s1027" type="#_x0000_t202" alt="{&quot;HashCode&quot;:850766601,&quot;Height&quot;:841.0,&quot;Width&quot;:595.0,&quot;Placement&quot;:&quot;Footer&quot;,&quot;Index&quot;:&quot;Primary&quot;,&quot;Section&quot;:1,&quot;Top&quot;:0.0,&quot;Left&quot;:0.0}" style="position:absolute;margin-left:0;margin-top:805.4pt;width:595.3pt;height:21.5pt;z-index:25166438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" o:allowincell="f" filled="f" stroked="f" strokeweight=".5pt">
              <v:textbox inset="20pt,0,,0">
                <w:txbxContent>
                  <w:p w14:paraId="5953D6F9" w14:textId="4D4A265A" w:rsidR="00F848DA" w:rsidRPr="00DB4DED" w:rsidRDefault="00DB4DED" w:rsidP="00DB4DED">
                    <w:pPr>
                      <w:spacing w:after="0"/>
                      <w:rPr>
                        <w:rFonts w:ascii="Calibri" w:hAnsi="Calibri" w:cs="Calibri"/>
                        <w:color w:val="000000"/>
                        <w:sz w:val="20"/>
                      </w:rPr>
                    </w:pPr>
                    <w:r w:rsidRPr="00DB4DED">
                      <w:rPr>
                        <w:rFonts w:ascii="Calibri" w:hAnsi="Calibri" w:cs="Calibri"/>
                        <w:color w:val="000000"/>
                        <w:sz w:val="20"/>
                      </w:rPr>
                      <w:t>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FD33" w14:textId="77777777" w:rsidR="00780ED0" w:rsidRDefault="00780ED0" w:rsidP="00F848DA">
      <w:pPr>
        <w:spacing w:after="0" w:line="240" w:lineRule="auto"/>
      </w:pPr>
      <w:r>
        <w:separator/>
      </w:r>
    </w:p>
  </w:footnote>
  <w:footnote w:type="continuationSeparator" w:id="0">
    <w:p w14:paraId="7B59B05D" w14:textId="77777777" w:rsidR="00780ED0" w:rsidRDefault="00780ED0" w:rsidP="00F84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D9C6" w14:textId="77266684" w:rsidR="00F848DA" w:rsidRDefault="00F848DA">
    <w:pPr>
      <w:pStyle w:val="Header"/>
    </w:pPr>
    <w:r>
      <w:rPr>
        <w:noProof/>
      </w:rPr>
      <mc:AlternateContent>
        <mc:Choice Requires="wps">
          <w:drawing>
            <wp:anchor distT="0" distB="0" distL="114300" distR="114300" simplePos="0" relativeHeight="251663360" behindDoc="0" locked="0" layoutInCell="0" allowOverlap="1" wp14:anchorId="1737C5F9" wp14:editId="5E5B19E2">
              <wp:simplePos x="0" y="0"/>
              <wp:positionH relativeFrom="page">
                <wp:posOffset>0</wp:posOffset>
              </wp:positionH>
              <wp:positionV relativeFrom="page">
                <wp:posOffset>190500</wp:posOffset>
              </wp:positionV>
              <wp:extent cx="7560310" cy="273050"/>
              <wp:effectExtent l="0" t="0" r="0" b="12700"/>
              <wp:wrapNone/>
              <wp:docPr id="12" name="MSIPCMf5744fc3bab9a4ce84e57ba7" descr="{&quot;HashCode&quot;:82662903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0AAD5DB" w14:textId="6123D592" w:rsidR="00F848DA" w:rsidRPr="00DB4DED" w:rsidRDefault="00DB4DED" w:rsidP="00DB4DED">
                          <w:pPr>
                            <w:spacing w:after="0"/>
                            <w:rPr>
                              <w:rFonts w:ascii="Calibri" w:hAnsi="Calibri" w:cs="Calibri"/>
                              <w:color w:val="000000"/>
                              <w:sz w:val="20"/>
                            </w:rPr>
                          </w:pPr>
                          <w:r w:rsidRPr="00DB4DED">
                            <w:rPr>
                              <w:rFonts w:ascii="Calibri" w:hAnsi="Calibri" w:cs="Calibri"/>
                              <w:color w:val="000000"/>
                              <w:sz w:val="20"/>
                            </w:rPr>
                            <w:t>INTERNO</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737C5F9" id="_x0000_t202" coordsize="21600,21600" o:spt="202" path="m,l,21600r21600,l21600,xe">
              <v:stroke joinstyle="miter"/>
              <v:path gradientshapeok="t" o:connecttype="rect"/>
            </v:shapetype>
            <v:shape id="MSIPCMf5744fc3bab9a4ce84e57ba7" o:spid="_x0000_s1026" type="#_x0000_t202" alt="{&quot;HashCode&quot;:826629032,&quot;Height&quot;:841.0,&quot;Width&quot;:595.0,&quot;Placement&quot;:&quot;Header&quot;,&quot;Index&quot;:&quot;Primary&quot;,&quot;Section&quot;:1,&quot;Top&quot;:0.0,&quot;Left&quot;:0.0}" style="position:absolute;margin-left:0;margin-top:15pt;width:595.3pt;height:21.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o:allowincell="f" filled="f" stroked="f" strokeweight=".5pt">
              <v:textbox inset="20pt,0,,0">
                <w:txbxContent>
                  <w:p w14:paraId="10AAD5DB" w14:textId="6123D592" w:rsidR="00F848DA" w:rsidRPr="00DB4DED" w:rsidRDefault="00DB4DED" w:rsidP="00DB4DED">
                    <w:pPr>
                      <w:spacing w:after="0"/>
                      <w:rPr>
                        <w:rFonts w:ascii="Calibri" w:hAnsi="Calibri" w:cs="Calibri"/>
                        <w:color w:val="000000"/>
                        <w:sz w:val="20"/>
                      </w:rPr>
                    </w:pPr>
                    <w:r w:rsidRPr="00DB4DED">
                      <w:rPr>
                        <w:rFonts w:ascii="Calibri" w:hAnsi="Calibri" w:cs="Calibri"/>
                        <w:color w:val="000000"/>
                        <w:sz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92ABD"/>
    <w:multiLevelType w:val="hybridMultilevel"/>
    <w:tmpl w:val="8A8467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36330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56"/>
    <w:rsid w:val="00001D8A"/>
    <w:rsid w:val="0000267F"/>
    <w:rsid w:val="000037E6"/>
    <w:rsid w:val="00006056"/>
    <w:rsid w:val="000101E5"/>
    <w:rsid w:val="00013C1F"/>
    <w:rsid w:val="0001467E"/>
    <w:rsid w:val="00021DC2"/>
    <w:rsid w:val="00024019"/>
    <w:rsid w:val="00031E2C"/>
    <w:rsid w:val="00042D55"/>
    <w:rsid w:val="00044AF2"/>
    <w:rsid w:val="00045F6B"/>
    <w:rsid w:val="00046050"/>
    <w:rsid w:val="00047B3F"/>
    <w:rsid w:val="00050DFA"/>
    <w:rsid w:val="000624EE"/>
    <w:rsid w:val="00064AC5"/>
    <w:rsid w:val="00064C3C"/>
    <w:rsid w:val="0007013B"/>
    <w:rsid w:val="000738B2"/>
    <w:rsid w:val="00075D0D"/>
    <w:rsid w:val="000777A5"/>
    <w:rsid w:val="0008100B"/>
    <w:rsid w:val="000864B0"/>
    <w:rsid w:val="0009280D"/>
    <w:rsid w:val="00094CA8"/>
    <w:rsid w:val="000962EC"/>
    <w:rsid w:val="000A32C6"/>
    <w:rsid w:val="000A3455"/>
    <w:rsid w:val="000A612A"/>
    <w:rsid w:val="000B024A"/>
    <w:rsid w:val="000B0FED"/>
    <w:rsid w:val="000B6902"/>
    <w:rsid w:val="000C37C7"/>
    <w:rsid w:val="000C3901"/>
    <w:rsid w:val="000C675A"/>
    <w:rsid w:val="000D0FB4"/>
    <w:rsid w:val="000D1867"/>
    <w:rsid w:val="000D38FF"/>
    <w:rsid w:val="000D5936"/>
    <w:rsid w:val="000E688F"/>
    <w:rsid w:val="000F2E25"/>
    <w:rsid w:val="000F3D6B"/>
    <w:rsid w:val="000F747D"/>
    <w:rsid w:val="00100451"/>
    <w:rsid w:val="00106A77"/>
    <w:rsid w:val="001077C3"/>
    <w:rsid w:val="00107951"/>
    <w:rsid w:val="0012219E"/>
    <w:rsid w:val="001303A6"/>
    <w:rsid w:val="00130AF4"/>
    <w:rsid w:val="00135ABE"/>
    <w:rsid w:val="00135CED"/>
    <w:rsid w:val="00144161"/>
    <w:rsid w:val="001441CF"/>
    <w:rsid w:val="00144ACE"/>
    <w:rsid w:val="00145239"/>
    <w:rsid w:val="001513C7"/>
    <w:rsid w:val="00157F6E"/>
    <w:rsid w:val="00161466"/>
    <w:rsid w:val="00164E94"/>
    <w:rsid w:val="001661AF"/>
    <w:rsid w:val="00170B65"/>
    <w:rsid w:val="001739DC"/>
    <w:rsid w:val="00175C7B"/>
    <w:rsid w:val="001763A0"/>
    <w:rsid w:val="00182640"/>
    <w:rsid w:val="001978D8"/>
    <w:rsid w:val="001A0674"/>
    <w:rsid w:val="001A0BCF"/>
    <w:rsid w:val="001A0F0E"/>
    <w:rsid w:val="001A5197"/>
    <w:rsid w:val="001A7D89"/>
    <w:rsid w:val="001B1A84"/>
    <w:rsid w:val="001B279A"/>
    <w:rsid w:val="001C6D78"/>
    <w:rsid w:val="001D040F"/>
    <w:rsid w:val="001D38D5"/>
    <w:rsid w:val="001E0682"/>
    <w:rsid w:val="001E59BC"/>
    <w:rsid w:val="001F18D9"/>
    <w:rsid w:val="00212462"/>
    <w:rsid w:val="00213030"/>
    <w:rsid w:val="00216683"/>
    <w:rsid w:val="00231752"/>
    <w:rsid w:val="00231D3A"/>
    <w:rsid w:val="002327B4"/>
    <w:rsid w:val="002341CE"/>
    <w:rsid w:val="002365EA"/>
    <w:rsid w:val="002423B0"/>
    <w:rsid w:val="00245E35"/>
    <w:rsid w:val="00252C89"/>
    <w:rsid w:val="00260B02"/>
    <w:rsid w:val="00263046"/>
    <w:rsid w:val="00271129"/>
    <w:rsid w:val="00281E4A"/>
    <w:rsid w:val="00283A7A"/>
    <w:rsid w:val="00283E9F"/>
    <w:rsid w:val="00286C1E"/>
    <w:rsid w:val="002903ED"/>
    <w:rsid w:val="00294B23"/>
    <w:rsid w:val="002A3C75"/>
    <w:rsid w:val="002B3EE1"/>
    <w:rsid w:val="002B4648"/>
    <w:rsid w:val="002C1075"/>
    <w:rsid w:val="002C590A"/>
    <w:rsid w:val="002C5C99"/>
    <w:rsid w:val="002C5DD5"/>
    <w:rsid w:val="002D1B6E"/>
    <w:rsid w:val="002D2FE4"/>
    <w:rsid w:val="002E09EC"/>
    <w:rsid w:val="002E187E"/>
    <w:rsid w:val="002E1B2F"/>
    <w:rsid w:val="002E34C5"/>
    <w:rsid w:val="002E7E88"/>
    <w:rsid w:val="002F20F3"/>
    <w:rsid w:val="002F33B6"/>
    <w:rsid w:val="002F347B"/>
    <w:rsid w:val="002F51F4"/>
    <w:rsid w:val="002F5635"/>
    <w:rsid w:val="002F68E2"/>
    <w:rsid w:val="003026B5"/>
    <w:rsid w:val="003062A1"/>
    <w:rsid w:val="00311355"/>
    <w:rsid w:val="00314A55"/>
    <w:rsid w:val="00314E3D"/>
    <w:rsid w:val="00321333"/>
    <w:rsid w:val="00325DAC"/>
    <w:rsid w:val="0033448D"/>
    <w:rsid w:val="00340F7E"/>
    <w:rsid w:val="00346A7A"/>
    <w:rsid w:val="003514AC"/>
    <w:rsid w:val="003540B0"/>
    <w:rsid w:val="00356E7F"/>
    <w:rsid w:val="00356EB3"/>
    <w:rsid w:val="003658CF"/>
    <w:rsid w:val="00372556"/>
    <w:rsid w:val="00382048"/>
    <w:rsid w:val="00385B75"/>
    <w:rsid w:val="00392076"/>
    <w:rsid w:val="003A0891"/>
    <w:rsid w:val="003A0AD0"/>
    <w:rsid w:val="003A3588"/>
    <w:rsid w:val="003A7F15"/>
    <w:rsid w:val="003B15DC"/>
    <w:rsid w:val="003B34FD"/>
    <w:rsid w:val="003B36B0"/>
    <w:rsid w:val="003B51D9"/>
    <w:rsid w:val="003B6E28"/>
    <w:rsid w:val="003C2C27"/>
    <w:rsid w:val="003D60A2"/>
    <w:rsid w:val="003D6712"/>
    <w:rsid w:val="003E58A0"/>
    <w:rsid w:val="003E6425"/>
    <w:rsid w:val="003F24C4"/>
    <w:rsid w:val="003F7E78"/>
    <w:rsid w:val="00414568"/>
    <w:rsid w:val="00420BD6"/>
    <w:rsid w:val="004225CF"/>
    <w:rsid w:val="004246BF"/>
    <w:rsid w:val="00424DC7"/>
    <w:rsid w:val="0043160D"/>
    <w:rsid w:val="00431CC9"/>
    <w:rsid w:val="00433453"/>
    <w:rsid w:val="0043674B"/>
    <w:rsid w:val="004406C5"/>
    <w:rsid w:val="00442308"/>
    <w:rsid w:val="0044472D"/>
    <w:rsid w:val="00450388"/>
    <w:rsid w:val="00453149"/>
    <w:rsid w:val="00461608"/>
    <w:rsid w:val="004668DA"/>
    <w:rsid w:val="00466C69"/>
    <w:rsid w:val="00471778"/>
    <w:rsid w:val="00472D2A"/>
    <w:rsid w:val="00473157"/>
    <w:rsid w:val="00474842"/>
    <w:rsid w:val="0048749F"/>
    <w:rsid w:val="004A0470"/>
    <w:rsid w:val="004A230D"/>
    <w:rsid w:val="004A4B56"/>
    <w:rsid w:val="004B271E"/>
    <w:rsid w:val="004B276C"/>
    <w:rsid w:val="004B77AD"/>
    <w:rsid w:val="004B7971"/>
    <w:rsid w:val="004C615C"/>
    <w:rsid w:val="004D0418"/>
    <w:rsid w:val="004D1AC0"/>
    <w:rsid w:val="004D295A"/>
    <w:rsid w:val="004E20F1"/>
    <w:rsid w:val="004E372D"/>
    <w:rsid w:val="004E4E2A"/>
    <w:rsid w:val="004E5648"/>
    <w:rsid w:val="004F04D9"/>
    <w:rsid w:val="004F455A"/>
    <w:rsid w:val="00501F01"/>
    <w:rsid w:val="00504988"/>
    <w:rsid w:val="005077FC"/>
    <w:rsid w:val="00507C99"/>
    <w:rsid w:val="005116DD"/>
    <w:rsid w:val="0051374E"/>
    <w:rsid w:val="00514869"/>
    <w:rsid w:val="005207ED"/>
    <w:rsid w:val="0052333F"/>
    <w:rsid w:val="00524246"/>
    <w:rsid w:val="00524B73"/>
    <w:rsid w:val="005275E6"/>
    <w:rsid w:val="005328B2"/>
    <w:rsid w:val="0054096A"/>
    <w:rsid w:val="005534C5"/>
    <w:rsid w:val="005551D8"/>
    <w:rsid w:val="005608E1"/>
    <w:rsid w:val="005633F4"/>
    <w:rsid w:val="00570463"/>
    <w:rsid w:val="00571495"/>
    <w:rsid w:val="005847E8"/>
    <w:rsid w:val="005913E0"/>
    <w:rsid w:val="00591EC6"/>
    <w:rsid w:val="00593AE0"/>
    <w:rsid w:val="00595099"/>
    <w:rsid w:val="005A55B3"/>
    <w:rsid w:val="005B0AF0"/>
    <w:rsid w:val="005B2D65"/>
    <w:rsid w:val="005B3854"/>
    <w:rsid w:val="005C1896"/>
    <w:rsid w:val="005C4748"/>
    <w:rsid w:val="005C5446"/>
    <w:rsid w:val="005D3565"/>
    <w:rsid w:val="005D4876"/>
    <w:rsid w:val="005D5351"/>
    <w:rsid w:val="005E5735"/>
    <w:rsid w:val="005F2C4A"/>
    <w:rsid w:val="005F499D"/>
    <w:rsid w:val="005F4D45"/>
    <w:rsid w:val="005F6160"/>
    <w:rsid w:val="006000F9"/>
    <w:rsid w:val="006027F6"/>
    <w:rsid w:val="00602A9A"/>
    <w:rsid w:val="00603F47"/>
    <w:rsid w:val="006109F6"/>
    <w:rsid w:val="00610EF3"/>
    <w:rsid w:val="006147D5"/>
    <w:rsid w:val="00621A47"/>
    <w:rsid w:val="00623B1E"/>
    <w:rsid w:val="00631688"/>
    <w:rsid w:val="00637F74"/>
    <w:rsid w:val="00640E8F"/>
    <w:rsid w:val="00643333"/>
    <w:rsid w:val="00646C92"/>
    <w:rsid w:val="00651CDB"/>
    <w:rsid w:val="00655D84"/>
    <w:rsid w:val="00663756"/>
    <w:rsid w:val="00665D53"/>
    <w:rsid w:val="006668CD"/>
    <w:rsid w:val="00667A17"/>
    <w:rsid w:val="006707AC"/>
    <w:rsid w:val="006719D8"/>
    <w:rsid w:val="006738EC"/>
    <w:rsid w:val="006751E2"/>
    <w:rsid w:val="006767DA"/>
    <w:rsid w:val="0067717D"/>
    <w:rsid w:val="006772CD"/>
    <w:rsid w:val="00681DD1"/>
    <w:rsid w:val="006839E8"/>
    <w:rsid w:val="00684F42"/>
    <w:rsid w:val="006876D3"/>
    <w:rsid w:val="006916A8"/>
    <w:rsid w:val="006926A8"/>
    <w:rsid w:val="00693F40"/>
    <w:rsid w:val="00697E02"/>
    <w:rsid w:val="006B2E4A"/>
    <w:rsid w:val="006B78C4"/>
    <w:rsid w:val="006D0DE3"/>
    <w:rsid w:val="006F062C"/>
    <w:rsid w:val="00703415"/>
    <w:rsid w:val="00705893"/>
    <w:rsid w:val="00706E57"/>
    <w:rsid w:val="00707F06"/>
    <w:rsid w:val="0071039F"/>
    <w:rsid w:val="0073019E"/>
    <w:rsid w:val="00732499"/>
    <w:rsid w:val="00740343"/>
    <w:rsid w:val="007443AF"/>
    <w:rsid w:val="0074441E"/>
    <w:rsid w:val="007445E5"/>
    <w:rsid w:val="00746685"/>
    <w:rsid w:val="00754E79"/>
    <w:rsid w:val="007550AC"/>
    <w:rsid w:val="0075510E"/>
    <w:rsid w:val="00757054"/>
    <w:rsid w:val="00757688"/>
    <w:rsid w:val="00761BFD"/>
    <w:rsid w:val="00764B21"/>
    <w:rsid w:val="007676A2"/>
    <w:rsid w:val="0077127F"/>
    <w:rsid w:val="00775153"/>
    <w:rsid w:val="007767A9"/>
    <w:rsid w:val="00780C6E"/>
    <w:rsid w:val="00780ED0"/>
    <w:rsid w:val="007A28E3"/>
    <w:rsid w:val="007A40D0"/>
    <w:rsid w:val="007A553C"/>
    <w:rsid w:val="007A742A"/>
    <w:rsid w:val="007B12DC"/>
    <w:rsid w:val="007C5D2A"/>
    <w:rsid w:val="007D662A"/>
    <w:rsid w:val="007E15B8"/>
    <w:rsid w:val="007F085F"/>
    <w:rsid w:val="007F64C7"/>
    <w:rsid w:val="00801DA5"/>
    <w:rsid w:val="00817328"/>
    <w:rsid w:val="008326B7"/>
    <w:rsid w:val="00840F3C"/>
    <w:rsid w:val="00841470"/>
    <w:rsid w:val="00841D73"/>
    <w:rsid w:val="00846170"/>
    <w:rsid w:val="00851223"/>
    <w:rsid w:val="0085129B"/>
    <w:rsid w:val="00861E01"/>
    <w:rsid w:val="00862E70"/>
    <w:rsid w:val="008643FB"/>
    <w:rsid w:val="00864CD1"/>
    <w:rsid w:val="00870C37"/>
    <w:rsid w:val="00873DC4"/>
    <w:rsid w:val="008771D8"/>
    <w:rsid w:val="008818AE"/>
    <w:rsid w:val="008866FF"/>
    <w:rsid w:val="008872B1"/>
    <w:rsid w:val="00890434"/>
    <w:rsid w:val="00894788"/>
    <w:rsid w:val="00895524"/>
    <w:rsid w:val="008967CE"/>
    <w:rsid w:val="00896B9A"/>
    <w:rsid w:val="008A00A3"/>
    <w:rsid w:val="008A06B6"/>
    <w:rsid w:val="008A225D"/>
    <w:rsid w:val="008A312F"/>
    <w:rsid w:val="008A5BF4"/>
    <w:rsid w:val="008B29DD"/>
    <w:rsid w:val="008B6DDC"/>
    <w:rsid w:val="008C3055"/>
    <w:rsid w:val="008C3092"/>
    <w:rsid w:val="008C31C2"/>
    <w:rsid w:val="008C7D50"/>
    <w:rsid w:val="008D6956"/>
    <w:rsid w:val="008D77D5"/>
    <w:rsid w:val="008E3D4D"/>
    <w:rsid w:val="008E4300"/>
    <w:rsid w:val="008E63FF"/>
    <w:rsid w:val="008F4C2A"/>
    <w:rsid w:val="008F6F23"/>
    <w:rsid w:val="008F79C5"/>
    <w:rsid w:val="0090559E"/>
    <w:rsid w:val="009146F0"/>
    <w:rsid w:val="0091683C"/>
    <w:rsid w:val="00924141"/>
    <w:rsid w:val="0092544A"/>
    <w:rsid w:val="009254C5"/>
    <w:rsid w:val="00925FDC"/>
    <w:rsid w:val="0092780E"/>
    <w:rsid w:val="00933908"/>
    <w:rsid w:val="0094129C"/>
    <w:rsid w:val="00954B09"/>
    <w:rsid w:val="00955CDC"/>
    <w:rsid w:val="009570F8"/>
    <w:rsid w:val="00965507"/>
    <w:rsid w:val="009776C0"/>
    <w:rsid w:val="00981074"/>
    <w:rsid w:val="00985905"/>
    <w:rsid w:val="0099309F"/>
    <w:rsid w:val="0099446F"/>
    <w:rsid w:val="00994CE1"/>
    <w:rsid w:val="009A1C8E"/>
    <w:rsid w:val="009A3C2E"/>
    <w:rsid w:val="009A542F"/>
    <w:rsid w:val="009B5028"/>
    <w:rsid w:val="009B5B5F"/>
    <w:rsid w:val="009B7424"/>
    <w:rsid w:val="009B7B1C"/>
    <w:rsid w:val="009C7A51"/>
    <w:rsid w:val="009D3771"/>
    <w:rsid w:val="009F345C"/>
    <w:rsid w:val="009F7325"/>
    <w:rsid w:val="009F7421"/>
    <w:rsid w:val="00A00465"/>
    <w:rsid w:val="00A05861"/>
    <w:rsid w:val="00A061BB"/>
    <w:rsid w:val="00A11E27"/>
    <w:rsid w:val="00A15DF8"/>
    <w:rsid w:val="00A171CC"/>
    <w:rsid w:val="00A23DB1"/>
    <w:rsid w:val="00A3143D"/>
    <w:rsid w:val="00A37CE6"/>
    <w:rsid w:val="00A40072"/>
    <w:rsid w:val="00A42846"/>
    <w:rsid w:val="00A4288D"/>
    <w:rsid w:val="00A4305D"/>
    <w:rsid w:val="00A440F0"/>
    <w:rsid w:val="00A50028"/>
    <w:rsid w:val="00A50DFA"/>
    <w:rsid w:val="00A52E2C"/>
    <w:rsid w:val="00A566E1"/>
    <w:rsid w:val="00A567F7"/>
    <w:rsid w:val="00A60741"/>
    <w:rsid w:val="00A62BB9"/>
    <w:rsid w:val="00A70147"/>
    <w:rsid w:val="00A7313E"/>
    <w:rsid w:val="00A74815"/>
    <w:rsid w:val="00A831AB"/>
    <w:rsid w:val="00A86D42"/>
    <w:rsid w:val="00A86DF3"/>
    <w:rsid w:val="00A87169"/>
    <w:rsid w:val="00A8783A"/>
    <w:rsid w:val="00A913FD"/>
    <w:rsid w:val="00A92193"/>
    <w:rsid w:val="00AA1D21"/>
    <w:rsid w:val="00AA1E72"/>
    <w:rsid w:val="00AA6C9D"/>
    <w:rsid w:val="00AB45C1"/>
    <w:rsid w:val="00AC27F3"/>
    <w:rsid w:val="00AC304A"/>
    <w:rsid w:val="00AD571A"/>
    <w:rsid w:val="00AD5BA7"/>
    <w:rsid w:val="00AD5ED2"/>
    <w:rsid w:val="00AD6DF7"/>
    <w:rsid w:val="00AD74D3"/>
    <w:rsid w:val="00AF0A23"/>
    <w:rsid w:val="00AF1E13"/>
    <w:rsid w:val="00B0171B"/>
    <w:rsid w:val="00B0684A"/>
    <w:rsid w:val="00B104B0"/>
    <w:rsid w:val="00B138DA"/>
    <w:rsid w:val="00B238FC"/>
    <w:rsid w:val="00B25759"/>
    <w:rsid w:val="00B26591"/>
    <w:rsid w:val="00B272D6"/>
    <w:rsid w:val="00B2756F"/>
    <w:rsid w:val="00B32001"/>
    <w:rsid w:val="00B40AEE"/>
    <w:rsid w:val="00B436B3"/>
    <w:rsid w:val="00B509D3"/>
    <w:rsid w:val="00B50EA5"/>
    <w:rsid w:val="00B52521"/>
    <w:rsid w:val="00B5657A"/>
    <w:rsid w:val="00B57FB1"/>
    <w:rsid w:val="00B6194B"/>
    <w:rsid w:val="00B73B23"/>
    <w:rsid w:val="00B86CF5"/>
    <w:rsid w:val="00B910AF"/>
    <w:rsid w:val="00B91EFE"/>
    <w:rsid w:val="00B91F01"/>
    <w:rsid w:val="00B93858"/>
    <w:rsid w:val="00B9450B"/>
    <w:rsid w:val="00BB0B98"/>
    <w:rsid w:val="00BB14F8"/>
    <w:rsid w:val="00BB6C78"/>
    <w:rsid w:val="00BB6F8E"/>
    <w:rsid w:val="00BB7AC1"/>
    <w:rsid w:val="00BC3184"/>
    <w:rsid w:val="00BD15CE"/>
    <w:rsid w:val="00BD2A54"/>
    <w:rsid w:val="00BF313D"/>
    <w:rsid w:val="00C009AB"/>
    <w:rsid w:val="00C1121C"/>
    <w:rsid w:val="00C1504C"/>
    <w:rsid w:val="00C154AE"/>
    <w:rsid w:val="00C21B3E"/>
    <w:rsid w:val="00C228AE"/>
    <w:rsid w:val="00C2439D"/>
    <w:rsid w:val="00C27E79"/>
    <w:rsid w:val="00C326B6"/>
    <w:rsid w:val="00C37FE7"/>
    <w:rsid w:val="00C434C9"/>
    <w:rsid w:val="00C43BD8"/>
    <w:rsid w:val="00C56E63"/>
    <w:rsid w:val="00C60F80"/>
    <w:rsid w:val="00C629A6"/>
    <w:rsid w:val="00C65643"/>
    <w:rsid w:val="00C659AB"/>
    <w:rsid w:val="00C65B6A"/>
    <w:rsid w:val="00C73246"/>
    <w:rsid w:val="00C75584"/>
    <w:rsid w:val="00C760B2"/>
    <w:rsid w:val="00C8295B"/>
    <w:rsid w:val="00C867C1"/>
    <w:rsid w:val="00C90E9F"/>
    <w:rsid w:val="00C95E20"/>
    <w:rsid w:val="00C97C31"/>
    <w:rsid w:val="00CA24BB"/>
    <w:rsid w:val="00CA4AB6"/>
    <w:rsid w:val="00CA7416"/>
    <w:rsid w:val="00CB0BFC"/>
    <w:rsid w:val="00CB4F07"/>
    <w:rsid w:val="00CC0539"/>
    <w:rsid w:val="00CC2650"/>
    <w:rsid w:val="00CE31AE"/>
    <w:rsid w:val="00CE3C98"/>
    <w:rsid w:val="00CE472F"/>
    <w:rsid w:val="00CE55D1"/>
    <w:rsid w:val="00CF6A7D"/>
    <w:rsid w:val="00D0324F"/>
    <w:rsid w:val="00D13F27"/>
    <w:rsid w:val="00D14D30"/>
    <w:rsid w:val="00D255B3"/>
    <w:rsid w:val="00D32EC5"/>
    <w:rsid w:val="00D330BD"/>
    <w:rsid w:val="00D35530"/>
    <w:rsid w:val="00D35E7C"/>
    <w:rsid w:val="00D437C6"/>
    <w:rsid w:val="00D53526"/>
    <w:rsid w:val="00D571A8"/>
    <w:rsid w:val="00D64AA3"/>
    <w:rsid w:val="00D726E4"/>
    <w:rsid w:val="00D742E1"/>
    <w:rsid w:val="00D75452"/>
    <w:rsid w:val="00D77A4B"/>
    <w:rsid w:val="00D856EA"/>
    <w:rsid w:val="00D87A16"/>
    <w:rsid w:val="00D87A79"/>
    <w:rsid w:val="00D942F1"/>
    <w:rsid w:val="00D9531B"/>
    <w:rsid w:val="00DA5ED6"/>
    <w:rsid w:val="00DB1295"/>
    <w:rsid w:val="00DB1987"/>
    <w:rsid w:val="00DB3E37"/>
    <w:rsid w:val="00DB4DED"/>
    <w:rsid w:val="00DC18A9"/>
    <w:rsid w:val="00DC1B21"/>
    <w:rsid w:val="00DC497A"/>
    <w:rsid w:val="00DD291F"/>
    <w:rsid w:val="00DD3AB1"/>
    <w:rsid w:val="00DE13D2"/>
    <w:rsid w:val="00DE2C8D"/>
    <w:rsid w:val="00DE3FA2"/>
    <w:rsid w:val="00DE6D87"/>
    <w:rsid w:val="00DE71CA"/>
    <w:rsid w:val="00DF3164"/>
    <w:rsid w:val="00DF3C47"/>
    <w:rsid w:val="00E066E3"/>
    <w:rsid w:val="00E07707"/>
    <w:rsid w:val="00E112F2"/>
    <w:rsid w:val="00E22C8C"/>
    <w:rsid w:val="00E307B2"/>
    <w:rsid w:val="00E32F67"/>
    <w:rsid w:val="00E35664"/>
    <w:rsid w:val="00E430E9"/>
    <w:rsid w:val="00E552A6"/>
    <w:rsid w:val="00E560B3"/>
    <w:rsid w:val="00E67FC1"/>
    <w:rsid w:val="00E77AEC"/>
    <w:rsid w:val="00E86A79"/>
    <w:rsid w:val="00E86B5C"/>
    <w:rsid w:val="00EA27B8"/>
    <w:rsid w:val="00EA47BB"/>
    <w:rsid w:val="00EA58CE"/>
    <w:rsid w:val="00EA7F6B"/>
    <w:rsid w:val="00EB2791"/>
    <w:rsid w:val="00EB3ADD"/>
    <w:rsid w:val="00EB3F3A"/>
    <w:rsid w:val="00EB4CE2"/>
    <w:rsid w:val="00EB7055"/>
    <w:rsid w:val="00EB7B2C"/>
    <w:rsid w:val="00EC2529"/>
    <w:rsid w:val="00EC6D0A"/>
    <w:rsid w:val="00ED7E56"/>
    <w:rsid w:val="00EE0299"/>
    <w:rsid w:val="00EE31CC"/>
    <w:rsid w:val="00EE6A7D"/>
    <w:rsid w:val="00EF27F9"/>
    <w:rsid w:val="00EF7156"/>
    <w:rsid w:val="00F06427"/>
    <w:rsid w:val="00F17035"/>
    <w:rsid w:val="00F315F8"/>
    <w:rsid w:val="00F444FF"/>
    <w:rsid w:val="00F469C1"/>
    <w:rsid w:val="00F477FC"/>
    <w:rsid w:val="00F53D2D"/>
    <w:rsid w:val="00F563F0"/>
    <w:rsid w:val="00F569E8"/>
    <w:rsid w:val="00F6051C"/>
    <w:rsid w:val="00F61375"/>
    <w:rsid w:val="00F70B62"/>
    <w:rsid w:val="00F71F21"/>
    <w:rsid w:val="00F7452C"/>
    <w:rsid w:val="00F812F2"/>
    <w:rsid w:val="00F81604"/>
    <w:rsid w:val="00F848DA"/>
    <w:rsid w:val="00F85C9E"/>
    <w:rsid w:val="00F91BF0"/>
    <w:rsid w:val="00FA1180"/>
    <w:rsid w:val="00FA7246"/>
    <w:rsid w:val="00FA73D4"/>
    <w:rsid w:val="00FB754D"/>
    <w:rsid w:val="00FC302B"/>
    <w:rsid w:val="00FC352A"/>
    <w:rsid w:val="00FC662A"/>
    <w:rsid w:val="00FC669E"/>
    <w:rsid w:val="00FE3965"/>
    <w:rsid w:val="00FE4079"/>
    <w:rsid w:val="00FE7903"/>
    <w:rsid w:val="00FF25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5B329"/>
  <w15:chartTrackingRefBased/>
  <w15:docId w15:val="{27D976F5-1D42-4060-B273-9F186D9B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5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7156"/>
    <w:pPr>
      <w:ind w:left="720"/>
      <w:contextualSpacing/>
    </w:pPr>
  </w:style>
  <w:style w:type="paragraph" w:styleId="Header">
    <w:name w:val="header"/>
    <w:basedOn w:val="Normal"/>
    <w:link w:val="HeaderChar"/>
    <w:uiPriority w:val="99"/>
    <w:unhideWhenUsed/>
    <w:rsid w:val="00F848DA"/>
    <w:pPr>
      <w:tabs>
        <w:tab w:val="center" w:pos="4252"/>
        <w:tab w:val="right" w:pos="8504"/>
      </w:tabs>
      <w:spacing w:after="0" w:line="240" w:lineRule="auto"/>
    </w:pPr>
  </w:style>
  <w:style w:type="character" w:customStyle="1" w:styleId="HeaderChar">
    <w:name w:val="Header Char"/>
    <w:basedOn w:val="DefaultParagraphFont"/>
    <w:link w:val="Header"/>
    <w:uiPriority w:val="99"/>
    <w:rsid w:val="00F848DA"/>
  </w:style>
  <w:style w:type="paragraph" w:styleId="Footer">
    <w:name w:val="footer"/>
    <w:basedOn w:val="Normal"/>
    <w:link w:val="FooterChar"/>
    <w:uiPriority w:val="99"/>
    <w:unhideWhenUsed/>
    <w:rsid w:val="00F848DA"/>
    <w:pPr>
      <w:tabs>
        <w:tab w:val="center" w:pos="4252"/>
        <w:tab w:val="right" w:pos="8504"/>
      </w:tabs>
      <w:spacing w:after="0" w:line="240" w:lineRule="auto"/>
    </w:pPr>
  </w:style>
  <w:style w:type="character" w:customStyle="1" w:styleId="FooterChar">
    <w:name w:val="Footer Char"/>
    <w:basedOn w:val="DefaultParagraphFont"/>
    <w:link w:val="Footer"/>
    <w:uiPriority w:val="99"/>
    <w:rsid w:val="00F848DA"/>
  </w:style>
  <w:style w:type="paragraph" w:styleId="NormalWeb">
    <w:name w:val="Normal (Web)"/>
    <w:basedOn w:val="Normal"/>
    <w:uiPriority w:val="99"/>
    <w:unhideWhenUsed/>
    <w:rsid w:val="005207E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vision">
    <w:name w:val="Revision"/>
    <w:hidden/>
    <w:uiPriority w:val="99"/>
    <w:semiHidden/>
    <w:rsid w:val="00F812F2"/>
    <w:pPr>
      <w:spacing w:after="0" w:line="240" w:lineRule="auto"/>
    </w:pPr>
  </w:style>
  <w:style w:type="character" w:customStyle="1" w:styleId="ui-provider">
    <w:name w:val="ui-provider"/>
    <w:basedOn w:val="DefaultParagraphFont"/>
    <w:rsid w:val="005C1896"/>
  </w:style>
  <w:style w:type="character" w:styleId="Strong">
    <w:name w:val="Strong"/>
    <w:basedOn w:val="DefaultParagraphFont"/>
    <w:uiPriority w:val="22"/>
    <w:qFormat/>
    <w:rsid w:val="00507C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3445">
      <w:bodyDiv w:val="1"/>
      <w:marLeft w:val="0"/>
      <w:marRight w:val="0"/>
      <w:marTop w:val="0"/>
      <w:marBottom w:val="0"/>
      <w:divBdr>
        <w:top w:val="none" w:sz="0" w:space="0" w:color="auto"/>
        <w:left w:val="none" w:sz="0" w:space="0" w:color="auto"/>
        <w:bottom w:val="none" w:sz="0" w:space="0" w:color="auto"/>
        <w:right w:val="none" w:sz="0" w:space="0" w:color="auto"/>
      </w:divBdr>
    </w:div>
    <w:div w:id="103967190">
      <w:bodyDiv w:val="1"/>
      <w:marLeft w:val="0"/>
      <w:marRight w:val="0"/>
      <w:marTop w:val="0"/>
      <w:marBottom w:val="0"/>
      <w:divBdr>
        <w:top w:val="none" w:sz="0" w:space="0" w:color="auto"/>
        <w:left w:val="none" w:sz="0" w:space="0" w:color="auto"/>
        <w:bottom w:val="none" w:sz="0" w:space="0" w:color="auto"/>
        <w:right w:val="none" w:sz="0" w:space="0" w:color="auto"/>
      </w:divBdr>
    </w:div>
    <w:div w:id="111173578">
      <w:bodyDiv w:val="1"/>
      <w:marLeft w:val="0"/>
      <w:marRight w:val="0"/>
      <w:marTop w:val="0"/>
      <w:marBottom w:val="0"/>
      <w:divBdr>
        <w:top w:val="none" w:sz="0" w:space="0" w:color="auto"/>
        <w:left w:val="none" w:sz="0" w:space="0" w:color="auto"/>
        <w:bottom w:val="none" w:sz="0" w:space="0" w:color="auto"/>
        <w:right w:val="none" w:sz="0" w:space="0" w:color="auto"/>
      </w:divBdr>
    </w:div>
    <w:div w:id="270357149">
      <w:bodyDiv w:val="1"/>
      <w:marLeft w:val="0"/>
      <w:marRight w:val="0"/>
      <w:marTop w:val="0"/>
      <w:marBottom w:val="0"/>
      <w:divBdr>
        <w:top w:val="none" w:sz="0" w:space="0" w:color="auto"/>
        <w:left w:val="none" w:sz="0" w:space="0" w:color="auto"/>
        <w:bottom w:val="none" w:sz="0" w:space="0" w:color="auto"/>
        <w:right w:val="none" w:sz="0" w:space="0" w:color="auto"/>
      </w:divBdr>
    </w:div>
    <w:div w:id="276569457">
      <w:bodyDiv w:val="1"/>
      <w:marLeft w:val="0"/>
      <w:marRight w:val="0"/>
      <w:marTop w:val="0"/>
      <w:marBottom w:val="0"/>
      <w:divBdr>
        <w:top w:val="none" w:sz="0" w:space="0" w:color="auto"/>
        <w:left w:val="none" w:sz="0" w:space="0" w:color="auto"/>
        <w:bottom w:val="none" w:sz="0" w:space="0" w:color="auto"/>
        <w:right w:val="none" w:sz="0" w:space="0" w:color="auto"/>
      </w:divBdr>
    </w:div>
    <w:div w:id="318920998">
      <w:bodyDiv w:val="1"/>
      <w:marLeft w:val="0"/>
      <w:marRight w:val="0"/>
      <w:marTop w:val="0"/>
      <w:marBottom w:val="0"/>
      <w:divBdr>
        <w:top w:val="none" w:sz="0" w:space="0" w:color="auto"/>
        <w:left w:val="none" w:sz="0" w:space="0" w:color="auto"/>
        <w:bottom w:val="none" w:sz="0" w:space="0" w:color="auto"/>
        <w:right w:val="none" w:sz="0" w:space="0" w:color="auto"/>
      </w:divBdr>
    </w:div>
    <w:div w:id="390546062">
      <w:bodyDiv w:val="1"/>
      <w:marLeft w:val="0"/>
      <w:marRight w:val="0"/>
      <w:marTop w:val="0"/>
      <w:marBottom w:val="0"/>
      <w:divBdr>
        <w:top w:val="none" w:sz="0" w:space="0" w:color="auto"/>
        <w:left w:val="none" w:sz="0" w:space="0" w:color="auto"/>
        <w:bottom w:val="none" w:sz="0" w:space="0" w:color="auto"/>
        <w:right w:val="none" w:sz="0" w:space="0" w:color="auto"/>
      </w:divBdr>
    </w:div>
    <w:div w:id="400058690">
      <w:bodyDiv w:val="1"/>
      <w:marLeft w:val="0"/>
      <w:marRight w:val="0"/>
      <w:marTop w:val="0"/>
      <w:marBottom w:val="0"/>
      <w:divBdr>
        <w:top w:val="none" w:sz="0" w:space="0" w:color="auto"/>
        <w:left w:val="none" w:sz="0" w:space="0" w:color="auto"/>
        <w:bottom w:val="none" w:sz="0" w:space="0" w:color="auto"/>
        <w:right w:val="none" w:sz="0" w:space="0" w:color="auto"/>
      </w:divBdr>
    </w:div>
    <w:div w:id="455374014">
      <w:bodyDiv w:val="1"/>
      <w:marLeft w:val="0"/>
      <w:marRight w:val="0"/>
      <w:marTop w:val="0"/>
      <w:marBottom w:val="0"/>
      <w:divBdr>
        <w:top w:val="none" w:sz="0" w:space="0" w:color="auto"/>
        <w:left w:val="none" w:sz="0" w:space="0" w:color="auto"/>
        <w:bottom w:val="none" w:sz="0" w:space="0" w:color="auto"/>
        <w:right w:val="none" w:sz="0" w:space="0" w:color="auto"/>
      </w:divBdr>
    </w:div>
    <w:div w:id="456989461">
      <w:bodyDiv w:val="1"/>
      <w:marLeft w:val="0"/>
      <w:marRight w:val="0"/>
      <w:marTop w:val="0"/>
      <w:marBottom w:val="0"/>
      <w:divBdr>
        <w:top w:val="none" w:sz="0" w:space="0" w:color="auto"/>
        <w:left w:val="none" w:sz="0" w:space="0" w:color="auto"/>
        <w:bottom w:val="none" w:sz="0" w:space="0" w:color="auto"/>
        <w:right w:val="none" w:sz="0" w:space="0" w:color="auto"/>
      </w:divBdr>
    </w:div>
    <w:div w:id="481167436">
      <w:bodyDiv w:val="1"/>
      <w:marLeft w:val="0"/>
      <w:marRight w:val="0"/>
      <w:marTop w:val="0"/>
      <w:marBottom w:val="0"/>
      <w:divBdr>
        <w:top w:val="none" w:sz="0" w:space="0" w:color="auto"/>
        <w:left w:val="none" w:sz="0" w:space="0" w:color="auto"/>
        <w:bottom w:val="none" w:sz="0" w:space="0" w:color="auto"/>
        <w:right w:val="none" w:sz="0" w:space="0" w:color="auto"/>
      </w:divBdr>
    </w:div>
    <w:div w:id="547573509">
      <w:bodyDiv w:val="1"/>
      <w:marLeft w:val="0"/>
      <w:marRight w:val="0"/>
      <w:marTop w:val="0"/>
      <w:marBottom w:val="0"/>
      <w:divBdr>
        <w:top w:val="none" w:sz="0" w:space="0" w:color="auto"/>
        <w:left w:val="none" w:sz="0" w:space="0" w:color="auto"/>
        <w:bottom w:val="none" w:sz="0" w:space="0" w:color="auto"/>
        <w:right w:val="none" w:sz="0" w:space="0" w:color="auto"/>
      </w:divBdr>
    </w:div>
    <w:div w:id="761880906">
      <w:bodyDiv w:val="1"/>
      <w:marLeft w:val="0"/>
      <w:marRight w:val="0"/>
      <w:marTop w:val="0"/>
      <w:marBottom w:val="0"/>
      <w:divBdr>
        <w:top w:val="none" w:sz="0" w:space="0" w:color="auto"/>
        <w:left w:val="none" w:sz="0" w:space="0" w:color="auto"/>
        <w:bottom w:val="none" w:sz="0" w:space="0" w:color="auto"/>
        <w:right w:val="none" w:sz="0" w:space="0" w:color="auto"/>
      </w:divBdr>
    </w:div>
    <w:div w:id="892236939">
      <w:bodyDiv w:val="1"/>
      <w:marLeft w:val="0"/>
      <w:marRight w:val="0"/>
      <w:marTop w:val="0"/>
      <w:marBottom w:val="0"/>
      <w:divBdr>
        <w:top w:val="none" w:sz="0" w:space="0" w:color="auto"/>
        <w:left w:val="none" w:sz="0" w:space="0" w:color="auto"/>
        <w:bottom w:val="none" w:sz="0" w:space="0" w:color="auto"/>
        <w:right w:val="none" w:sz="0" w:space="0" w:color="auto"/>
      </w:divBdr>
    </w:div>
    <w:div w:id="907301778">
      <w:bodyDiv w:val="1"/>
      <w:marLeft w:val="0"/>
      <w:marRight w:val="0"/>
      <w:marTop w:val="0"/>
      <w:marBottom w:val="0"/>
      <w:divBdr>
        <w:top w:val="none" w:sz="0" w:space="0" w:color="auto"/>
        <w:left w:val="none" w:sz="0" w:space="0" w:color="auto"/>
        <w:bottom w:val="none" w:sz="0" w:space="0" w:color="auto"/>
        <w:right w:val="none" w:sz="0" w:space="0" w:color="auto"/>
      </w:divBdr>
    </w:div>
    <w:div w:id="917325361">
      <w:bodyDiv w:val="1"/>
      <w:marLeft w:val="0"/>
      <w:marRight w:val="0"/>
      <w:marTop w:val="0"/>
      <w:marBottom w:val="0"/>
      <w:divBdr>
        <w:top w:val="none" w:sz="0" w:space="0" w:color="auto"/>
        <w:left w:val="none" w:sz="0" w:space="0" w:color="auto"/>
        <w:bottom w:val="none" w:sz="0" w:space="0" w:color="auto"/>
        <w:right w:val="none" w:sz="0" w:space="0" w:color="auto"/>
      </w:divBdr>
    </w:div>
    <w:div w:id="951935227">
      <w:bodyDiv w:val="1"/>
      <w:marLeft w:val="0"/>
      <w:marRight w:val="0"/>
      <w:marTop w:val="0"/>
      <w:marBottom w:val="0"/>
      <w:divBdr>
        <w:top w:val="none" w:sz="0" w:space="0" w:color="auto"/>
        <w:left w:val="none" w:sz="0" w:space="0" w:color="auto"/>
        <w:bottom w:val="none" w:sz="0" w:space="0" w:color="auto"/>
        <w:right w:val="none" w:sz="0" w:space="0" w:color="auto"/>
      </w:divBdr>
    </w:div>
    <w:div w:id="1015109492">
      <w:bodyDiv w:val="1"/>
      <w:marLeft w:val="0"/>
      <w:marRight w:val="0"/>
      <w:marTop w:val="0"/>
      <w:marBottom w:val="0"/>
      <w:divBdr>
        <w:top w:val="none" w:sz="0" w:space="0" w:color="auto"/>
        <w:left w:val="none" w:sz="0" w:space="0" w:color="auto"/>
        <w:bottom w:val="none" w:sz="0" w:space="0" w:color="auto"/>
        <w:right w:val="none" w:sz="0" w:space="0" w:color="auto"/>
      </w:divBdr>
    </w:div>
    <w:div w:id="1117791322">
      <w:bodyDiv w:val="1"/>
      <w:marLeft w:val="0"/>
      <w:marRight w:val="0"/>
      <w:marTop w:val="0"/>
      <w:marBottom w:val="0"/>
      <w:divBdr>
        <w:top w:val="none" w:sz="0" w:space="0" w:color="auto"/>
        <w:left w:val="none" w:sz="0" w:space="0" w:color="auto"/>
        <w:bottom w:val="none" w:sz="0" w:space="0" w:color="auto"/>
        <w:right w:val="none" w:sz="0" w:space="0" w:color="auto"/>
      </w:divBdr>
    </w:div>
    <w:div w:id="1236669032">
      <w:bodyDiv w:val="1"/>
      <w:marLeft w:val="0"/>
      <w:marRight w:val="0"/>
      <w:marTop w:val="0"/>
      <w:marBottom w:val="0"/>
      <w:divBdr>
        <w:top w:val="none" w:sz="0" w:space="0" w:color="auto"/>
        <w:left w:val="none" w:sz="0" w:space="0" w:color="auto"/>
        <w:bottom w:val="none" w:sz="0" w:space="0" w:color="auto"/>
        <w:right w:val="none" w:sz="0" w:space="0" w:color="auto"/>
      </w:divBdr>
    </w:div>
    <w:div w:id="1249001567">
      <w:bodyDiv w:val="1"/>
      <w:marLeft w:val="0"/>
      <w:marRight w:val="0"/>
      <w:marTop w:val="0"/>
      <w:marBottom w:val="0"/>
      <w:divBdr>
        <w:top w:val="none" w:sz="0" w:space="0" w:color="auto"/>
        <w:left w:val="none" w:sz="0" w:space="0" w:color="auto"/>
        <w:bottom w:val="none" w:sz="0" w:space="0" w:color="auto"/>
        <w:right w:val="none" w:sz="0" w:space="0" w:color="auto"/>
      </w:divBdr>
    </w:div>
    <w:div w:id="1313438705">
      <w:bodyDiv w:val="1"/>
      <w:marLeft w:val="0"/>
      <w:marRight w:val="0"/>
      <w:marTop w:val="0"/>
      <w:marBottom w:val="0"/>
      <w:divBdr>
        <w:top w:val="none" w:sz="0" w:space="0" w:color="auto"/>
        <w:left w:val="none" w:sz="0" w:space="0" w:color="auto"/>
        <w:bottom w:val="none" w:sz="0" w:space="0" w:color="auto"/>
        <w:right w:val="none" w:sz="0" w:space="0" w:color="auto"/>
      </w:divBdr>
    </w:div>
    <w:div w:id="1425955745">
      <w:bodyDiv w:val="1"/>
      <w:marLeft w:val="0"/>
      <w:marRight w:val="0"/>
      <w:marTop w:val="0"/>
      <w:marBottom w:val="0"/>
      <w:divBdr>
        <w:top w:val="none" w:sz="0" w:space="0" w:color="auto"/>
        <w:left w:val="none" w:sz="0" w:space="0" w:color="auto"/>
        <w:bottom w:val="none" w:sz="0" w:space="0" w:color="auto"/>
        <w:right w:val="none" w:sz="0" w:space="0" w:color="auto"/>
      </w:divBdr>
    </w:div>
    <w:div w:id="1762069761">
      <w:bodyDiv w:val="1"/>
      <w:marLeft w:val="0"/>
      <w:marRight w:val="0"/>
      <w:marTop w:val="0"/>
      <w:marBottom w:val="0"/>
      <w:divBdr>
        <w:top w:val="none" w:sz="0" w:space="0" w:color="auto"/>
        <w:left w:val="none" w:sz="0" w:space="0" w:color="auto"/>
        <w:bottom w:val="none" w:sz="0" w:space="0" w:color="auto"/>
        <w:right w:val="none" w:sz="0" w:space="0" w:color="auto"/>
      </w:divBdr>
    </w:div>
    <w:div w:id="1799107099">
      <w:bodyDiv w:val="1"/>
      <w:marLeft w:val="0"/>
      <w:marRight w:val="0"/>
      <w:marTop w:val="0"/>
      <w:marBottom w:val="0"/>
      <w:divBdr>
        <w:top w:val="none" w:sz="0" w:space="0" w:color="auto"/>
        <w:left w:val="none" w:sz="0" w:space="0" w:color="auto"/>
        <w:bottom w:val="none" w:sz="0" w:space="0" w:color="auto"/>
        <w:right w:val="none" w:sz="0" w:space="0" w:color="auto"/>
      </w:divBdr>
    </w:div>
    <w:div w:id="1893227076">
      <w:bodyDiv w:val="1"/>
      <w:marLeft w:val="0"/>
      <w:marRight w:val="0"/>
      <w:marTop w:val="0"/>
      <w:marBottom w:val="0"/>
      <w:divBdr>
        <w:top w:val="none" w:sz="0" w:space="0" w:color="auto"/>
        <w:left w:val="none" w:sz="0" w:space="0" w:color="auto"/>
        <w:bottom w:val="none" w:sz="0" w:space="0" w:color="auto"/>
        <w:right w:val="none" w:sz="0" w:space="0" w:color="auto"/>
      </w:divBdr>
    </w:div>
    <w:div w:id="1948004548">
      <w:bodyDiv w:val="1"/>
      <w:marLeft w:val="0"/>
      <w:marRight w:val="0"/>
      <w:marTop w:val="0"/>
      <w:marBottom w:val="0"/>
      <w:divBdr>
        <w:top w:val="none" w:sz="0" w:space="0" w:color="auto"/>
        <w:left w:val="none" w:sz="0" w:space="0" w:color="auto"/>
        <w:bottom w:val="none" w:sz="0" w:space="0" w:color="auto"/>
        <w:right w:val="none" w:sz="0" w:space="0" w:color="auto"/>
      </w:divBdr>
    </w:div>
    <w:div w:id="1954559156">
      <w:bodyDiv w:val="1"/>
      <w:marLeft w:val="0"/>
      <w:marRight w:val="0"/>
      <w:marTop w:val="0"/>
      <w:marBottom w:val="0"/>
      <w:divBdr>
        <w:top w:val="none" w:sz="0" w:space="0" w:color="auto"/>
        <w:left w:val="none" w:sz="0" w:space="0" w:color="auto"/>
        <w:bottom w:val="none" w:sz="0" w:space="0" w:color="auto"/>
        <w:right w:val="none" w:sz="0" w:space="0" w:color="auto"/>
      </w:divBdr>
    </w:div>
    <w:div w:id="1972251323">
      <w:bodyDiv w:val="1"/>
      <w:marLeft w:val="0"/>
      <w:marRight w:val="0"/>
      <w:marTop w:val="0"/>
      <w:marBottom w:val="0"/>
      <w:divBdr>
        <w:top w:val="none" w:sz="0" w:space="0" w:color="auto"/>
        <w:left w:val="none" w:sz="0" w:space="0" w:color="auto"/>
        <w:bottom w:val="none" w:sz="0" w:space="0" w:color="auto"/>
        <w:right w:val="none" w:sz="0" w:space="0" w:color="auto"/>
      </w:divBdr>
    </w:div>
    <w:div w:id="2042315516">
      <w:bodyDiv w:val="1"/>
      <w:marLeft w:val="0"/>
      <w:marRight w:val="0"/>
      <w:marTop w:val="0"/>
      <w:marBottom w:val="0"/>
      <w:divBdr>
        <w:top w:val="none" w:sz="0" w:space="0" w:color="auto"/>
        <w:left w:val="none" w:sz="0" w:space="0" w:color="auto"/>
        <w:bottom w:val="none" w:sz="0" w:space="0" w:color="auto"/>
        <w:right w:val="none" w:sz="0" w:space="0" w:color="auto"/>
      </w:divBdr>
    </w:div>
    <w:div w:id="2061589804">
      <w:bodyDiv w:val="1"/>
      <w:marLeft w:val="0"/>
      <w:marRight w:val="0"/>
      <w:marTop w:val="0"/>
      <w:marBottom w:val="0"/>
      <w:divBdr>
        <w:top w:val="none" w:sz="0" w:space="0" w:color="auto"/>
        <w:left w:val="none" w:sz="0" w:space="0" w:color="auto"/>
        <w:bottom w:val="none" w:sz="0" w:space="0" w:color="auto"/>
        <w:right w:val="none" w:sz="0" w:space="0" w:color="auto"/>
      </w:divBdr>
    </w:div>
    <w:div w:id="211231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5c2ebfb-d2b5-425e-b41a-716d58b4fa54" xsi:nil="true"/>
    <lcf76f155ced4ddcb4097134ff3c332f xmlns="0f404107-b559-4fac-bf5d-7dda2750fa2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F4E35F065E01347A17BF6E70E8F9341" ma:contentTypeVersion="13" ma:contentTypeDescription="Crie um novo documento." ma:contentTypeScope="" ma:versionID="c07d78885e9a08c041656096a1e579e4">
  <xsd:schema xmlns:xsd="http://www.w3.org/2001/XMLSchema" xmlns:xs="http://www.w3.org/2001/XMLSchema" xmlns:p="http://schemas.microsoft.com/office/2006/metadata/properties" xmlns:ns2="0f404107-b559-4fac-bf5d-7dda2750fa25" xmlns:ns3="f5c2ebfb-d2b5-425e-b41a-716d58b4fa54" targetNamespace="http://schemas.microsoft.com/office/2006/metadata/properties" ma:root="true" ma:fieldsID="b9c0ced42c3beb354ae9c0151ea22ccd" ns2:_="" ns3:_="">
    <xsd:import namespace="0f404107-b559-4fac-bf5d-7dda2750fa25"/>
    <xsd:import namespace="f5c2ebfb-d2b5-425e-b41a-716d58b4fa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404107-b559-4fac-bf5d-7dda2750f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c4e30347-7a5e-4e48-9fe7-ea4e92c09b13"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c2ebfb-d2b5-425e-b41a-716d58b4fa5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261f17c-0687-4ef2-bdac-3be63427dced}" ma:internalName="TaxCatchAll" ma:showField="CatchAllData" ma:web="f5c2ebfb-d2b5-425e-b41a-716d58b4fa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8BA9F-ECA2-4FAA-95B4-579F8B81B8B5}">
  <ds:schemaRefs>
    <ds:schemaRef ds:uri="http://schemas.microsoft.com/sharepoint/v3/contenttype/forms"/>
  </ds:schemaRefs>
</ds:datastoreItem>
</file>

<file path=customXml/itemProps2.xml><?xml version="1.0" encoding="utf-8"?>
<ds:datastoreItem xmlns:ds="http://schemas.openxmlformats.org/officeDocument/2006/customXml" ds:itemID="{00A11BAF-9695-4BE0-9F18-0172E7D3FD1E}">
  <ds:schemaRefs>
    <ds:schemaRef ds:uri="http://schemas.microsoft.com/office/2006/metadata/properties"/>
    <ds:schemaRef ds:uri="http://schemas.microsoft.com/office/infopath/2007/PartnerControls"/>
    <ds:schemaRef ds:uri="f5c2ebfb-d2b5-425e-b41a-716d58b4fa54"/>
    <ds:schemaRef ds:uri="0f404107-b559-4fac-bf5d-7dda2750fa25"/>
  </ds:schemaRefs>
</ds:datastoreItem>
</file>

<file path=customXml/itemProps3.xml><?xml version="1.0" encoding="utf-8"?>
<ds:datastoreItem xmlns:ds="http://schemas.openxmlformats.org/officeDocument/2006/customXml" ds:itemID="{168CE70D-B53B-4E31-AA65-E7685DE99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404107-b559-4fac-bf5d-7dda2750fa25"/>
    <ds:schemaRef ds:uri="f5c2ebfb-d2b5-425e-b41a-716d58b4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B5A496-4F7B-4ACA-BADD-135F7D6486E1}">
  <ds:schemaRefs>
    <ds:schemaRef ds:uri="http://schemas.openxmlformats.org/officeDocument/2006/bibliography"/>
  </ds:schemaRefs>
</ds:datastoreItem>
</file>

<file path=docMetadata/LabelInfo.xml><?xml version="1.0" encoding="utf-8"?>
<clbl:labelList xmlns:clbl="http://schemas.microsoft.com/office/2020/mipLabelMetadata">
  <clbl:label id="{1b68a0e7-8c4a-4119-a9fe-c55d0d05c305}" enabled="1" method="Privileged" siteId="{28bfc1cb-5aa5-436f-9b59-4bbea6096aee}" contentBits="0" removed="0"/>
</clbl:labelList>
</file>

<file path=docProps/app.xml><?xml version="1.0" encoding="utf-8"?>
<Properties xmlns="http://schemas.openxmlformats.org/officeDocument/2006/extended-properties" xmlns:vt="http://schemas.openxmlformats.org/officeDocument/2006/docPropsVTypes">
  <Template>Normal.dotm</Template>
  <TotalTime>12151</TotalTime>
  <Pages>13</Pages>
  <Words>6204</Words>
  <Characters>33507</Characters>
  <Application>Microsoft Office Word</Application>
  <DocSecurity>2</DocSecurity>
  <Lines>279</Lines>
  <Paragraphs>79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Alberto Perez Coelho Bento</dc:creator>
  <cp:keywords/>
  <dc:description/>
  <cp:lastModifiedBy>Renan Chaves</cp:lastModifiedBy>
  <cp:revision>95</cp:revision>
  <dcterms:created xsi:type="dcterms:W3CDTF">2025-04-03T22:58:00Z</dcterms:created>
  <dcterms:modified xsi:type="dcterms:W3CDTF">2026-10-02T19:24:00Z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effb02-9a6c-4984-9e66-9c477a2fe573_Enabled">
    <vt:lpwstr>true</vt:lpwstr>
  </property>
  <property fmtid="{D5CDD505-2E9C-101B-9397-08002B2CF9AE}" pid="3" name="MSIP_Label_98effb02-9a6c-4984-9e66-9c477a2fe573_SetDate">
    <vt:lpwstr>2023-07-04T13:38:55Z</vt:lpwstr>
  </property>
  <property fmtid="{D5CDD505-2E9C-101B-9397-08002B2CF9AE}" pid="4" name="MSIP_Label_98effb02-9a6c-4984-9e66-9c477a2fe573_Method">
    <vt:lpwstr>Privileged</vt:lpwstr>
  </property>
  <property fmtid="{D5CDD505-2E9C-101B-9397-08002B2CF9AE}" pid="5" name="MSIP_Label_98effb02-9a6c-4984-9e66-9c477a2fe573_Name">
    <vt:lpwstr>98effb02-9a6c-4984-9e66-9c477a2fe573</vt:lpwstr>
  </property>
  <property fmtid="{D5CDD505-2E9C-101B-9397-08002B2CF9AE}" pid="6" name="MSIP_Label_98effb02-9a6c-4984-9e66-9c477a2fe573_SiteId">
    <vt:lpwstr>ce047754-5e4b-4c19-847a-3c612155b684</vt:lpwstr>
  </property>
  <property fmtid="{D5CDD505-2E9C-101B-9397-08002B2CF9AE}" pid="7" name="MSIP_Label_98effb02-9a6c-4984-9e66-9c477a2fe573_ActionId">
    <vt:lpwstr>3d89619a-d878-46b3-884a-9c39b5f84cb7</vt:lpwstr>
  </property>
  <property fmtid="{D5CDD505-2E9C-101B-9397-08002B2CF9AE}" pid="8" name="MSIP_Label_98effb02-9a6c-4984-9e66-9c477a2fe573_ContentBits">
    <vt:lpwstr>11</vt:lpwstr>
  </property>
  <property fmtid="{D5CDD505-2E9C-101B-9397-08002B2CF9AE}" pid="9" name="ContentTypeId">
    <vt:lpwstr>0x0101003F4E35F065E01347A17BF6E70E8F9341</vt:lpwstr>
  </property>
  <property fmtid="{D5CDD505-2E9C-101B-9397-08002B2CF9AE}" pid="10" name="Order">
    <vt:r8>2352000</vt:r8>
  </property>
  <property fmtid="{D5CDD505-2E9C-101B-9397-08002B2CF9AE}" pid="11" name="xd_Signature">
    <vt:bool>false</vt:bool>
  </property>
  <property fmtid="{D5CDD505-2E9C-101B-9397-08002B2CF9AE}" pid="12" name="xd_ProgID">
    <vt:lpwstr/>
  </property>
  <property fmtid="{D5CDD505-2E9C-101B-9397-08002B2CF9AE}" pid="13" name="TriggerFlowInfo">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MediaServiceImageTags">
    <vt:lpwstr/>
  </property>
</Properties>
</file>