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  <w:sz w:val="21"/>
        </w:rPr>
        <w:t xml:space="preserve">脱敏开发参考样例</w:t>
      </w:r>
    </w:p>
    <w:p>
      <w:r>
        <w:rPr>
          <w:rFonts w:eastAsia="Microsoft YaHei"/>
          <w:sz w:val="21"/>
        </w:rPr>
        <w:t xml:space="preserve">无真实单位、个人、账号或交易。本资源仅用于构建和离线回归，不是历史合同。</w:t>
      </w:r>
    </w:p>
    <w:sectPr>
      <w:pgSz w:w="11906" w:h="16838"/>
      <w:pgMar w:top="1440" w:right="1440" w:bottom="1440" w:left="1440"/>
    </w:sectPr>
  </w:body>
</w:document>
</file>