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11C1" w14:textId="77777777" w:rsidR="00CB3B4C" w:rsidRPr="00CC4BA1" w:rsidRDefault="00CB3B4C">
      <w:pPr>
        <w:rPr>
          <w:rFonts w:ascii="Arial" w:hAnsi="Arial" w:cs="Arial"/>
          <w:lang w:val="en-US"/>
        </w:rPr>
      </w:pPr>
    </w:p>
    <w:p w14:paraId="2FCE71F1" w14:textId="77777777" w:rsidR="00CB3B4C" w:rsidRPr="00CC4BA1" w:rsidRDefault="00CB3B4C">
      <w:pPr>
        <w:rPr>
          <w:rFonts w:ascii="Arial" w:hAnsi="Arial" w:cs="Arial"/>
          <w:lang w:val="en-US"/>
        </w:rPr>
      </w:pPr>
    </w:p>
    <w:p w14:paraId="7EA68971" w14:textId="77777777" w:rsidR="00CB3B4C" w:rsidRPr="00CC4BA1" w:rsidRDefault="00CB3B4C">
      <w:pPr>
        <w:rPr>
          <w:rFonts w:ascii="Arial" w:hAnsi="Arial" w:cs="Arial"/>
          <w:lang w:val="en-US"/>
        </w:rPr>
      </w:pPr>
    </w:p>
    <w:p w14:paraId="7FE9E3B5" w14:textId="3E7C084A" w:rsidR="00CB3B4C" w:rsidRPr="00CC4BA1" w:rsidRDefault="00CB3B4C">
      <w:pPr>
        <w:rPr>
          <w:rFonts w:ascii="Arial" w:hAnsi="Arial" w:cs="Arial"/>
          <w:b/>
          <w:bCs/>
          <w:lang w:val="en-US"/>
        </w:rPr>
      </w:pPr>
      <w:r w:rsidRPr="00CC4BA1">
        <w:rPr>
          <w:rFonts w:ascii="Arial" w:hAnsi="Arial" w:cs="Arial"/>
          <w:b/>
          <w:bCs/>
        </w:rPr>
        <w:t>Quantitative Analysis of Academic Outcomes Associated with School Feeding Programs in Ethiopia</w:t>
      </w:r>
    </w:p>
    <w:p w14:paraId="345031D4" w14:textId="77777777" w:rsidR="00CB3B4C" w:rsidRPr="00CC4BA1" w:rsidRDefault="00CB3B4C">
      <w:pPr>
        <w:rPr>
          <w:rFonts w:ascii="Arial" w:hAnsi="Arial" w:cs="Arial"/>
        </w:rPr>
      </w:pPr>
    </w:p>
    <w:p w14:paraId="06C13772" w14:textId="77777777" w:rsidR="00672B7F" w:rsidRPr="00CC4BA1" w:rsidRDefault="00CB3B4C" w:rsidP="00672B7F">
      <w:pPr>
        <w:rPr>
          <w:rFonts w:ascii="Arial" w:hAnsi="Arial" w:cs="Arial"/>
        </w:rPr>
      </w:pPr>
      <w:r w:rsidRPr="00CC4BA1">
        <w:rPr>
          <w:rFonts w:ascii="Arial" w:hAnsi="Arial" w:cs="Arial"/>
        </w:rPr>
        <w:t xml:space="preserve">The </w:t>
      </w:r>
      <w:r w:rsidR="00547CE6" w:rsidRPr="00CC4BA1">
        <w:rPr>
          <w:rFonts w:ascii="Arial" w:hAnsi="Arial" w:cs="Arial"/>
        </w:rPr>
        <w:t>q</w:t>
      </w:r>
      <w:r w:rsidR="00492344" w:rsidRPr="00CC4BA1">
        <w:rPr>
          <w:rFonts w:ascii="Arial" w:hAnsi="Arial" w:cs="Arial"/>
        </w:rPr>
        <w:t>u</w:t>
      </w:r>
      <w:r w:rsidR="00547CE6" w:rsidRPr="00CC4BA1">
        <w:rPr>
          <w:rFonts w:ascii="Arial" w:hAnsi="Arial" w:cs="Arial"/>
        </w:rPr>
        <w:t>antitative analysis</w:t>
      </w:r>
      <w:r w:rsidRPr="00CC4BA1">
        <w:rPr>
          <w:rFonts w:ascii="Arial" w:hAnsi="Arial" w:cs="Arial"/>
        </w:rPr>
        <w:t xml:space="preserve"> critically analyzes a meta-analysis of Ethiopian studies between 2020 and 2023 comparing academic outcomes between children enrolled in School Feeding Programs </w:t>
      </w:r>
      <w:r w:rsidR="00547CE6" w:rsidRPr="00CC4BA1">
        <w:rPr>
          <w:rFonts w:ascii="Arial" w:hAnsi="Arial" w:cs="Arial"/>
        </w:rPr>
        <w:t>[</w:t>
      </w:r>
      <w:r w:rsidRPr="00CC4BA1">
        <w:rPr>
          <w:rFonts w:ascii="Arial" w:hAnsi="Arial" w:cs="Arial"/>
        </w:rPr>
        <w:t>SFPs</w:t>
      </w:r>
      <w:r w:rsidR="00547CE6" w:rsidRPr="00CC4BA1">
        <w:rPr>
          <w:rFonts w:ascii="Arial" w:hAnsi="Arial" w:cs="Arial"/>
        </w:rPr>
        <w:t xml:space="preserve">] </w:t>
      </w:r>
      <w:r w:rsidRPr="00CC4BA1">
        <w:rPr>
          <w:rFonts w:ascii="Arial" w:hAnsi="Arial" w:cs="Arial"/>
        </w:rPr>
        <w:t>and non-SFPs.</w:t>
      </w:r>
      <w:r w:rsidR="00EC15E1" w:rsidRPr="00CC4BA1">
        <w:rPr>
          <w:rFonts w:ascii="Arial" w:hAnsi="Arial" w:cs="Arial"/>
        </w:rPr>
        <w:t xml:space="preserve"> </w:t>
      </w:r>
      <w:r w:rsidR="00EC15E1" w:rsidRPr="00CC4BA1">
        <w:rPr>
          <w:rFonts w:ascii="Arial" w:hAnsi="Arial" w:cs="Arial"/>
        </w:rPr>
        <w:t xml:space="preserve">The study aims </w:t>
      </w:r>
      <w:r w:rsidR="00EC15E1" w:rsidRPr="00CC4BA1">
        <w:rPr>
          <w:rFonts w:ascii="Arial" w:hAnsi="Arial" w:cs="Arial"/>
        </w:rPr>
        <w:t xml:space="preserve">is </w:t>
      </w:r>
      <w:r w:rsidR="00EC15E1" w:rsidRPr="00CC4BA1">
        <w:rPr>
          <w:rFonts w:ascii="Arial" w:hAnsi="Arial" w:cs="Arial"/>
        </w:rPr>
        <w:t>to determine if there is a significant difference in academic performance between SFP and non-SFP groups among primary school children.</w:t>
      </w:r>
      <w:r w:rsidR="00547CE6" w:rsidRPr="00CC4BA1">
        <w:rPr>
          <w:rFonts w:ascii="Arial" w:hAnsi="Arial" w:cs="Arial"/>
        </w:rPr>
        <w:t xml:space="preserve"> </w:t>
      </w:r>
      <w:r w:rsidR="00547CE6" w:rsidRPr="00CC4BA1">
        <w:rPr>
          <w:rFonts w:ascii="Arial" w:hAnsi="Arial" w:cs="Arial"/>
        </w:rPr>
        <w:t>A meta-analysis of six studies involving 9,847 participants, including 4,948 in the SFP group and 4,899 in the non-SFP group, was conducted.</w:t>
      </w:r>
    </w:p>
    <w:p w14:paraId="1BE62495" w14:textId="54CE3B2E" w:rsidR="00C95038" w:rsidRPr="00CC4BA1" w:rsidRDefault="00C95038" w:rsidP="00672B7F">
      <w:pPr>
        <w:rPr>
          <w:rFonts w:ascii="Arial" w:hAnsi="Arial" w:cs="Arial"/>
        </w:rPr>
      </w:pPr>
      <w:r w:rsidRPr="00CC4BA1">
        <w:rPr>
          <w:rFonts w:ascii="Arial" w:hAnsi="Arial" w:cs="Arial"/>
        </w:rPr>
        <w:t>Data collected from multiple studies were analyzed using RevMan and presented as a forest plot with summary statistics. All included studies assessed academic outcomes as continuous variables, such as average test scores or grade percentages.</w:t>
      </w:r>
      <w:r w:rsidRPr="00CC4BA1">
        <w:rPr>
          <w:rFonts w:ascii="Arial" w:hAnsi="Arial" w:cs="Arial"/>
        </w:rPr>
        <w:t xml:space="preserve"> </w:t>
      </w:r>
      <w:r w:rsidRPr="00CC4BA1">
        <w:rPr>
          <w:rFonts w:ascii="Arial" w:hAnsi="Arial" w:cs="Arial"/>
        </w:rPr>
        <w:t xml:space="preserve">The overall </w:t>
      </w:r>
      <w:r w:rsidRPr="00CC4BA1">
        <w:rPr>
          <w:rFonts w:ascii="Arial" w:hAnsi="Arial" w:cs="Arial"/>
        </w:rPr>
        <w:t>data</w:t>
      </w:r>
      <w:r w:rsidRPr="00CC4BA1">
        <w:rPr>
          <w:rFonts w:ascii="Arial" w:hAnsi="Arial" w:cs="Arial"/>
        </w:rPr>
        <w:t xml:space="preserve"> estimate showed a standardized mean difference (SMD) of 0.19, with a 95% confidence interval ranging from 0.15 to 0.23, and a highly significant p-value of &lt; 0.00001.</w:t>
      </w:r>
      <w:r w:rsidRPr="00CC4BA1">
        <w:rPr>
          <w:rFonts w:ascii="Arial" w:hAnsi="Arial" w:cs="Arial"/>
        </w:rPr>
        <w:t xml:space="preserve"> </w:t>
      </w:r>
      <w:r w:rsidRPr="00CC4BA1">
        <w:rPr>
          <w:rFonts w:ascii="Arial" w:hAnsi="Arial" w:cs="Arial"/>
        </w:rPr>
        <w:t>This indicates a small but statistically significant advantage in academic performance for students enrolled in SFPs compared to their peers who were not.</w:t>
      </w:r>
      <w:r w:rsidRPr="00CC4BA1">
        <w:rPr>
          <w:rFonts w:ascii="Arial" w:hAnsi="Arial" w:cs="Arial"/>
        </w:rPr>
        <w:t xml:space="preserve"> </w:t>
      </w:r>
      <w:r w:rsidRPr="00CC4BA1">
        <w:rPr>
          <w:rFonts w:ascii="Arial" w:hAnsi="Arial" w:cs="Arial"/>
        </w:rPr>
        <w:t xml:space="preserve">According to Cohen’s </w:t>
      </w:r>
      <w:r w:rsidR="00492344" w:rsidRPr="00CC4BA1">
        <w:rPr>
          <w:rFonts w:ascii="Arial" w:hAnsi="Arial" w:cs="Arial"/>
        </w:rPr>
        <w:t>convention</w:t>
      </w:r>
      <w:r w:rsidRPr="00CC4BA1">
        <w:rPr>
          <w:rFonts w:ascii="Arial" w:hAnsi="Arial" w:cs="Arial"/>
        </w:rPr>
        <w:t>, the effect size is just below he 0.2 threshold for a small effect</w:t>
      </w:r>
      <w:r w:rsidR="00A76A46" w:rsidRPr="00CC4BA1">
        <w:rPr>
          <w:rFonts w:ascii="Arial" w:hAnsi="Arial" w:cs="Arial"/>
        </w:rPr>
        <w:t xml:space="preserve"> </w:t>
      </w:r>
      <w:r w:rsidR="00A76A46" w:rsidRPr="00CC4BA1">
        <w:rPr>
          <w:rFonts w:ascii="Arial" w:hAnsi="Arial" w:cs="Arial"/>
        </w:rPr>
        <w:t>(Diener, 2010)</w:t>
      </w:r>
      <w:r w:rsidR="00A76A46" w:rsidRPr="00CC4BA1">
        <w:rPr>
          <w:rFonts w:ascii="Arial" w:hAnsi="Arial" w:cs="Arial"/>
        </w:rPr>
        <w:t xml:space="preserve">. </w:t>
      </w:r>
      <w:r w:rsidRPr="00CC4BA1">
        <w:rPr>
          <w:rFonts w:ascii="Arial" w:hAnsi="Arial" w:cs="Arial"/>
        </w:rPr>
        <w:t>However, it shows a steady and important impact, especially when looking at large education programs in places where food is limited.</w:t>
      </w:r>
    </w:p>
    <w:p w14:paraId="3D5305FD" w14:textId="27B7B614" w:rsidR="00A76A46" w:rsidRPr="00CC4BA1" w:rsidRDefault="00492344" w:rsidP="00A76A46">
      <w:pPr>
        <w:pStyle w:val="NormalWeb"/>
        <w:rPr>
          <w:rFonts w:ascii="Arial" w:hAnsi="Arial" w:cs="Arial"/>
        </w:rPr>
      </w:pPr>
      <w:r w:rsidRPr="00CC4BA1">
        <w:rPr>
          <w:rFonts w:ascii="Arial" w:hAnsi="Arial" w:cs="Arial"/>
        </w:rPr>
        <w:t>All the studies showed better academic outcomes for students in the S</w:t>
      </w:r>
      <w:r w:rsidRPr="00CC4BA1">
        <w:rPr>
          <w:rFonts w:ascii="Arial" w:hAnsi="Arial" w:cs="Arial"/>
        </w:rPr>
        <w:t xml:space="preserve">FP </w:t>
      </w:r>
      <w:r w:rsidRPr="00CC4BA1">
        <w:rPr>
          <w:rFonts w:ascii="Arial" w:hAnsi="Arial" w:cs="Arial"/>
        </w:rPr>
        <w:t>group. Assefa (2023) and Derese &amp; Senapathy (2023) found large effect sizes (0.65 and 0.63), indicating strong improvements. Destaw et al. (2022), a much larger study, reported a smaller effect size of 0.14 but contributed over 80% of the weight in the meta-analysis, strongly shaping the overall result.</w:t>
      </w:r>
      <w:r w:rsidR="00A76A46" w:rsidRPr="00CC4BA1">
        <w:rPr>
          <w:rFonts w:ascii="Arial" w:hAnsi="Arial" w:cs="Arial"/>
        </w:rPr>
        <w:t xml:space="preserve"> </w:t>
      </w:r>
      <w:r w:rsidR="00A76A46" w:rsidRPr="00CC4BA1">
        <w:rPr>
          <w:rFonts w:ascii="Arial" w:hAnsi="Arial" w:cs="Arial"/>
        </w:rPr>
        <w:t>However, the results must be interpreted with caution due to the high degree of heterogeneity observed across the included studies. The heterogeneity statistics (Chi² = 37.78, df = 5, p &lt; 0.00001; I² = 87%) reveal substantial variability in effect sizes that weren't due to chance. This variation may be due to factors like differences in study design, location, participant characteristics, how academic outcomes were measured, and how consistently the school feeding programs were delivered.</w:t>
      </w:r>
      <w:r w:rsidR="00A76A46" w:rsidRPr="00CC4BA1">
        <w:rPr>
          <w:rFonts w:ascii="Arial" w:hAnsi="Arial" w:cs="Arial"/>
        </w:rPr>
        <w:t xml:space="preserve"> </w:t>
      </w:r>
      <w:r w:rsidR="00A76A46" w:rsidRPr="00CC4BA1">
        <w:rPr>
          <w:rFonts w:ascii="Arial" w:hAnsi="Arial" w:cs="Arial"/>
        </w:rPr>
        <w:t>Despite this variation, all studies showed a positive effect of school feeding programs on academic achievement. This consistent trend supports the conclusion that SFPs generally help improve student performance</w:t>
      </w:r>
      <w:r w:rsidR="00A76A46" w:rsidRPr="00CC4BA1">
        <w:rPr>
          <w:rFonts w:ascii="Arial" w:hAnsi="Arial" w:cs="Arial"/>
        </w:rPr>
        <w:t xml:space="preserve">. </w:t>
      </w:r>
    </w:p>
    <w:p w14:paraId="625A32DC" w14:textId="25A39CBF" w:rsidR="00A76A46" w:rsidRPr="00CC4BA1" w:rsidRDefault="00A76A46" w:rsidP="00A76A46">
      <w:pPr>
        <w:pStyle w:val="NormalWeb"/>
        <w:rPr>
          <w:rFonts w:ascii="Arial" w:hAnsi="Arial" w:cs="Arial"/>
        </w:rPr>
      </w:pPr>
      <w:r w:rsidRPr="00CC4BA1">
        <w:rPr>
          <w:rFonts w:ascii="Arial" w:hAnsi="Arial" w:cs="Arial"/>
        </w:rPr>
        <w:t xml:space="preserve">According to the </w:t>
      </w:r>
      <w:r w:rsidR="00672B7F" w:rsidRPr="00CC4BA1">
        <w:rPr>
          <w:rFonts w:ascii="Arial" w:hAnsi="Arial" w:cs="Arial"/>
        </w:rPr>
        <w:t>results,</w:t>
      </w:r>
      <w:r w:rsidRPr="00CC4BA1">
        <w:rPr>
          <w:rFonts w:ascii="Arial" w:hAnsi="Arial" w:cs="Arial"/>
        </w:rPr>
        <w:t xml:space="preserve"> in low-resource environments like Ethiopia, even modest academic outcomes achieved by school feeding programs can have a major positive impact on learning and school retention at the national level. School meals can improve focus and attendance in communities with persistent food insecurity, advancing public health and educational objectives. As a result, SFPs ought to be viewed as both educational and nutritional tactics.</w:t>
      </w:r>
    </w:p>
    <w:p w14:paraId="0D4DB57C" w14:textId="5E432C21" w:rsidR="006C24E2" w:rsidRPr="00CC4BA1" w:rsidRDefault="006C24E2" w:rsidP="00A76A46">
      <w:pPr>
        <w:pStyle w:val="NormalWeb"/>
        <w:rPr>
          <w:rFonts w:ascii="Arial" w:hAnsi="Arial" w:cs="Arial"/>
        </w:rPr>
      </w:pPr>
      <w:r w:rsidRPr="00CC4BA1">
        <w:rPr>
          <w:rFonts w:ascii="Arial" w:hAnsi="Arial" w:cs="Arial"/>
        </w:rPr>
        <w:t xml:space="preserve">Additionally, SDG 2 </w:t>
      </w:r>
      <w:r w:rsidRPr="00CC4BA1">
        <w:rPr>
          <w:rFonts w:ascii="Arial" w:hAnsi="Arial" w:cs="Arial"/>
        </w:rPr>
        <w:t>[</w:t>
      </w:r>
      <w:r w:rsidRPr="00CC4BA1">
        <w:rPr>
          <w:rFonts w:ascii="Arial" w:hAnsi="Arial" w:cs="Arial"/>
        </w:rPr>
        <w:t>Zero Hunger</w:t>
      </w:r>
      <w:r w:rsidRPr="00CC4BA1">
        <w:rPr>
          <w:rFonts w:ascii="Arial" w:hAnsi="Arial" w:cs="Arial"/>
        </w:rPr>
        <w:t>]</w:t>
      </w:r>
      <w:r w:rsidRPr="00CC4BA1">
        <w:rPr>
          <w:rFonts w:ascii="Arial" w:hAnsi="Arial" w:cs="Arial"/>
        </w:rPr>
        <w:t xml:space="preserve">, SDG 3 </w:t>
      </w:r>
      <w:r w:rsidRPr="00CC4BA1">
        <w:rPr>
          <w:rFonts w:ascii="Arial" w:hAnsi="Arial" w:cs="Arial"/>
        </w:rPr>
        <w:t>[</w:t>
      </w:r>
      <w:r w:rsidRPr="00CC4BA1">
        <w:rPr>
          <w:rFonts w:ascii="Arial" w:hAnsi="Arial" w:cs="Arial"/>
        </w:rPr>
        <w:t>Good Health and Well-Being</w:t>
      </w:r>
      <w:r w:rsidRPr="00CC4BA1">
        <w:rPr>
          <w:rFonts w:ascii="Arial" w:hAnsi="Arial" w:cs="Arial"/>
        </w:rPr>
        <w:t>]</w:t>
      </w:r>
      <w:r w:rsidRPr="00CC4BA1">
        <w:rPr>
          <w:rFonts w:ascii="Arial" w:hAnsi="Arial" w:cs="Arial"/>
        </w:rPr>
        <w:t xml:space="preserve">, SDG 4 </w:t>
      </w:r>
      <w:r w:rsidRPr="00CC4BA1">
        <w:rPr>
          <w:rFonts w:ascii="Arial" w:hAnsi="Arial" w:cs="Arial"/>
        </w:rPr>
        <w:t>[</w:t>
      </w:r>
      <w:r w:rsidRPr="00CC4BA1">
        <w:rPr>
          <w:rFonts w:ascii="Arial" w:hAnsi="Arial" w:cs="Arial"/>
        </w:rPr>
        <w:t>Quality Education</w:t>
      </w:r>
      <w:r w:rsidRPr="00CC4BA1">
        <w:rPr>
          <w:rFonts w:ascii="Arial" w:hAnsi="Arial" w:cs="Arial"/>
        </w:rPr>
        <w:t>]</w:t>
      </w:r>
      <w:r w:rsidRPr="00CC4BA1">
        <w:rPr>
          <w:rFonts w:ascii="Arial" w:hAnsi="Arial" w:cs="Arial"/>
        </w:rPr>
        <w:t>, and SDG 10 [Reduced Inequalities] aligns with this analysis, which emphasises how SFPs can significantly improve health and educational outcomes to promote an integrated approach towards improvement in  disadvantaged communities.</w:t>
      </w:r>
    </w:p>
    <w:p w14:paraId="0693D870" w14:textId="59B95BC8" w:rsidR="006C24E2" w:rsidRPr="00CC4BA1" w:rsidRDefault="006C24E2" w:rsidP="00A76A46">
      <w:pPr>
        <w:pStyle w:val="NormalWeb"/>
        <w:rPr>
          <w:rFonts w:ascii="Arial" w:hAnsi="Arial" w:cs="Arial"/>
        </w:rPr>
      </w:pPr>
      <w:r w:rsidRPr="00CC4BA1">
        <w:rPr>
          <w:rFonts w:ascii="Arial" w:hAnsi="Arial" w:cs="Arial"/>
        </w:rPr>
        <w:t>N</w:t>
      </w:r>
      <w:r w:rsidR="00CC4BA1" w:rsidRPr="00CC4BA1">
        <w:rPr>
          <w:rFonts w:ascii="Arial" w:hAnsi="Arial" w:cs="Arial"/>
        </w:rPr>
        <w:t>e</w:t>
      </w:r>
      <w:r w:rsidRPr="00CC4BA1">
        <w:rPr>
          <w:rFonts w:ascii="Arial" w:hAnsi="Arial" w:cs="Arial"/>
        </w:rPr>
        <w:t>ver</w:t>
      </w:r>
      <w:r w:rsidR="00CC4BA1" w:rsidRPr="00CC4BA1">
        <w:rPr>
          <w:rFonts w:ascii="Arial" w:hAnsi="Arial" w:cs="Arial"/>
        </w:rPr>
        <w:t>t</w:t>
      </w:r>
      <w:r w:rsidRPr="00CC4BA1">
        <w:rPr>
          <w:rFonts w:ascii="Arial" w:hAnsi="Arial" w:cs="Arial"/>
        </w:rPr>
        <w:t>heless</w:t>
      </w:r>
      <w:r w:rsidR="00CC4BA1" w:rsidRPr="00CC4BA1">
        <w:rPr>
          <w:rFonts w:ascii="Arial" w:hAnsi="Arial" w:cs="Arial"/>
        </w:rPr>
        <w:t>, t</w:t>
      </w:r>
      <w:r w:rsidR="00CC4BA1" w:rsidRPr="00CC4BA1">
        <w:rPr>
          <w:rFonts w:ascii="Arial" w:hAnsi="Arial" w:cs="Arial"/>
        </w:rPr>
        <w:t>he findings have some limitations due to the high I² statistic, which indicates significant heterogeneity, thereby limiting their generalizability.</w:t>
      </w:r>
      <w:r w:rsidR="00CC4BA1" w:rsidRPr="00CC4BA1">
        <w:rPr>
          <w:rFonts w:ascii="Arial" w:hAnsi="Arial" w:cs="Arial"/>
        </w:rPr>
        <w:t xml:space="preserve"> Furthermore</w:t>
      </w:r>
      <w:r w:rsidRPr="00CC4BA1">
        <w:rPr>
          <w:rFonts w:ascii="Arial" w:hAnsi="Arial" w:cs="Arial"/>
        </w:rPr>
        <w:t xml:space="preserve">, the results may have been disproportionately influenced by a single large study (Destaw et al., 2022). This meta-analysis also lacks an assessment of publication bias and does not perform subgroup analyses </w:t>
      </w:r>
      <w:r w:rsidR="00CC4BA1" w:rsidRPr="00CC4BA1">
        <w:rPr>
          <w:rFonts w:ascii="Arial" w:hAnsi="Arial" w:cs="Arial"/>
        </w:rPr>
        <w:t xml:space="preserve">like </w:t>
      </w:r>
      <w:r w:rsidRPr="00CC4BA1">
        <w:rPr>
          <w:rFonts w:ascii="Arial" w:hAnsi="Arial" w:cs="Arial"/>
        </w:rPr>
        <w:t xml:space="preserve">by age, gender, or region, which could have </w:t>
      </w:r>
      <w:r w:rsidR="00CC4BA1" w:rsidRPr="00CC4BA1">
        <w:rPr>
          <w:rFonts w:ascii="Arial" w:hAnsi="Arial" w:cs="Arial"/>
        </w:rPr>
        <w:t>further explained the heterogeneity and</w:t>
      </w:r>
      <w:r w:rsidRPr="00CC4BA1">
        <w:rPr>
          <w:rFonts w:ascii="Arial" w:hAnsi="Arial" w:cs="Arial"/>
        </w:rPr>
        <w:t xml:space="preserve"> and improved the clarity of the findings.</w:t>
      </w:r>
    </w:p>
    <w:p w14:paraId="67AE3931" w14:textId="77777777" w:rsidR="00CC4BA1" w:rsidRPr="00CC4BA1" w:rsidRDefault="00CC4BA1" w:rsidP="00CC4BA1">
      <w:pPr>
        <w:pStyle w:val="NormalWeb"/>
        <w:rPr>
          <w:rFonts w:ascii="Arial" w:hAnsi="Arial" w:cs="Arial"/>
        </w:rPr>
      </w:pPr>
      <w:r w:rsidRPr="00CC4BA1">
        <w:rPr>
          <w:rFonts w:ascii="Arial" w:hAnsi="Arial" w:cs="Arial"/>
        </w:rPr>
        <w:t xml:space="preserve">In conclusion, this meta-analysis demonstrates that school food programs enhance Ethiopian primary school students' academic </w:t>
      </w:r>
      <w:r w:rsidRPr="00CC4BA1">
        <w:rPr>
          <w:rFonts w:ascii="Arial" w:hAnsi="Arial" w:cs="Arial"/>
        </w:rPr>
        <w:t>outcome</w:t>
      </w:r>
      <w:r w:rsidRPr="00CC4BA1">
        <w:rPr>
          <w:rFonts w:ascii="Arial" w:hAnsi="Arial" w:cs="Arial"/>
        </w:rPr>
        <w:t>.</w:t>
      </w:r>
      <w:r w:rsidRPr="00CC4BA1">
        <w:rPr>
          <w:rFonts w:ascii="Arial" w:hAnsi="Arial" w:cs="Arial"/>
        </w:rPr>
        <w:t xml:space="preserve"> </w:t>
      </w:r>
      <w:r w:rsidRPr="00CC4BA1">
        <w:rPr>
          <w:rFonts w:ascii="Arial" w:hAnsi="Arial" w:cs="Arial"/>
        </w:rPr>
        <w:t>Although the effect size is small, it is statistically significant and consistently points in the same direction across several studies.</w:t>
      </w:r>
      <w:r w:rsidRPr="00CC4BA1">
        <w:rPr>
          <w:rFonts w:ascii="Arial" w:hAnsi="Arial" w:cs="Arial"/>
        </w:rPr>
        <w:t xml:space="preserve"> </w:t>
      </w:r>
      <w:r w:rsidRPr="00CC4BA1">
        <w:rPr>
          <w:rFonts w:ascii="Arial" w:hAnsi="Arial" w:cs="Arial"/>
        </w:rPr>
        <w:t>These findings highlight the importance of school feeding as both a public health and educational strategy, offering strong quantitative basis that will be strengthened by the qualitative findings.</w:t>
      </w:r>
    </w:p>
    <w:p w14:paraId="1DFB8539" w14:textId="21D50DAE" w:rsidR="00CC4BA1" w:rsidRPr="00CC4BA1" w:rsidRDefault="00CC4BA1" w:rsidP="00A76A46">
      <w:pPr>
        <w:pStyle w:val="NormalWeb"/>
        <w:rPr>
          <w:rFonts w:ascii="Arial" w:hAnsi="Arial" w:cs="Arial"/>
        </w:rPr>
      </w:pPr>
    </w:p>
    <w:p w14:paraId="04EBA96C" w14:textId="77777777" w:rsidR="00672B7F" w:rsidRPr="00CC4BA1" w:rsidRDefault="00672B7F" w:rsidP="00C95038">
      <w:pPr>
        <w:pStyle w:val="NormalWeb"/>
        <w:rPr>
          <w:rFonts w:ascii="Arial" w:hAnsi="Arial" w:cs="Arial"/>
        </w:rPr>
      </w:pPr>
    </w:p>
    <w:p w14:paraId="45D754F5" w14:textId="73E88901" w:rsidR="00672B7F" w:rsidRDefault="00CC4BA1" w:rsidP="00C95038">
      <w:pPr>
        <w:pStyle w:val="NormalWeb"/>
        <w:rPr>
          <w:rFonts w:ascii="Arial" w:hAnsi="Arial" w:cs="Arial"/>
          <w:b/>
          <w:bCs/>
        </w:rPr>
      </w:pPr>
      <w:r w:rsidRPr="00CC4BA1">
        <w:rPr>
          <w:rFonts w:ascii="Arial" w:hAnsi="Arial" w:cs="Arial"/>
          <w:b/>
          <w:bCs/>
        </w:rPr>
        <w:t>REFERENCE</w:t>
      </w:r>
    </w:p>
    <w:p w14:paraId="3C907E2A" w14:textId="77777777" w:rsidR="00CC4BA1" w:rsidRPr="00CC4BA1" w:rsidRDefault="00CC4BA1" w:rsidP="00C95038">
      <w:pPr>
        <w:pStyle w:val="NormalWeb"/>
        <w:rPr>
          <w:rFonts w:ascii="Arial" w:hAnsi="Arial" w:cs="Arial"/>
          <w:b/>
          <w:bCs/>
        </w:rPr>
      </w:pPr>
    </w:p>
    <w:p w14:paraId="397FE0B8" w14:textId="77777777" w:rsidR="00A76A46" w:rsidRPr="00CC4BA1" w:rsidRDefault="00A76A46" w:rsidP="00A76A46">
      <w:pPr>
        <w:pStyle w:val="NormalWeb"/>
        <w:spacing w:before="0" w:beforeAutospacing="0" w:after="0" w:afterAutospacing="0" w:line="480" w:lineRule="auto"/>
        <w:ind w:left="720" w:hanging="720"/>
        <w:rPr>
          <w:rFonts w:ascii="Arial" w:hAnsi="Arial" w:cs="Arial"/>
        </w:rPr>
      </w:pPr>
      <w:r w:rsidRPr="00CC4BA1">
        <w:rPr>
          <w:rFonts w:ascii="Arial" w:hAnsi="Arial" w:cs="Arial"/>
        </w:rPr>
        <w:t xml:space="preserve">Diener, M. J. (2010). Cohen’s d. </w:t>
      </w:r>
      <w:r w:rsidRPr="00CC4BA1">
        <w:rPr>
          <w:rFonts w:ascii="Arial" w:hAnsi="Arial" w:cs="Arial"/>
          <w:i/>
          <w:iCs/>
        </w:rPr>
        <w:t>Corsini Encyclopedia of Psychology</w:t>
      </w:r>
      <w:r w:rsidRPr="00CC4BA1">
        <w:rPr>
          <w:rFonts w:ascii="Arial" w:hAnsi="Arial" w:cs="Arial"/>
        </w:rPr>
        <w:t xml:space="preserve">, 1. </w:t>
      </w:r>
      <w:r w:rsidRPr="00CC4BA1">
        <w:rPr>
          <w:rStyle w:val="url"/>
          <w:rFonts w:ascii="Arial" w:eastAsiaTheme="majorEastAsia" w:hAnsi="Arial" w:cs="Arial"/>
        </w:rPr>
        <w:t>https://doi.org/10.1002/9780470479216.corpsy0200</w:t>
      </w:r>
    </w:p>
    <w:p w14:paraId="4528717D" w14:textId="77777777" w:rsidR="00A76A46" w:rsidRPr="00CC4BA1" w:rsidRDefault="00A76A46" w:rsidP="00C95038">
      <w:pPr>
        <w:pStyle w:val="NormalWeb"/>
        <w:rPr>
          <w:rFonts w:ascii="Arial" w:hAnsi="Arial" w:cs="Arial"/>
        </w:rPr>
      </w:pPr>
    </w:p>
    <w:p w14:paraId="4A140936" w14:textId="77777777" w:rsidR="00A76A46" w:rsidRPr="00CC4BA1" w:rsidRDefault="00A76A46" w:rsidP="00C95038">
      <w:pPr>
        <w:pStyle w:val="NormalWeb"/>
        <w:rPr>
          <w:rFonts w:ascii="Arial" w:hAnsi="Arial" w:cs="Arial"/>
        </w:rPr>
      </w:pPr>
    </w:p>
    <w:p w14:paraId="3A83A54B" w14:textId="77777777" w:rsidR="00A76A46" w:rsidRPr="00CC4BA1" w:rsidRDefault="00A76A46" w:rsidP="00C95038">
      <w:pPr>
        <w:pStyle w:val="NormalWeb"/>
        <w:rPr>
          <w:rFonts w:ascii="Arial" w:hAnsi="Arial" w:cs="Arial"/>
        </w:rPr>
      </w:pPr>
    </w:p>
    <w:p w14:paraId="3933A102" w14:textId="67163022" w:rsidR="00C95038" w:rsidRPr="00CC4BA1" w:rsidRDefault="00C95038" w:rsidP="00C95038">
      <w:pPr>
        <w:pStyle w:val="NormalWeb"/>
        <w:rPr>
          <w:rFonts w:ascii="Arial" w:hAnsi="Arial" w:cs="Arial"/>
        </w:rPr>
      </w:pPr>
    </w:p>
    <w:p w14:paraId="37695DCA" w14:textId="77777777" w:rsidR="00547CE6" w:rsidRPr="00CC4BA1" w:rsidRDefault="00547CE6" w:rsidP="00547CE6">
      <w:pPr>
        <w:rPr>
          <w:rFonts w:ascii="Arial" w:hAnsi="Arial" w:cs="Arial"/>
        </w:rPr>
      </w:pPr>
    </w:p>
    <w:p w14:paraId="03CD566E" w14:textId="77777777" w:rsidR="00547CE6" w:rsidRPr="00CC4BA1" w:rsidRDefault="00547CE6" w:rsidP="00547CE6">
      <w:pPr>
        <w:rPr>
          <w:rFonts w:ascii="Arial" w:hAnsi="Arial" w:cs="Arial"/>
        </w:rPr>
      </w:pPr>
    </w:p>
    <w:p w14:paraId="06404C32" w14:textId="77777777" w:rsidR="00547CE6" w:rsidRPr="00CC4BA1" w:rsidRDefault="00547CE6" w:rsidP="00547CE6">
      <w:pPr>
        <w:rPr>
          <w:rFonts w:ascii="Arial" w:hAnsi="Arial" w:cs="Arial"/>
        </w:rPr>
      </w:pPr>
    </w:p>
    <w:sectPr w:rsidR="00547CE6" w:rsidRPr="00CC4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B4C"/>
    <w:rsid w:val="00492344"/>
    <w:rsid w:val="00547CE6"/>
    <w:rsid w:val="00672B7F"/>
    <w:rsid w:val="006C24E2"/>
    <w:rsid w:val="00A76A46"/>
    <w:rsid w:val="00C95038"/>
    <w:rsid w:val="00CB3B4C"/>
    <w:rsid w:val="00CC4BA1"/>
    <w:rsid w:val="00DD73CC"/>
    <w:rsid w:val="00EC15E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6ED7031"/>
  <w15:chartTrackingRefBased/>
  <w15:docId w15:val="{3017ADC6-1419-AB47-95AF-F149B76B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B4C"/>
    <w:rPr>
      <w:rFonts w:eastAsiaTheme="majorEastAsia" w:cstheme="majorBidi"/>
      <w:color w:val="272727" w:themeColor="text1" w:themeTint="D8"/>
    </w:rPr>
  </w:style>
  <w:style w:type="paragraph" w:styleId="Title">
    <w:name w:val="Title"/>
    <w:basedOn w:val="Normal"/>
    <w:next w:val="Normal"/>
    <w:link w:val="TitleChar"/>
    <w:uiPriority w:val="10"/>
    <w:qFormat/>
    <w:rsid w:val="00CB3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B4C"/>
    <w:pPr>
      <w:spacing w:before="160"/>
      <w:jc w:val="center"/>
    </w:pPr>
    <w:rPr>
      <w:i/>
      <w:iCs/>
      <w:color w:val="404040" w:themeColor="text1" w:themeTint="BF"/>
    </w:rPr>
  </w:style>
  <w:style w:type="character" w:customStyle="1" w:styleId="QuoteChar">
    <w:name w:val="Quote Char"/>
    <w:basedOn w:val="DefaultParagraphFont"/>
    <w:link w:val="Quote"/>
    <w:uiPriority w:val="29"/>
    <w:rsid w:val="00CB3B4C"/>
    <w:rPr>
      <w:i/>
      <w:iCs/>
      <w:color w:val="404040" w:themeColor="text1" w:themeTint="BF"/>
    </w:rPr>
  </w:style>
  <w:style w:type="paragraph" w:styleId="ListParagraph">
    <w:name w:val="List Paragraph"/>
    <w:basedOn w:val="Normal"/>
    <w:uiPriority w:val="34"/>
    <w:qFormat/>
    <w:rsid w:val="00CB3B4C"/>
    <w:pPr>
      <w:ind w:left="720"/>
      <w:contextualSpacing/>
    </w:pPr>
  </w:style>
  <w:style w:type="character" w:styleId="IntenseEmphasis">
    <w:name w:val="Intense Emphasis"/>
    <w:basedOn w:val="DefaultParagraphFont"/>
    <w:uiPriority w:val="21"/>
    <w:qFormat/>
    <w:rsid w:val="00CB3B4C"/>
    <w:rPr>
      <w:i/>
      <w:iCs/>
      <w:color w:val="0F4761" w:themeColor="accent1" w:themeShade="BF"/>
    </w:rPr>
  </w:style>
  <w:style w:type="paragraph" w:styleId="IntenseQuote">
    <w:name w:val="Intense Quote"/>
    <w:basedOn w:val="Normal"/>
    <w:next w:val="Normal"/>
    <w:link w:val="IntenseQuoteChar"/>
    <w:uiPriority w:val="30"/>
    <w:qFormat/>
    <w:rsid w:val="00CB3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B4C"/>
    <w:rPr>
      <w:i/>
      <w:iCs/>
      <w:color w:val="0F4761" w:themeColor="accent1" w:themeShade="BF"/>
    </w:rPr>
  </w:style>
  <w:style w:type="character" w:styleId="IntenseReference">
    <w:name w:val="Intense Reference"/>
    <w:basedOn w:val="DefaultParagraphFont"/>
    <w:uiPriority w:val="32"/>
    <w:qFormat/>
    <w:rsid w:val="00CB3B4C"/>
    <w:rPr>
      <w:b/>
      <w:bCs/>
      <w:smallCaps/>
      <w:color w:val="0F4761" w:themeColor="accent1" w:themeShade="BF"/>
      <w:spacing w:val="5"/>
    </w:rPr>
  </w:style>
  <w:style w:type="paragraph" w:styleId="NormalWeb">
    <w:name w:val="Normal (Web)"/>
    <w:basedOn w:val="Normal"/>
    <w:uiPriority w:val="99"/>
    <w:semiHidden/>
    <w:unhideWhenUsed/>
    <w:rsid w:val="00C950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rl">
    <w:name w:val="url"/>
    <w:basedOn w:val="DefaultParagraphFont"/>
    <w:rsid w:val="00A76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942182">
      <w:bodyDiv w:val="1"/>
      <w:marLeft w:val="0"/>
      <w:marRight w:val="0"/>
      <w:marTop w:val="0"/>
      <w:marBottom w:val="0"/>
      <w:divBdr>
        <w:top w:val="none" w:sz="0" w:space="0" w:color="auto"/>
        <w:left w:val="none" w:sz="0" w:space="0" w:color="auto"/>
        <w:bottom w:val="none" w:sz="0" w:space="0" w:color="auto"/>
        <w:right w:val="none" w:sz="0" w:space="0" w:color="auto"/>
      </w:divBdr>
    </w:div>
    <w:div w:id="950086315">
      <w:bodyDiv w:val="1"/>
      <w:marLeft w:val="0"/>
      <w:marRight w:val="0"/>
      <w:marTop w:val="0"/>
      <w:marBottom w:val="0"/>
      <w:divBdr>
        <w:top w:val="none" w:sz="0" w:space="0" w:color="auto"/>
        <w:left w:val="none" w:sz="0" w:space="0" w:color="auto"/>
        <w:bottom w:val="none" w:sz="0" w:space="0" w:color="auto"/>
        <w:right w:val="none" w:sz="0" w:space="0" w:color="auto"/>
      </w:divBdr>
    </w:div>
    <w:div w:id="1162353407">
      <w:bodyDiv w:val="1"/>
      <w:marLeft w:val="0"/>
      <w:marRight w:val="0"/>
      <w:marTop w:val="0"/>
      <w:marBottom w:val="0"/>
      <w:divBdr>
        <w:top w:val="none" w:sz="0" w:space="0" w:color="auto"/>
        <w:left w:val="none" w:sz="0" w:space="0" w:color="auto"/>
        <w:bottom w:val="none" w:sz="0" w:space="0" w:color="auto"/>
        <w:right w:val="none" w:sz="0" w:space="0" w:color="auto"/>
      </w:divBdr>
    </w:div>
    <w:div w:id="1373921928">
      <w:bodyDiv w:val="1"/>
      <w:marLeft w:val="0"/>
      <w:marRight w:val="0"/>
      <w:marTop w:val="0"/>
      <w:marBottom w:val="0"/>
      <w:divBdr>
        <w:top w:val="none" w:sz="0" w:space="0" w:color="auto"/>
        <w:left w:val="none" w:sz="0" w:space="0" w:color="auto"/>
        <w:bottom w:val="none" w:sz="0" w:space="0" w:color="auto"/>
        <w:right w:val="none" w:sz="0" w:space="0" w:color="auto"/>
      </w:divBdr>
    </w:div>
    <w:div w:id="1747919070">
      <w:bodyDiv w:val="1"/>
      <w:marLeft w:val="0"/>
      <w:marRight w:val="0"/>
      <w:marTop w:val="0"/>
      <w:marBottom w:val="0"/>
      <w:divBdr>
        <w:top w:val="none" w:sz="0" w:space="0" w:color="auto"/>
        <w:left w:val="none" w:sz="0" w:space="0" w:color="auto"/>
        <w:bottom w:val="none" w:sz="0" w:space="0" w:color="auto"/>
        <w:right w:val="none" w:sz="0" w:space="0" w:color="auto"/>
      </w:divBdr>
      <w:divsChild>
        <w:div w:id="1471745434">
          <w:marLeft w:val="-720"/>
          <w:marRight w:val="0"/>
          <w:marTop w:val="0"/>
          <w:marBottom w:val="0"/>
          <w:divBdr>
            <w:top w:val="none" w:sz="0" w:space="0" w:color="auto"/>
            <w:left w:val="none" w:sz="0" w:space="0" w:color="auto"/>
            <w:bottom w:val="none" w:sz="0" w:space="0" w:color="auto"/>
            <w:right w:val="none" w:sz="0" w:space="0" w:color="auto"/>
          </w:divBdr>
        </w:div>
      </w:divsChild>
    </w:div>
    <w:div w:id="188089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OSEREMEN IRIBHOGBE</dc:creator>
  <cp:keywords/>
  <dc:description/>
  <cp:lastModifiedBy/>
  <cp:revision>1</cp:revision>
  <dcterms:created xsi:type="dcterms:W3CDTF">2025-08-04T05:36:00Z</dcterms:created>
</cp:coreProperties>
</file>