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Title"/>
        <w:spacing w:before="0" w:after="120"/>
        <w:contextualSpacing/>
        <w:jc w:val="center"/>
        <w:rPr>
          <w:sz w:val="48"/>
          <w:szCs w:val="48"/>
        </w:rPr>
      </w:pPr>
      <w:r>
        <w:rPr>
          <w:sz w:val="48"/>
          <w:szCs w:val="48"/>
        </w:rPr>
        <w:t>Silicon Labs Synthesizer Operating Guide</w:t>
      </w:r>
    </w:p>
    <w:p>
      <w:pPr>
        <w:pStyle w:val="NoSpacing"/>
        <w:jc w:val="center"/>
        <w:rPr>
          <w:sz w:val="24"/>
          <w:szCs w:val="24"/>
        </w:rPr>
      </w:pPr>
      <w:r>
        <w:rPr>
          <w:sz w:val="24"/>
          <w:szCs w:val="24"/>
        </w:rPr>
        <w:t>Portland State Aerospace Society</w:t>
      </w:r>
    </w:p>
    <w:p>
      <w:pPr>
        <w:pStyle w:val="NoSpacing"/>
        <w:jc w:val="center"/>
        <w:rPr>
          <w:sz w:val="24"/>
          <w:szCs w:val="24"/>
        </w:rPr>
      </w:pPr>
      <w:r>
        <w:rPr>
          <w:sz w:val="24"/>
          <w:szCs w:val="24"/>
        </w:rPr>
        <w:t>12-Jul-2023</w:t>
      </w:r>
    </w:p>
    <w:p>
      <w:pPr>
        <w:pStyle w:val="NoSpacing"/>
        <w:jc w:val="center"/>
        <w:rPr>
          <w:sz w:val="24"/>
          <w:szCs w:val="24"/>
        </w:rPr>
      </w:pPr>
      <w:r>
        <w:rPr>
          <w:sz w:val="24"/>
          <w:szCs w:val="24"/>
        </w:rPr>
        <w:t>V1.1</w:t>
      </w:r>
    </w:p>
    <w:p>
      <w:pPr>
        <w:pStyle w:val="Normal"/>
        <w:rPr/>
      </w:pPr>
      <w:r>
        <w:rPr/>
      </w:r>
    </w:p>
    <w:p>
      <w:pPr>
        <w:pStyle w:val="Normal"/>
        <w:keepNext w:val="true"/>
        <w:jc w:val="center"/>
        <w:rPr/>
      </w:pPr>
      <w:r>
        <w:rPr/>
        <w:drawing>
          <wp:inline distT="0" distB="0" distL="0" distR="0">
            <wp:extent cx="4571365" cy="2066290"/>
            <wp:effectExtent l="0" t="0" r="0" b="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ircuit board&#10;&#10;Description automatically generated"/>
                    <pic:cNvPicPr>
                      <a:picLocks noChangeAspect="1" noChangeArrowheads="1"/>
                    </pic:cNvPicPr>
                  </pic:nvPicPr>
                  <pic:blipFill>
                    <a:blip r:embed="rId2"/>
                    <a:srcRect l="24355" t="10949" r="13100" b="38801"/>
                    <a:stretch>
                      <a:fillRect/>
                    </a:stretch>
                  </pic:blipFill>
                  <pic:spPr bwMode="auto">
                    <a:xfrm>
                      <a:off x="0" y="0"/>
                      <a:ext cx="4571365" cy="2066290"/>
                    </a:xfrm>
                    <a:prstGeom prst="rect">
                      <a:avLst/>
                    </a:prstGeom>
                  </pic:spPr>
                </pic:pic>
              </a:graphicData>
            </a:graphic>
          </wp:inline>
        </w:drawing>
      </w:r>
    </w:p>
    <w:p>
      <w:pPr>
        <w:pStyle w:val="Caption1"/>
        <w:jc w:val="center"/>
        <w:rPr/>
      </w:pPr>
      <w:bookmarkStart w:id="0" w:name="_Ref21771624"/>
      <w:r>
        <w:rPr/>
        <w:t xml:space="preserve">Figure </w:t>
      </w:r>
      <w:r>
        <w:rPr/>
        <w:fldChar w:fldCharType="begin"/>
      </w:r>
      <w:r>
        <w:rPr/>
        <w:instrText xml:space="preserve"> SEQ Figure \* ARABIC </w:instrText>
      </w:r>
      <w:r>
        <w:rPr/>
        <w:fldChar w:fldCharType="separate"/>
      </w:r>
      <w:r>
        <w:rPr/>
        <w:t>1</w:t>
      </w:r>
      <w:r>
        <w:rPr/>
        <w:fldChar w:fldCharType="end"/>
      </w:r>
      <w:bookmarkEnd w:id="0"/>
      <w:r>
        <w:rPr/>
        <w:t>: Si4123 eval board left, NUCLEO-F446RE dev board right</w:t>
      </w:r>
    </w:p>
    <w:p>
      <w:pPr>
        <w:pStyle w:val="Normal"/>
        <w:rPr/>
      </w:pPr>
      <w:r>
        <w:rPr/>
      </w:r>
    </w:p>
    <w:p>
      <w:pPr>
        <w:pStyle w:val="Heading1"/>
        <w:rPr/>
      </w:pPr>
      <w:r>
        <w:rPr/>
        <w:t>Introduction</w:t>
      </w:r>
    </w:p>
    <w:p>
      <w:pPr>
        <w:pStyle w:val="Normal"/>
        <w:jc w:val="both"/>
        <w:rPr/>
      </w:pPr>
      <w:r>
        <w:rPr/>
        <w:t>This operating guide evaluates a custom Silicon Labs Si41xx evaluation board with a STM32 Nucleo-64 development board which includes the STM32F446RE; a 32-bit ARM Cortex-M4 MCU (NUCLEO-F446RE).  The NUCLEO-F446RE development board is used for programming the Si41xx synthesizer over a 3-wire serial interface.  The NUCLEO-F446RE board uses a real-time operating system, ChibiOS, to setup the synthesizers registers.  A a serial communication program such as Minicom is used to interactively operate the setup procedure after startup.</w:t>
      </w:r>
    </w:p>
    <w:p>
      <w:pPr>
        <w:pStyle w:val="Normal"/>
        <w:jc w:val="both"/>
        <w:rPr/>
      </w:pPr>
      <w:r>
        <w:rPr/>
        <w:t xml:space="preserve">The Silicon Labs Si41xx synthesizer family is available in five variations with up to three synthesizers.  However, RF1 and RF2 share an output.  See the end of this document for supplemental information, datasheets, and GitHub repos with EAGLE CAD files of the Si4123 evaluation board; </w:t>
      </w:r>
      <w:r>
        <w:rPr/>
        <w:fldChar w:fldCharType="begin"/>
      </w:r>
      <w:r>
        <w:rPr/>
        <w:instrText xml:space="preserve"> REF _Ref21771624 \h </w:instrText>
      </w:r>
      <w:r>
        <w:rPr/>
        <w:fldChar w:fldCharType="separate"/>
      </w:r>
      <w:r>
        <w:rPr/>
        <w:t>Figure 1</w:t>
      </w:r>
      <w:r>
        <w:rPr/>
        <w:fldChar w:fldCharType="end"/>
      </w:r>
      <w:r>
        <w:rPr/>
        <w:t xml:space="preserve"> shown above.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rPr/>
      </w:pPr>
      <w:r>
        <w:rPr/>
        <w:t>Connect Boards</w:t>
      </w:r>
    </w:p>
    <w:p>
      <w:pPr>
        <w:pStyle w:val="ListParagraph"/>
        <w:numPr>
          <w:ilvl w:val="0"/>
          <w:numId w:val="1"/>
        </w:numPr>
        <w:spacing w:before="0" w:after="120"/>
        <w:contextualSpacing/>
        <w:rPr/>
      </w:pPr>
      <w:r>
        <w:drawing>
          <wp:anchor behindDoc="0" distT="0" distB="0" distL="0" distR="0" simplePos="0" locked="0" layoutInCell="0" allowOverlap="1" relativeHeight="11">
            <wp:simplePos x="0" y="0"/>
            <wp:positionH relativeFrom="column">
              <wp:posOffset>4216400</wp:posOffset>
            </wp:positionH>
            <wp:positionV relativeFrom="paragraph">
              <wp:posOffset>635635</wp:posOffset>
            </wp:positionV>
            <wp:extent cx="1435100" cy="712470"/>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rcRect l="62847" t="0" r="4496" b="0"/>
                    <a:stretch>
                      <a:fillRect/>
                    </a:stretch>
                  </pic:blipFill>
                  <pic:spPr bwMode="auto">
                    <a:xfrm>
                      <a:off x="0" y="0"/>
                      <a:ext cx="1435100" cy="712470"/>
                    </a:xfrm>
                    <a:prstGeom prst="rect">
                      <a:avLst/>
                    </a:prstGeom>
                  </pic:spPr>
                </pic:pic>
              </a:graphicData>
            </a:graphic>
          </wp:anchor>
        </w:drawing>
        <w:drawing>
          <wp:anchor behindDoc="0" distT="0" distB="0" distL="0" distR="0" simplePos="0" locked="0" layoutInCell="0" allowOverlap="1" relativeHeight="12">
            <wp:simplePos x="0" y="0"/>
            <wp:positionH relativeFrom="column">
              <wp:posOffset>2766060</wp:posOffset>
            </wp:positionH>
            <wp:positionV relativeFrom="paragraph">
              <wp:posOffset>638810</wp:posOffset>
            </wp:positionV>
            <wp:extent cx="1379855" cy="713105"/>
            <wp:effectExtent l="0" t="0" r="0" b="0"/>
            <wp:wrapNone/>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rcRect l="4059" t="0" r="64523" b="0"/>
                    <a:stretch>
                      <a:fillRect/>
                    </a:stretch>
                  </pic:blipFill>
                  <pic:spPr bwMode="auto">
                    <a:xfrm>
                      <a:off x="0" y="0"/>
                      <a:ext cx="1379855" cy="713105"/>
                    </a:xfrm>
                    <a:prstGeom prst="rect">
                      <a:avLst/>
                    </a:prstGeom>
                  </pic:spPr>
                </pic:pic>
              </a:graphicData>
            </a:graphic>
          </wp:anchor>
        </w:drawing>
        <mc:AlternateContent>
          <mc:Choice Requires="wps">
            <w:drawing>
              <wp:anchor behindDoc="0" distT="0" distB="0" distL="0" distR="0" simplePos="0" locked="0" layoutInCell="0" allowOverlap="1" relativeHeight="13" wp14:anchorId="20755428">
                <wp:simplePos x="0" y="0"/>
                <wp:positionH relativeFrom="margin">
                  <wp:posOffset>2422525</wp:posOffset>
                </wp:positionH>
                <wp:positionV relativeFrom="paragraph">
                  <wp:posOffset>868045</wp:posOffset>
                </wp:positionV>
                <wp:extent cx="511810" cy="334010"/>
                <wp:effectExtent l="0" t="0" r="0" b="0"/>
                <wp:wrapNone/>
                <wp:docPr id="4" name="Text Box 2"/>
                <a:graphic xmlns:a="http://schemas.openxmlformats.org/drawingml/2006/main">
                  <a:graphicData uri="http://schemas.microsoft.com/office/word/2010/wordprocessingShape">
                    <wps:wsp>
                      <wps:cNvSpPr/>
                      <wps:spPr>
                        <a:xfrm>
                          <a:off x="0" y="0"/>
                          <a:ext cx="511920" cy="334080"/>
                        </a:xfrm>
                        <a:prstGeom prst="rect">
                          <a:avLst/>
                        </a:prstGeom>
                        <a:noFill/>
                        <a:ln w="9525">
                          <a:noFill/>
                        </a:ln>
                      </wps:spPr>
                      <wps:style>
                        <a:lnRef idx="0"/>
                        <a:fillRef idx="0"/>
                        <a:effectRef idx="0"/>
                        <a:fontRef idx="minor"/>
                      </wps:style>
                      <wps:txbx>
                        <w:txbxContent>
                          <w:p>
                            <w:pPr>
                              <w:pStyle w:val="NoSpacing"/>
                              <w:jc w:val="right"/>
                              <w:rPr>
                                <w:b/>
                                <w:b/>
                                <w:bCs/>
                                <w:sz w:val="16"/>
                                <w:szCs w:val="16"/>
                              </w:rPr>
                            </w:pPr>
                            <w:r>
                              <w:rPr>
                                <w:b/>
                                <w:bCs/>
                                <w:color w:val="000000"/>
                                <w:sz w:val="16"/>
                                <w:szCs w:val="16"/>
                              </w:rPr>
                              <w:t>CLK -</w:t>
                            </w:r>
                          </w:p>
                          <w:p>
                            <w:pPr>
                              <w:pStyle w:val="NoSpacing"/>
                              <w:jc w:val="right"/>
                              <w:rPr>
                                <w:b/>
                                <w:b/>
                                <w:bCs/>
                                <w:sz w:val="16"/>
                                <w:szCs w:val="16"/>
                              </w:rPr>
                            </w:pPr>
                            <w:r>
                              <w:rPr>
                                <w:b/>
                                <w:bCs/>
                                <w:color w:val="000000"/>
                                <w:sz w:val="16"/>
                                <w:szCs w:val="16"/>
                              </w:rPr>
                              <w:t>DATA -</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190.75pt;margin-top:68.35pt;width:40.25pt;height:26.25pt;mso-wrap-style:square;v-text-anchor:top;mso-position-horizontal-relative:margin" wp14:anchorId="20755428">
                <v:fill o:detectmouseclick="t" on="false"/>
                <v:stroke color="#3465a4" weight="9360" joinstyle="round" endcap="flat"/>
                <v:textbox>
                  <w:txbxContent>
                    <w:p>
                      <w:pPr>
                        <w:pStyle w:val="NoSpacing"/>
                        <w:jc w:val="right"/>
                        <w:rPr>
                          <w:b/>
                          <w:b/>
                          <w:bCs/>
                          <w:sz w:val="16"/>
                          <w:szCs w:val="16"/>
                        </w:rPr>
                      </w:pPr>
                      <w:r>
                        <w:rPr>
                          <w:b/>
                          <w:bCs/>
                          <w:color w:val="000000"/>
                          <w:sz w:val="16"/>
                          <w:szCs w:val="16"/>
                        </w:rPr>
                        <w:t>CLK -</w:t>
                      </w:r>
                    </w:p>
                    <w:p>
                      <w:pPr>
                        <w:pStyle w:val="NoSpacing"/>
                        <w:jc w:val="right"/>
                        <w:rPr>
                          <w:b/>
                          <w:b/>
                          <w:bCs/>
                          <w:sz w:val="16"/>
                          <w:szCs w:val="16"/>
                        </w:rPr>
                      </w:pPr>
                      <w:r>
                        <w:rPr>
                          <w:b/>
                          <w:bCs/>
                          <w:color w:val="000000"/>
                          <w:sz w:val="16"/>
                          <w:szCs w:val="16"/>
                        </w:rPr>
                        <w:t>DATA -</w:t>
                      </w:r>
                    </w:p>
                  </w:txbxContent>
                </v:textbox>
                <w10:wrap type="none"/>
              </v:rect>
            </w:pict>
          </mc:Fallback>
        </mc:AlternateContent>
        <mc:AlternateContent>
          <mc:Choice Requires="wps">
            <w:drawing>
              <wp:anchor behindDoc="0" distT="0" distB="3810" distL="0" distR="0" simplePos="0" locked="0" layoutInCell="0" allowOverlap="1" relativeHeight="15" wp14:anchorId="084EA1E1">
                <wp:simplePos x="0" y="0"/>
                <wp:positionH relativeFrom="margin">
                  <wp:posOffset>5483225</wp:posOffset>
                </wp:positionH>
                <wp:positionV relativeFrom="paragraph">
                  <wp:posOffset>756920</wp:posOffset>
                </wp:positionV>
                <wp:extent cx="414655" cy="224155"/>
                <wp:effectExtent l="0" t="0" r="0" b="4445"/>
                <wp:wrapNone/>
                <wp:docPr id="6" name="Text Box 2"/>
                <a:graphic xmlns:a="http://schemas.openxmlformats.org/drawingml/2006/main">
                  <a:graphicData uri="http://schemas.microsoft.com/office/word/2010/wordprocessingShape">
                    <wps:wsp>
                      <wps:cNvSpPr/>
                      <wps:spPr>
                        <a:xfrm>
                          <a:off x="0" y="0"/>
                          <a:ext cx="414720" cy="224280"/>
                        </a:xfrm>
                        <a:prstGeom prst="rect">
                          <a:avLst/>
                        </a:prstGeom>
                        <a:noFill/>
                        <a:ln w="9525">
                          <a:noFill/>
                        </a:ln>
                      </wps:spPr>
                      <wps:style>
                        <a:lnRef idx="0"/>
                        <a:fillRef idx="0"/>
                        <a:effectRef idx="0"/>
                        <a:fontRef idx="minor"/>
                      </wps:style>
                      <wps:txbx>
                        <w:txbxContent>
                          <w:p>
                            <w:pPr>
                              <w:pStyle w:val="NoSpacing"/>
                              <w:rPr>
                                <w:b/>
                                <w:b/>
                                <w:bCs/>
                                <w:sz w:val="16"/>
                                <w:szCs w:val="16"/>
                              </w:rPr>
                            </w:pPr>
                            <w:r>
                              <w:rPr>
                                <w:b/>
                                <w:bCs/>
                                <w:color w:val="000000"/>
                                <w:sz w:val="16"/>
                                <w:szCs w:val="16"/>
                              </w:rPr>
                              <w:t>- /EN</w:t>
                            </w:r>
                          </w:p>
                        </w:txbxContent>
                      </wps:txbx>
                      <wps:bodyPr tIns="182880" bIns="182880" anchor="t">
                        <a:noAutofit/>
                      </wps:bodyPr>
                    </wps:wsp>
                  </a:graphicData>
                </a:graphic>
              </wp:anchor>
            </w:drawing>
          </mc:Choice>
          <mc:Fallback>
            <w:pict>
              <v:rect id="shape_0" ID="Text Box 2" path="m0,0l-2147483645,0l-2147483645,-2147483646l0,-2147483646xe" stroked="f" o:allowincell="f" style="position:absolute;margin-left:431.75pt;margin-top:59.6pt;width:32.6pt;height:17.6pt;mso-wrap-style:square;v-text-anchor:top;mso-position-horizontal-relative:margin" wp14:anchorId="084EA1E1">
                <v:fill o:detectmouseclick="t" on="false"/>
                <v:stroke color="#3465a4" weight="9360" joinstyle="round" endcap="flat"/>
                <v:textbox>
                  <w:txbxContent>
                    <w:p>
                      <w:pPr>
                        <w:pStyle w:val="NoSpacing"/>
                        <w:rPr>
                          <w:b/>
                          <w:b/>
                          <w:bCs/>
                          <w:sz w:val="16"/>
                          <w:szCs w:val="16"/>
                        </w:rPr>
                      </w:pPr>
                      <w:r>
                        <w:rPr>
                          <w:b/>
                          <w:bCs/>
                          <w:color w:val="000000"/>
                          <w:sz w:val="16"/>
                          <w:szCs w:val="16"/>
                        </w:rPr>
                        <w:t>- /EN</w:t>
                      </w:r>
                    </w:p>
                  </w:txbxContent>
                </v:textbox>
                <w10:wrap type="none"/>
              </v:rect>
            </w:pict>
          </mc:Fallback>
        </mc:AlternateContent>
      </w:r>
      <w:r>
        <w:rPr/>
        <w:t xml:space="preserve">Connect the serial interface between the Si41xx evaluation board and the NUCLEO-F446RE development board.  Refer to </w:t>
      </w:r>
      <w:r>
        <w:rPr/>
        <w:fldChar w:fldCharType="begin"/>
      </w:r>
      <w:r>
        <w:rPr/>
        <w:instrText xml:space="preserve"> REF _Ref21771487 \h </w:instrText>
      </w:r>
      <w:r>
        <w:rPr/>
        <w:fldChar w:fldCharType="separate"/>
      </w:r>
      <w:r>
        <w:rPr/>
        <w:t>Figure 2</w:t>
      </w:r>
      <w:r>
        <w:rPr/>
        <w:fldChar w:fldCharType="end"/>
      </w:r>
      <w:r>
        <w:rPr/>
        <w:t xml:space="preserve"> in the Appendix for the complete NUCLEO-F446RE pin layout.</w:t>
      </w:r>
    </w:p>
    <w:tbl>
      <w:tblPr>
        <w:tblStyle w:val="TableGrid"/>
        <w:tblW w:w="2875"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437"/>
        <w:gridCol w:w="1437"/>
      </w:tblGrid>
      <w:tr>
        <w:trPr/>
        <w:tc>
          <w:tcPr>
            <w:tcW w:w="1437"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Si41xx</w:t>
            </w:r>
          </w:p>
        </w:tc>
        <w:tc>
          <w:tcPr>
            <w:tcW w:w="1437"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Nucleo-64</w:t>
            </w:r>
          </w:p>
        </w:tc>
      </w:tr>
      <w:tr>
        <w:trPr/>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/EN</w:t>
            </w:r>
          </w:p>
        </w:tc>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PC4</w:t>
            </w:r>
          </w:p>
        </w:tc>
      </w:tr>
      <w:tr>
        <w:trPr/>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CLK</w:t>
            </w:r>
          </w:p>
        </w:tc>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PC2</w:t>
            </w:r>
          </w:p>
        </w:tc>
      </w:tr>
      <w:tr>
        <w:trPr/>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DATA</w:t>
            </w:r>
          </w:p>
        </w:tc>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PC3</w:t>
            </w:r>
          </w:p>
        </w:tc>
      </w:tr>
      <w:tr>
        <w:trPr/>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GND</w:t>
            </w:r>
          </w:p>
        </w:tc>
        <w:tc>
          <w:tcPr>
            <w:tcW w:w="143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GND</w:t>
            </w:r>
          </w:p>
        </w:tc>
      </w:tr>
    </w:tbl>
    <w:p>
      <w:pPr>
        <w:pStyle w:val="ListParagraph"/>
        <w:numPr>
          <w:ilvl w:val="0"/>
          <w:numId w:val="1"/>
        </w:numPr>
        <w:spacing w:before="120" w:after="160"/>
        <w:contextualSpacing/>
        <w:rPr/>
      </w:pPr>
      <w:r>
        <w:rPr>
          <w:b/>
          <w:bCs/>
        </w:rPr>
        <w:t>ATTENTION:</w:t>
      </w:r>
      <w:r>
        <w:rPr/>
        <w:t xml:space="preserve"> Connect the Si41xx board to power.  The </w:t>
      </w:r>
      <w:r>
        <w:rPr>
          <w:b/>
          <w:bCs/>
        </w:rPr>
        <w:t xml:space="preserve">Si4123 evaluation board show in </w:t>
      </w:r>
      <w:r>
        <w:rPr>
          <w:b/>
          <w:bCs/>
        </w:rPr>
        <w:fldChar w:fldCharType="begin"/>
      </w:r>
      <w:r>
        <w:rPr>
          <w:b/>
          <w:bCs/>
        </w:rPr>
        <w:instrText xml:space="preserve"> REF _Ref21771624 \h </w:instrText>
      </w:r>
      <w:r>
        <w:rPr>
          <w:b/>
          <w:bCs/>
        </w:rPr>
        <w:fldChar w:fldCharType="separate"/>
      </w:r>
      <w:r>
        <w:rPr>
          <w:b/>
          <w:bCs/>
        </w:rPr>
        <w:t>Figure 1</w:t>
      </w:r>
      <w:r>
        <w:rPr>
          <w:b/>
          <w:bCs/>
        </w:rPr>
        <w:fldChar w:fldCharType="end"/>
      </w:r>
      <w:r>
        <w:rPr>
          <w:b/>
          <w:bCs/>
        </w:rPr>
        <w:t xml:space="preserve"> above accepts ~3.5V to 10V max due to incorporating a LDO regulator</w:t>
      </w:r>
      <w:r>
        <w:rPr/>
        <w:t xml:space="preserve">; the TI LP38692 3.3V fixed LDO.  The </w:t>
      </w:r>
      <w:r>
        <w:rPr>
          <w:b/>
          <w:bCs/>
        </w:rPr>
        <w:t>Si41xx IC operates within 2.7V to 3.6V</w:t>
      </w:r>
      <w:r>
        <w:rPr/>
        <w:t>; however, a TCXO on the evaluation board may have strict voltage requirements.</w:t>
      </w:r>
    </w:p>
    <w:p>
      <w:pPr>
        <w:pStyle w:val="ListParagraph"/>
        <w:numPr>
          <w:ilvl w:val="0"/>
          <w:numId w:val="1"/>
        </w:numPr>
        <w:spacing w:before="120" w:after="160"/>
        <w:contextualSpacing/>
        <w:rPr/>
      </w:pPr>
      <w:r>
        <w:rPr/>
        <w:t>Connect the micro USB port on the NUCLEO-F446RE board to a PC with Linux.</w:t>
      </w:r>
    </w:p>
    <w:p>
      <w:pPr>
        <w:pStyle w:val="ListParagraph"/>
        <w:numPr>
          <w:ilvl w:val="0"/>
          <w:numId w:val="1"/>
        </w:numPr>
        <w:spacing w:before="160" w:after="160"/>
        <w:contextualSpacing/>
        <w:rPr/>
      </w:pPr>
      <w:r>
        <w:rPr/>
        <w:t>On the Si41xx board the red AUX LED should be on.  This is the lock detect output; the red LED signifies when the PLL has lost lock.</w:t>
      </w:r>
    </w:p>
    <w:p>
      <w:pPr>
        <w:pStyle w:val="Normal"/>
        <w:spacing w:before="160" w:after="160"/>
        <w:rPr/>
      </w:pPr>
      <w:r>
        <w:rPr/>
      </w:r>
    </w:p>
    <w:p>
      <w:pPr>
        <w:pStyle w:val="Heading1"/>
        <w:rPr/>
      </w:pPr>
      <w:r>
        <w:rPr/>
        <w:t>Git Checkout and Program</w:t>
      </w:r>
      <w:r>
        <w:rPr/>
        <w:t>ming</w:t>
      </w:r>
    </w:p>
    <w:p>
      <w:pPr>
        <w:pStyle w:val="ListParagraph"/>
        <w:numPr>
          <w:ilvl w:val="0"/>
          <w:numId w:val="3"/>
        </w:numPr>
        <w:rPr/>
      </w:pPr>
      <w:r>
        <w:rPr/>
        <w:t>If the STM32F446 board is already programmed with the Si41xx app then the Si41xx board will most likely already be programmed, and you can skip this section.  The Si41xx app is designed to program the Si41xx board when the STM32F446 board is powered on.</w:t>
      </w:r>
    </w:p>
    <w:p>
      <w:pPr>
        <w:pStyle w:val="ListParagraph"/>
        <w:numPr>
          <w:ilvl w:val="0"/>
          <w:numId w:val="3"/>
        </w:numPr>
        <w:spacing w:before="0" w:after="120"/>
        <w:contextualSpacing/>
        <w:rPr/>
      </w:pPr>
      <w:r>
        <w:rPr/>
        <w:t>In a terminal install the dependencies; E.g. Debian based.</w:t>
      </w:r>
    </w:p>
    <w:tbl>
      <w:tblPr>
        <w:tblStyle w:val="TableGrid"/>
        <w:tblW w:w="882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8820"/>
      </w:tblGrid>
      <w:tr>
        <w:trPr/>
        <w:tc>
          <w:tcPr>
            <w:tcW w:w="882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sudo apt install git make gcc-arm-none-eabi gdb-multiarch openocd</w:t>
            </w:r>
          </w:p>
        </w:tc>
      </w:tr>
    </w:tbl>
    <w:p>
      <w:pPr>
        <w:pStyle w:val="ListParagraph"/>
        <w:numPr>
          <w:ilvl w:val="0"/>
          <w:numId w:val="3"/>
        </w:numPr>
        <w:spacing w:before="120" w:after="120"/>
        <w:contextualSpacing/>
        <w:rPr/>
      </w:pPr>
      <w:r>
        <w:rPr/>
        <w:t>Type the following to checkout c3_synth and program the Si41xx board.</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git clone https://github.com/oresat/oresat-firmware.git</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cd oresat-firmware</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git checkout c3_synth</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git submodule update --init</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cd src/f4/app_si41xx</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make clean</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make</w:t>
            </w:r>
          </w:p>
          <w:p>
            <w:pPr>
              <w:pStyle w:val="Normal"/>
              <w:widowControl w:val="false"/>
              <w:suppressAutoHyphens w:val="true"/>
              <w:spacing w:lineRule="auto" w:line="240" w:before="0" w:after="0"/>
              <w:jc w:val="left"/>
              <w:rPr>
                <w:rFonts w:eastAsia="Calibri"/>
                <w:kern w:val="0"/>
                <w:sz w:val="22"/>
                <w:szCs w:val="22"/>
                <w:lang w:val="en-US" w:eastAsia="en-US" w:bidi="ar-SA"/>
              </w:rPr>
            </w:pPr>
            <w:bookmarkStart w:id="1" w:name="_Hlk21629558"/>
            <w:r>
              <w:rPr>
                <w:rFonts w:eastAsia="Calibri" w:cs="Courier New" w:ascii="Courier New" w:hAnsi="Courier New"/>
                <w:kern w:val="0"/>
                <w:sz w:val="22"/>
                <w:szCs w:val="22"/>
                <w:lang w:val="en-US" w:eastAsia="en-US" w:bidi="ar-SA"/>
              </w:rPr>
              <w:t>make write</w:t>
            </w:r>
            <w:bookmarkEnd w:id="1"/>
          </w:p>
        </w:tc>
      </w:tr>
    </w:tbl>
    <w:p>
      <w:pPr>
        <w:pStyle w:val="ListParagraph"/>
        <w:numPr>
          <w:ilvl w:val="0"/>
          <w:numId w:val="3"/>
        </w:numPr>
        <w:spacing w:before="120" w:after="160"/>
        <w:contextualSpacing/>
        <w:rPr/>
      </w:pPr>
      <w:r>
        <w:rPr/>
        <w:t>The black reset button on the STM32F446 dev board can be pressed at any time to reprogram the Si41xx dev board.</w:t>
      </w:r>
    </w:p>
    <w:p>
      <w:pPr>
        <w:pStyle w:val="ListParagraph"/>
        <w:numPr>
          <w:ilvl w:val="0"/>
          <w:numId w:val="3"/>
        </w:numPr>
        <w:spacing w:before="120" w:after="160"/>
        <w:contextualSpacing/>
        <w:rPr/>
      </w:pPr>
      <w:r>
        <w:rPr/>
        <w:t>The Si41xx dev board should now be programmed, and the red LED should be off.</w:t>
      </w:r>
    </w:p>
    <w:p>
      <w:pPr>
        <w:pStyle w:val="Normal"/>
        <w:spacing w:before="120" w:after="160"/>
        <w:ind w:left="360" w:hanging="0"/>
        <w:rPr/>
      </w:pPr>
      <w:r>
        <w:rPr>
          <w:b/>
          <w:bCs/>
        </w:rPr>
        <w:t xml:space="preserve">NOTE: </w:t>
      </w:r>
      <w:r>
        <w:rPr/>
        <w:t>Lock detect output will remain high, red LED on, if any of the synthesizers (RF1, RF2, or IF) have failed.  This includes variations of the Si41xx family which excludes those synthesizers.  It’s good practice to not program any of the respective N or R registers if the variation in use don’t include those synthesizers.  In addition, don’t enable an output if that output is not available on the variation in use.  See page 21 of the Si41xx datasheet for register details; link in ‘References’ section.</w:t>
      </w:r>
    </w:p>
    <w:p>
      <w:pPr>
        <w:pStyle w:val="Normal"/>
        <w:spacing w:before="120" w:after="160"/>
        <w:ind w:left="0" w:hanging="0"/>
        <w:rPr/>
      </w:pPr>
      <w:r>
        <w:rPr/>
      </w:r>
    </w:p>
    <w:p>
      <w:pPr>
        <w:pStyle w:val="Heading1"/>
        <w:rPr/>
      </w:pPr>
      <w:r>
        <w:rPr/>
        <w:t>Configure Minicom Console</w:t>
      </w:r>
    </w:p>
    <w:p>
      <w:pPr>
        <w:pStyle w:val="ListParagraph"/>
        <w:numPr>
          <w:ilvl w:val="0"/>
          <w:numId w:val="2"/>
        </w:numPr>
        <w:spacing w:before="0" w:after="120"/>
        <w:contextualSpacing/>
        <w:rPr/>
      </w:pPr>
      <w:r>
        <w:rPr/>
        <w:t xml:space="preserve">If Minicom has already been configured for your environment, then skip </w:t>
      </w:r>
      <w:r>
        <w:rPr/>
        <w:t xml:space="preserve">this step. - </w:t>
      </w:r>
      <w:r>
        <w:rPr/>
        <w:t>In a terminal install Minicom; E.g. Debian based.</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sudo apt install minicom</w:t>
            </w:r>
          </w:p>
        </w:tc>
      </w:tr>
    </w:tbl>
    <w:p>
      <w:pPr>
        <w:pStyle w:val="ListParagraph"/>
        <w:numPr>
          <w:ilvl w:val="0"/>
          <w:numId w:val="2"/>
        </w:numPr>
        <w:spacing w:before="120" w:after="120"/>
        <w:contextualSpacing/>
        <w:rPr/>
      </w:pPr>
      <w:r>
        <w:rPr/>
        <w:t>Type the following to find the appropriate port.</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sudo dmesg | grep tty.*USB</w:t>
            </w:r>
          </w:p>
        </w:tc>
      </w:tr>
    </w:tbl>
    <w:p>
      <w:pPr>
        <w:pStyle w:val="ListParagraph"/>
        <w:numPr>
          <w:ilvl w:val="0"/>
          <w:numId w:val="2"/>
        </w:numPr>
        <w:spacing w:before="120" w:after="120"/>
        <w:contextualSpacing/>
        <w:rPr/>
      </w:pPr>
      <w:r>
        <w:rPr/>
        <w:t>The output may look something like this, and the correct port is ttyACM0 in this example.</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[ 2246.756830] cdc_acm 2-2:1.2: ttyACM0: USB ACM device</w:t>
            </w:r>
          </w:p>
        </w:tc>
      </w:tr>
    </w:tbl>
    <w:p>
      <w:pPr>
        <w:pStyle w:val="ListParagraph"/>
        <w:numPr>
          <w:ilvl w:val="0"/>
          <w:numId w:val="2"/>
        </w:numPr>
        <w:spacing w:before="120" w:after="120"/>
        <w:contextualSpacing/>
        <w:rPr/>
      </w:pPr>
      <w:r>
        <w:rPr/>
        <w:t xml:space="preserve">Type the following to start the Minicom </w:t>
      </w:r>
      <w:r>
        <w:rPr/>
        <w:t>terminal program</w:t>
      </w:r>
      <w:r>
        <w:rPr/>
        <w:t>.</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sudo minicom -s</w:t>
            </w:r>
          </w:p>
        </w:tc>
      </w:tr>
    </w:tbl>
    <w:p>
      <w:pPr>
        <w:pStyle w:val="ListParagraph"/>
        <w:numPr>
          <w:ilvl w:val="0"/>
          <w:numId w:val="2"/>
        </w:numPr>
        <w:spacing w:before="120" w:after="160"/>
        <w:contextualSpacing/>
        <w:rPr/>
      </w:pPr>
      <w:r>
        <w:rPr/>
        <w:t>Go to the ‘Serial port setup’.</w:t>
      </w:r>
    </w:p>
    <w:p>
      <w:pPr>
        <w:pStyle w:val="ListParagraph"/>
        <w:numPr>
          <w:ilvl w:val="0"/>
          <w:numId w:val="2"/>
        </w:numPr>
        <w:spacing w:before="120" w:after="120"/>
        <w:contextualSpacing/>
        <w:rPr/>
      </w:pPr>
      <w:r>
        <w:rPr/>
        <w:t>Press ‘a’ to change the serial device and enter the correct port; example below.</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A -    Serial Device      : /dev/ttyACM0</w:t>
            </w:r>
          </w:p>
        </w:tc>
      </w:tr>
    </w:tbl>
    <w:p>
      <w:pPr>
        <w:pStyle w:val="ListParagraph"/>
        <w:spacing w:before="120" w:after="160"/>
        <w:ind w:left="720" w:hanging="0"/>
        <w:contextualSpacing/>
        <w:rPr/>
      </w:pPr>
      <w:r>
        <w:rPr/>
      </w:r>
    </w:p>
    <w:p>
      <w:pPr>
        <w:pStyle w:val="ListParagraph"/>
        <w:numPr>
          <w:ilvl w:val="0"/>
          <w:numId w:val="2"/>
        </w:numPr>
        <w:spacing w:before="120" w:after="160"/>
        <w:contextualSpacing/>
        <w:rPr/>
      </w:pPr>
      <w:r>
        <w:rPr/>
        <w:t xml:space="preserve">The default bitrate of both the Si41xx app and </w:t>
      </w:r>
      <w:r>
        <w:rPr/>
        <w:t>M</w:t>
      </w:r>
      <w:r>
        <w:rPr/>
        <w:t>inicom are 115200 bps, so the settings here are sufficient.</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E -    Bps/Par/Bits       : 115200 8N1</w:t>
            </w:r>
          </w:p>
        </w:tc>
      </w:tr>
    </w:tbl>
    <w:p>
      <w:pPr>
        <w:pStyle w:val="ListParagraph"/>
        <w:spacing w:before="120" w:after="160"/>
        <w:ind w:left="720" w:hanging="0"/>
        <w:contextualSpacing/>
        <w:rPr/>
      </w:pPr>
      <w:r>
        <w:rPr/>
      </w:r>
    </w:p>
    <w:p>
      <w:pPr>
        <w:pStyle w:val="ListParagraph"/>
        <w:numPr>
          <w:ilvl w:val="0"/>
          <w:numId w:val="2"/>
        </w:numPr>
        <w:spacing w:before="120" w:after="160"/>
        <w:contextualSpacing/>
        <w:rPr/>
      </w:pPr>
      <w:r>
        <w:rPr/>
        <w:t>Press enter twice to return to the main menu.</w:t>
      </w:r>
    </w:p>
    <w:p>
      <w:pPr>
        <w:pStyle w:val="ListParagraph"/>
        <w:numPr>
          <w:ilvl w:val="0"/>
          <w:numId w:val="2"/>
        </w:numPr>
        <w:spacing w:before="120" w:after="160"/>
        <w:contextualSpacing/>
        <w:rPr/>
      </w:pPr>
      <w:r>
        <w:rPr/>
        <w:t>Select and press enter on ‘Save setup as dfl’ to save configuration as default.</w:t>
      </w:r>
    </w:p>
    <w:p>
      <w:pPr>
        <w:pStyle w:val="ListParagraph"/>
        <w:numPr>
          <w:ilvl w:val="0"/>
          <w:numId w:val="2"/>
        </w:numPr>
        <w:spacing w:before="120" w:after="160"/>
        <w:contextualSpacing/>
        <w:rPr/>
      </w:pPr>
      <w:r>
        <w:rPr/>
        <w:t>Select and press enter on ‘Exit’ to start Minicom.</w:t>
      </w:r>
    </w:p>
    <w:p>
      <w:pPr>
        <w:pStyle w:val="ListParagraph"/>
        <w:numPr>
          <w:ilvl w:val="0"/>
          <w:numId w:val="2"/>
        </w:numPr>
        <w:spacing w:before="120" w:after="160"/>
        <w:contextualSpacing/>
        <w:rPr/>
      </w:pPr>
      <w:r>
        <w:rPr/>
        <w:t>While in Minicom use the key combination ‘CTRL-A X’ to exit.</w:t>
      </w:r>
    </w:p>
    <w:p>
      <w:pPr>
        <w:pStyle w:val="Normal"/>
        <w:spacing w:before="120" w:after="160"/>
        <w:rPr/>
      </w:pPr>
      <w:r>
        <w:rPr/>
      </w:r>
    </w:p>
    <w:p>
      <w:pPr>
        <w:pStyle w:val="Heading1"/>
        <w:rPr/>
      </w:pPr>
      <w:r>
        <w:rPr/>
        <w:t>Control the Si41xx Dev Board</w:t>
      </w:r>
    </w:p>
    <w:p>
      <w:pPr>
        <w:pStyle w:val="ListParagraph"/>
        <w:numPr>
          <w:ilvl w:val="0"/>
          <w:numId w:val="4"/>
        </w:numPr>
        <w:spacing w:before="0" w:after="120"/>
        <w:contextualSpacing/>
        <w:rPr/>
      </w:pPr>
      <w:r>
        <w:rPr/>
        <w:t>In a terminal type the following to start Minicom if it’s already configured.</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sudo minicom</w:t>
            </w:r>
          </w:p>
        </w:tc>
      </w:tr>
    </w:tbl>
    <w:p>
      <w:pPr>
        <w:pStyle w:val="ListParagraph"/>
        <w:numPr>
          <w:ilvl w:val="0"/>
          <w:numId w:val="4"/>
        </w:numPr>
        <w:spacing w:before="120" w:after="120"/>
        <w:contextualSpacing/>
        <w:rPr/>
      </w:pPr>
      <w:r>
        <w:rPr/>
        <w:t xml:space="preserve">Once connected and pressing enter a few times you will see the ch&gt; prompt. </w:t>
      </w:r>
      <w:r>
        <w:rPr/>
        <w:t>Type ‘?’ and press enter to view the Si41xx app commands.</w:t>
      </w:r>
    </w:p>
    <w:tbl>
      <w:tblPr>
        <w:tblStyle w:val="TableGrid"/>
        <w:tblW w:w="945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9450"/>
      </w:tblGrid>
      <w:tr>
        <w:trPr/>
        <w:tc>
          <w:tcPr>
            <w:tcW w:w="945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ourier New" w:hAnsi="Courier New" w:cs="Courier New"/>
                <w:sz w:val="18"/>
                <w:szCs w:val="18"/>
              </w:rPr>
            </w:pPr>
            <w:r>
              <w:rPr>
                <w:rFonts w:eastAsia="Calibri" w:cs="Courier New" w:ascii="Courier New" w:hAnsi="Courier New"/>
                <w:kern w:val="0"/>
                <w:sz w:val="18"/>
                <w:szCs w:val="18"/>
                <w:lang w:val="en-US" w:eastAsia="en-US" w:bidi="ar-SA"/>
              </w:rPr>
              <w:t>Available commands:</w:t>
            </w:r>
          </w:p>
          <w:p>
            <w:pPr>
              <w:pStyle w:val="Normal"/>
              <w:widowControl w:val="false"/>
              <w:suppressAutoHyphens w:val="true"/>
              <w:spacing w:lineRule="auto" w:line="240" w:before="0" w:after="0"/>
              <w:jc w:val="left"/>
              <w:rPr>
                <w:rFonts w:ascii="Courier New" w:hAnsi="Courier New" w:cs="Courier New"/>
                <w:sz w:val="18"/>
                <w:szCs w:val="18"/>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reg:   Update registers,Usage reg &lt;register address&gt; &lt;register value&gt;</w:t>
            </w:r>
          </w:p>
          <w:p>
            <w:pPr>
              <w:pStyle w:val="Normal"/>
              <w:widowControl w:val="false"/>
              <w:suppressAutoHyphens w:val="true"/>
              <w:spacing w:lineRule="auto" w:line="240" w:before="0" w:after="0"/>
              <w:jc w:val="left"/>
              <w:rPr>
                <w:rFonts w:ascii="Courier New" w:hAnsi="Courier New" w:cs="Courier New"/>
                <w:sz w:val="18"/>
                <w:szCs w:val="18"/>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rf1:   Update RF1 registers,Usage: rf1 &lt;frequency in KHz&gt; &lt;Phase detector in KHz&gt;</w:t>
            </w:r>
          </w:p>
          <w:p>
            <w:pPr>
              <w:pStyle w:val="Normal"/>
              <w:widowControl w:val="false"/>
              <w:suppressAutoHyphens w:val="true"/>
              <w:spacing w:lineRule="auto" w:line="240" w:before="0" w:after="0"/>
              <w:jc w:val="left"/>
              <w:rPr>
                <w:rFonts w:ascii="Courier New" w:hAnsi="Courier New" w:cs="Courier New"/>
                <w:sz w:val="18"/>
                <w:szCs w:val="18"/>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rf2:   Update RF2 registers,Usage: rf2 &lt;frequency in KHz&gt; &lt;Phase detector in KHz&gt;</w:t>
            </w:r>
          </w:p>
          <w:p>
            <w:pPr>
              <w:pStyle w:val="Normal"/>
              <w:widowControl w:val="false"/>
              <w:suppressAutoHyphens w:val="true"/>
              <w:spacing w:lineRule="auto" w:line="240" w:before="0" w:after="0"/>
              <w:jc w:val="left"/>
              <w:rPr>
                <w:rFonts w:ascii="Courier New" w:hAnsi="Courier New" w:cs="Courier New"/>
                <w:sz w:val="18"/>
                <w:szCs w:val="18"/>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if:   Update IF registers,Usage: ifr &lt;frequency in KHz&gt; &lt;Phase detector in KHz&gt;</w:t>
            </w:r>
          </w:p>
          <w:p>
            <w:pPr>
              <w:pStyle w:val="Normal"/>
              <w:widowControl w:val="false"/>
              <w:suppressAutoHyphens w:val="true"/>
              <w:spacing w:lineRule="auto" w:line="240" w:before="0" w:after="0"/>
              <w:jc w:val="left"/>
              <w:rPr>
                <w:rFonts w:ascii="Courier New" w:hAnsi="Courier New" w:cs="Courier New"/>
                <w:sz w:val="18"/>
                <w:szCs w:val="18"/>
              </w:rPr>
            </w:pPr>
            <w:r>
              <w:rPr>
                <w:rFonts w:eastAsia="Calibri" w:cs="Courier New" w:ascii="Courier New" w:hAnsi="Courier New"/>
                <w:kern w:val="0"/>
                <w:sz w:val="18"/>
                <w:szCs w:val="18"/>
                <w:lang w:val="en-US" w:eastAsia="en-US" w:bidi="ar-SA"/>
              </w:rPr>
              <w:t xml:space="preserve">    </w:t>
            </w:r>
            <w:r>
              <w:rPr>
                <w:rFonts w:eastAsia="Calibri" w:cs="Courier New" w:ascii="Courier New" w:hAnsi="Courier New"/>
                <w:kern w:val="0"/>
                <w:sz w:val="18"/>
                <w:szCs w:val="18"/>
                <w:lang w:val="en-US" w:eastAsia="en-US" w:bidi="ar-SA"/>
              </w:rPr>
              <w:t>?:   provides list of commands</w:t>
            </w:r>
          </w:p>
        </w:tc>
      </w:tr>
    </w:tbl>
    <w:p>
      <w:pPr>
        <w:pStyle w:val="ListParagraph"/>
        <w:numPr>
          <w:ilvl w:val="0"/>
          <w:numId w:val="4"/>
        </w:numPr>
        <w:spacing w:before="120" w:after="160"/>
        <w:contextualSpacing/>
        <w:rPr/>
      </w:pPr>
      <w:r>
        <w:rPr/>
        <w:t>Use the ‘rf1’, ‘rf2’, and ‘if’ commands to change the output frequency of the respective output.  Since the RF1/2 share the same output, the register written to last will determine the chosen synthesizer and turn off the other.  The synthesizers can tune about +/-15%.</w:t>
      </w:r>
    </w:p>
    <w:p>
      <w:pPr>
        <w:pStyle w:val="ListParagraph"/>
        <w:numPr>
          <w:ilvl w:val="0"/>
          <w:numId w:val="4"/>
        </w:numPr>
        <w:spacing w:before="120" w:after="120"/>
        <w:contextualSpacing/>
        <w:rPr/>
      </w:pPr>
      <w:r>
        <w:rPr/>
        <w:t xml:space="preserve">To </w:t>
      </w:r>
      <w:r>
        <w:rPr/>
        <w:t>shut-</w:t>
      </w:r>
      <w:r>
        <w:rPr/>
        <w:t xml:space="preserve">down an output use the ‘reg’ command with the appropriate register </w:t>
      </w:r>
      <w:r>
        <w:rPr/>
        <w:t>setting</w:t>
      </w:r>
      <w:r>
        <w:rPr/>
        <w:t>.</w:t>
      </w:r>
    </w:p>
    <w:tbl>
      <w:tblPr>
        <w:tblStyle w:val="TableGrid"/>
        <w:tblW w:w="639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1800"/>
        <w:gridCol w:w="4589"/>
      </w:tblGrid>
      <w:tr>
        <w:trPr/>
        <w:tc>
          <w:tcPr>
            <w:tcW w:w="180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reg 2 0b00</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reg 2 0b01</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reg 2 0b10</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reg 2 0b11</w:t>
            </w:r>
          </w:p>
        </w:tc>
        <w:tc>
          <w:tcPr>
            <w:tcW w:w="4589" w:type="dxa"/>
            <w:tcBorders>
              <w:top w:val="nil"/>
              <w:left w:val="dashed" w:sz="4" w:space="0" w:color="000000"/>
              <w:bottom w:val="nil"/>
              <w:right w:val="nil"/>
            </w:tcBorders>
            <w:shd w:color="auto" w:fill="FFFFFF" w:themeFill="background1" w:val="clear"/>
          </w:tcPr>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Disable all outputs</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Disable IF output</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Disable RF1/2 output</w:t>
            </w:r>
          </w:p>
          <w:p>
            <w:pPr>
              <w:pStyle w:val="Normal"/>
              <w:widowControl w:val="false"/>
              <w:suppressAutoHyphens w:val="true"/>
              <w:spacing w:lineRule="auto" w:line="240" w:before="0" w:after="0"/>
              <w:jc w:val="left"/>
              <w:rPr>
                <w:rFonts w:ascii="Courier New" w:hAnsi="Courier New" w:cs="Courier New"/>
              </w:rPr>
            </w:pPr>
            <w:r>
              <w:rPr>
                <w:rFonts w:eastAsia="Calibri" w:cs="Courier New" w:ascii="Courier New" w:hAnsi="Courier New"/>
                <w:kern w:val="0"/>
                <w:sz w:val="22"/>
                <w:szCs w:val="22"/>
                <w:lang w:val="en-US" w:eastAsia="en-US" w:bidi="ar-SA"/>
              </w:rPr>
              <w:t xml:space="preserve"> </w:t>
            </w:r>
            <w:r>
              <w:rPr>
                <w:rFonts w:eastAsia="Calibri" w:cs="Courier New" w:ascii="Courier New" w:hAnsi="Courier New"/>
                <w:kern w:val="0"/>
                <w:sz w:val="22"/>
                <w:szCs w:val="22"/>
                <w:lang w:val="en-US" w:eastAsia="en-US" w:bidi="ar-SA"/>
              </w:rPr>
              <w:t>All enabled</w:t>
            </w:r>
          </w:p>
        </w:tc>
      </w:tr>
    </w:tbl>
    <w:p>
      <w:pPr>
        <w:pStyle w:val="Heading1"/>
        <w:rPr/>
      </w:pPr>
      <w:r>
        <w:rPr/>
      </w:r>
    </w:p>
    <w:p>
      <w:pPr>
        <w:pStyle w:val="Heading1"/>
        <w:rPr/>
      </w:pPr>
      <w:r>
        <w:rPr/>
        <w:t xml:space="preserve">Typical use example </w:t>
      </w:r>
    </w:p>
    <w:p>
      <w:pPr>
        <w:pStyle w:val="ListParagraph"/>
        <w:spacing w:before="0" w:after="120"/>
        <w:ind w:left="720" w:hanging="0"/>
        <w:contextualSpacing/>
        <w:rPr/>
      </w:pPr>
      <w:r>
        <w:rPr/>
        <w:t xml:space="preserve">A typical use case is to setup the synthesizer to output 436.5 MHz, and 1265 MHz signals simultaneously on IF and RF1 ports respectively. Following are the commands to achieve that. </w:t>
      </w:r>
    </w:p>
    <w:tbl>
      <w:tblPr>
        <w:tblStyle w:val="TableGrid"/>
        <w:tblW w:w="7740" w:type="dxa"/>
        <w:jc w:val="left"/>
        <w:tblInd w:w="715" w:type="dxa"/>
        <w:tblLayout w:type="fixed"/>
        <w:tblCellMar>
          <w:top w:w="0" w:type="dxa"/>
          <w:left w:w="108" w:type="dxa"/>
          <w:bottom w:w="0" w:type="dxa"/>
          <w:right w:w="108" w:type="dxa"/>
        </w:tblCellMar>
        <w:tblLook w:val="04a0" w:noHBand="0" w:noVBand="1" w:firstColumn="1" w:lastRow="0" w:lastColumn="0" w:firstRow="1"/>
      </w:tblPr>
      <w:tblGrid>
        <w:gridCol w:w="7740"/>
      </w:tblGrid>
      <w:tr>
        <w:trPr/>
        <w:tc>
          <w:tcPr>
            <w:tcW w:w="7740" w:type="dxa"/>
            <w:tcBorders>
              <w:top w:val="dashed" w:sz="4" w:space="0" w:color="000000"/>
              <w:left w:val="dashed" w:sz="4" w:space="0" w:color="000000"/>
              <w:bottom w:val="dashed" w:sz="4" w:space="0" w:color="000000"/>
              <w:right w:val="dashed" w:sz="4" w:space="0" w:color="000000"/>
            </w:tcBorders>
            <w:shd w:color="auto" w:fill="F2F2F2" w:themeFill="background1" w:themeFillShade="f2" w:val="clear"/>
          </w:tcPr>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ch&gt; reg 2 0b11</w:t>
            </w:r>
          </w:p>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ch&gt; rf1 1265000 500</w:t>
            </w:r>
          </w:p>
          <w:p>
            <w:pPr>
              <w:pStyle w:val="Normal"/>
              <w:widowControl w:val="false"/>
              <w:suppressAutoHyphens w:val="true"/>
              <w:spacing w:lineRule="auto" w:line="240" w:before="0" w:after="0"/>
              <w:jc w:val="left"/>
              <w:rPr>
                <w:rFonts w:eastAsia="Calibri"/>
                <w:kern w:val="0"/>
                <w:sz w:val="22"/>
                <w:szCs w:val="22"/>
                <w:lang w:val="en-US" w:eastAsia="en-US" w:bidi="ar-SA"/>
              </w:rPr>
            </w:pPr>
            <w:r>
              <w:rPr>
                <w:rFonts w:eastAsia="Calibri" w:cs="Courier New" w:ascii="Courier New" w:hAnsi="Courier New"/>
                <w:kern w:val="0"/>
                <w:sz w:val="22"/>
                <w:szCs w:val="22"/>
                <w:lang w:val="en-US" w:eastAsia="en-US" w:bidi="ar-SA"/>
              </w:rPr>
              <w:t>ch&gt; if 436500 500</w:t>
            </w:r>
          </w:p>
        </w:tc>
      </w:tr>
    </w:tbl>
    <w:p>
      <w:pPr>
        <w:pStyle w:val="ListParagraph"/>
        <w:spacing w:before="120" w:after="120"/>
        <w:ind w:left="720" w:hanging="0"/>
        <w:contextualSpacing/>
        <w:rPr/>
      </w:pPr>
      <w:r>
        <w:rPr/>
        <w:t xml:space="preserve">Output signal should now bee seen on each port. The </w:t>
      </w:r>
      <w:r>
        <w:rPr/>
        <w:t xml:space="preserve">output </w:t>
      </w:r>
      <w:r>
        <w:rPr/>
        <w:t xml:space="preserve">signal strength for each is expected to be approximately -8 dBm to +1 dBm, with a typical level being -3 to -4 dBm. See </w:t>
      </w:r>
      <w:r>
        <w:rPr/>
        <w:t xml:space="preserve">the </w:t>
      </w:r>
      <w:r>
        <w:rPr/>
        <w:t>data sheet for details.</w:t>
      </w:r>
    </w:p>
    <w:p>
      <w:pPr>
        <w:pStyle w:val="Heading1"/>
        <w:rPr/>
      </w:pPr>
      <w:r>
        <w:rPr/>
      </w:r>
      <w:r>
        <w:br w:type="page"/>
      </w:r>
    </w:p>
    <w:p>
      <w:pPr>
        <w:pStyle w:val="Heading1"/>
        <w:rPr/>
      </w:pPr>
      <w:r>
        <w:rPr/>
        <w:t>Appendix</w:t>
      </w:r>
    </w:p>
    <w:p>
      <w:pPr>
        <w:pStyle w:val="Normal"/>
        <w:spacing w:before="120" w:after="160"/>
        <w:rPr>
          <w:b/>
          <w:b/>
          <w:bCs/>
        </w:rPr>
      </w:pPr>
      <w:r>
        <w:rPr>
          <w:b/>
          <w:bCs/>
        </w:rPr>
        <w:t>Silicon Labs Si41xx Synthesizer Family Summary:</w:t>
      </w:r>
    </w:p>
    <w:tbl>
      <w:tblPr>
        <w:tblStyle w:val="TableGrid"/>
        <w:tblW w:w="567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417"/>
        <w:gridCol w:w="1418"/>
        <w:gridCol w:w="1417"/>
        <w:gridCol w:w="1417"/>
      </w:tblGrid>
      <w:tr>
        <w:trPr/>
        <w:tc>
          <w:tcPr>
            <w:tcW w:w="141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US" w:eastAsia="en-US" w:bidi="ar-SA"/>
              </w:rPr>
              <w:t>Part</w:t>
            </w:r>
          </w:p>
        </w:tc>
        <w:tc>
          <w:tcPr>
            <w:tcW w:w="1418"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RF1</w:t>
            </w:r>
          </w:p>
        </w:tc>
        <w:tc>
          <w:tcPr>
            <w:tcW w:w="1417"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RF2</w:t>
            </w:r>
          </w:p>
        </w:tc>
        <w:tc>
          <w:tcPr>
            <w:tcW w:w="1417" w:type="dxa"/>
            <w:tcBorders/>
          </w:tcPr>
          <w:p>
            <w:pPr>
              <w:pStyle w:val="Normal"/>
              <w:widowControl w:val="false"/>
              <w:suppressAutoHyphens w:val="true"/>
              <w:spacing w:lineRule="auto" w:line="240" w:before="0" w:after="0"/>
              <w:jc w:val="center"/>
              <w:rPr>
                <w:b/>
                <w:b/>
                <w:bCs/>
              </w:rPr>
            </w:pPr>
            <w:r>
              <w:rPr>
                <w:rFonts w:eastAsia="Calibri" w:cs=""/>
                <w:b/>
                <w:bCs/>
                <w:kern w:val="0"/>
                <w:sz w:val="22"/>
                <w:szCs w:val="22"/>
                <w:lang w:val="en-US" w:eastAsia="en-US" w:bidi="ar-SA"/>
              </w:rPr>
              <w:t>IF</w:t>
            </w:r>
          </w:p>
        </w:tc>
      </w:tr>
      <w:tr>
        <w:trPr/>
        <w:tc>
          <w:tcPr>
            <w:tcW w:w="141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Si4133</w:t>
            </w:r>
          </w:p>
        </w:tc>
        <w:tc>
          <w:tcPr>
            <w:tcW w:w="141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r>
      <w:tr>
        <w:trPr/>
        <w:tc>
          <w:tcPr>
            <w:tcW w:w="141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Si4123</w:t>
            </w:r>
          </w:p>
        </w:tc>
        <w:tc>
          <w:tcPr>
            <w:tcW w:w="141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r>
      <w:tr>
        <w:trPr/>
        <w:tc>
          <w:tcPr>
            <w:tcW w:w="141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Si4122</w:t>
            </w:r>
          </w:p>
        </w:tc>
        <w:tc>
          <w:tcPr>
            <w:tcW w:w="141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r>
      <w:tr>
        <w:trPr/>
        <w:tc>
          <w:tcPr>
            <w:tcW w:w="141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Si4113</w:t>
            </w:r>
          </w:p>
        </w:tc>
        <w:tc>
          <w:tcPr>
            <w:tcW w:w="141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r>
      <w:tr>
        <w:trPr/>
        <w:tc>
          <w:tcPr>
            <w:tcW w:w="141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Si4112</w:t>
            </w:r>
          </w:p>
        </w:tc>
        <w:tc>
          <w:tcPr>
            <w:tcW w:w="1418"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w:t>
            </w:r>
          </w:p>
        </w:tc>
        <w:tc>
          <w:tcPr>
            <w:tcW w:w="1417" w:type="dxa"/>
            <w:tcBorders/>
          </w:tcPr>
          <w:p>
            <w:pPr>
              <w:pStyle w:val="Normal"/>
              <w:widowControl w:val="false"/>
              <w:suppressAutoHyphens w:val="true"/>
              <w:spacing w:lineRule="auto" w:line="240"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X</w:t>
            </w:r>
          </w:p>
        </w:tc>
      </w:tr>
    </w:tbl>
    <w:p>
      <w:pPr>
        <w:pStyle w:val="Normal"/>
        <w:spacing w:before="120" w:after="160"/>
        <w:rPr>
          <w:b/>
          <w:b/>
          <w:bCs/>
        </w:rPr>
      </w:pPr>
      <w:r>
        <w:rPr>
          <w:b/>
          <w:bCs/>
        </w:rPr>
      </w:r>
    </w:p>
    <w:p>
      <w:pPr>
        <w:pStyle w:val="Normal"/>
        <w:spacing w:before="120" w:after="160"/>
        <w:rPr>
          <w:b/>
          <w:b/>
          <w:bCs/>
        </w:rPr>
      </w:pPr>
      <w:r>
        <w:rPr>
          <w:b/>
          <w:bCs/>
        </w:rPr>
        <w:t>Si41xx Main Register Configuration Summary:</w:t>
      </w:r>
    </w:p>
    <w:tbl>
      <w:tblPr>
        <w:tblStyle w:val="TableGrid"/>
        <w:tblW w:w="10430" w:type="dxa"/>
        <w:jc w:val="left"/>
        <w:tblInd w:w="-725" w:type="dxa"/>
        <w:tblLayout w:type="fixed"/>
        <w:tblCellMar>
          <w:top w:w="0" w:type="dxa"/>
          <w:left w:w="108" w:type="dxa"/>
          <w:bottom w:w="0" w:type="dxa"/>
          <w:right w:w="108" w:type="dxa"/>
        </w:tblCellMar>
        <w:tblLook w:val="04a0" w:noHBand="0" w:noVBand="1" w:firstColumn="1" w:lastRow="0" w:lastColumn="0" w:firstRow="1"/>
      </w:tblPr>
      <w:tblGrid>
        <w:gridCol w:w="1140"/>
        <w:gridCol w:w="330"/>
        <w:gridCol w:w="340"/>
        <w:gridCol w:w="360"/>
        <w:gridCol w:w="380"/>
        <w:gridCol w:w="570"/>
        <w:gridCol w:w="680"/>
        <w:gridCol w:w="620"/>
        <w:gridCol w:w="570"/>
        <w:gridCol w:w="280"/>
        <w:gridCol w:w="340"/>
        <w:gridCol w:w="340"/>
        <w:gridCol w:w="340"/>
        <w:gridCol w:w="850"/>
        <w:gridCol w:w="290"/>
        <w:gridCol w:w="900"/>
        <w:gridCol w:w="910"/>
        <w:gridCol w:w="790"/>
        <w:gridCol w:w="400"/>
      </w:tblGrid>
      <w:tr>
        <w:trPr/>
        <w:tc>
          <w:tcPr>
            <w:tcW w:w="1140" w:type="dxa"/>
            <w:tcBorders/>
          </w:tcPr>
          <w:p>
            <w:pPr>
              <w:pStyle w:val="Normal"/>
              <w:widowControl w:val="false"/>
              <w:suppressAutoHyphens w:val="true"/>
              <w:spacing w:lineRule="auto" w:line="240" w:before="120" w:after="0"/>
              <w:jc w:val="left"/>
              <w:rPr>
                <w:b/>
                <w:b/>
                <w:bCs/>
              </w:rPr>
            </w:pPr>
            <w:r>
              <w:rPr>
                <w:rFonts w:eastAsia="Calibri" w:cs=""/>
                <w:b/>
                <w:bCs/>
                <w:kern w:val="0"/>
                <w:sz w:val="22"/>
                <w:szCs w:val="22"/>
                <w:lang w:val="en-US" w:eastAsia="en-US" w:bidi="ar-SA"/>
              </w:rPr>
              <w:t>Bit</w:t>
            </w:r>
          </w:p>
        </w:tc>
        <w:tc>
          <w:tcPr>
            <w:tcW w:w="33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17</w:t>
            </w:r>
          </w:p>
        </w:tc>
        <w:tc>
          <w:tcPr>
            <w:tcW w:w="34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16</w:t>
            </w:r>
          </w:p>
        </w:tc>
        <w:tc>
          <w:tcPr>
            <w:tcW w:w="36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15</w:t>
            </w:r>
          </w:p>
        </w:tc>
        <w:tc>
          <w:tcPr>
            <w:tcW w:w="38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14</w:t>
            </w:r>
          </w:p>
        </w:tc>
        <w:tc>
          <w:tcPr>
            <w:tcW w:w="57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13</w:t>
            </w:r>
          </w:p>
        </w:tc>
        <w:tc>
          <w:tcPr>
            <w:tcW w:w="68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12</w:t>
            </w:r>
          </w:p>
        </w:tc>
        <w:tc>
          <w:tcPr>
            <w:tcW w:w="62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11</w:t>
            </w:r>
          </w:p>
        </w:tc>
        <w:tc>
          <w:tcPr>
            <w:tcW w:w="57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10</w:t>
            </w:r>
          </w:p>
        </w:tc>
        <w:tc>
          <w:tcPr>
            <w:tcW w:w="28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9</w:t>
            </w:r>
          </w:p>
        </w:tc>
        <w:tc>
          <w:tcPr>
            <w:tcW w:w="34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8</w:t>
            </w:r>
          </w:p>
        </w:tc>
        <w:tc>
          <w:tcPr>
            <w:tcW w:w="34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7</w:t>
            </w:r>
          </w:p>
        </w:tc>
        <w:tc>
          <w:tcPr>
            <w:tcW w:w="34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6</w:t>
            </w:r>
          </w:p>
        </w:tc>
        <w:tc>
          <w:tcPr>
            <w:tcW w:w="85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5</w:t>
            </w:r>
          </w:p>
        </w:tc>
        <w:tc>
          <w:tcPr>
            <w:tcW w:w="29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4</w:t>
            </w:r>
          </w:p>
        </w:tc>
        <w:tc>
          <w:tcPr>
            <w:tcW w:w="90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3</w:t>
            </w:r>
          </w:p>
        </w:tc>
        <w:tc>
          <w:tcPr>
            <w:tcW w:w="91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2</w:t>
            </w:r>
          </w:p>
        </w:tc>
        <w:tc>
          <w:tcPr>
            <w:tcW w:w="79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1</w:t>
            </w:r>
          </w:p>
        </w:tc>
        <w:tc>
          <w:tcPr>
            <w:tcW w:w="400" w:type="dxa"/>
            <w:tcBorders/>
          </w:tcPr>
          <w:p>
            <w:pPr>
              <w:pStyle w:val="Normal"/>
              <w:widowControl w:val="false"/>
              <w:suppressAutoHyphens w:val="true"/>
              <w:spacing w:lineRule="auto" w:line="240" w:before="120" w:after="0"/>
              <w:jc w:val="center"/>
              <w:rPr>
                <w:b/>
                <w:b/>
                <w:bCs/>
              </w:rPr>
            </w:pPr>
            <w:r>
              <w:rPr>
                <w:rFonts w:eastAsia="Calibri" w:cs=""/>
                <w:b/>
                <w:bCs/>
                <w:kern w:val="0"/>
                <w:sz w:val="22"/>
                <w:szCs w:val="22"/>
                <w:lang w:val="en-US" w:eastAsia="en-US" w:bidi="ar-SA"/>
              </w:rPr>
              <w:t>0</w:t>
            </w:r>
          </w:p>
        </w:tc>
      </w:tr>
      <w:tr>
        <w:trPr/>
        <w:tc>
          <w:tcPr>
            <w:tcW w:w="1140" w:type="dxa"/>
            <w:tcBorders/>
            <w:vAlign w:val="center"/>
          </w:tcPr>
          <w:p>
            <w:pPr>
              <w:pStyle w:val="Normal"/>
              <w:widowControl w:val="false"/>
              <w:suppressAutoHyphens w:val="true"/>
              <w:spacing w:lineRule="auto" w:line="240" w:before="120" w:after="0"/>
              <w:jc w:val="left"/>
              <w:rPr>
                <w:b/>
                <w:b/>
                <w:bCs/>
              </w:rPr>
            </w:pPr>
            <w:r>
              <w:rPr>
                <w:rFonts w:eastAsia="Calibri" w:cs=""/>
                <w:b/>
                <w:bCs/>
                <w:kern w:val="0"/>
                <w:sz w:val="22"/>
                <w:szCs w:val="22"/>
                <w:lang w:val="en-US" w:eastAsia="en-US" w:bidi="ar-SA"/>
              </w:rPr>
              <w:t>Name</w:t>
            </w:r>
          </w:p>
        </w:tc>
        <w:tc>
          <w:tcPr>
            <w:tcW w:w="33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6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8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50" w:type="dxa"/>
            <w:gridSpan w:val="2"/>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AUXSEL</w:t>
            </w:r>
          </w:p>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1190" w:type="dxa"/>
            <w:gridSpan w:val="2"/>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IFDIV</w:t>
            </w:r>
          </w:p>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[1:0]</w:t>
            </w:r>
          </w:p>
        </w:tc>
        <w:tc>
          <w:tcPr>
            <w:tcW w:w="28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85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LPWR</w:t>
            </w:r>
          </w:p>
        </w:tc>
        <w:tc>
          <w:tcPr>
            <w:tcW w:w="29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90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Auto</w:t>
            </w:r>
          </w:p>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PDB</w:t>
            </w:r>
          </w:p>
        </w:tc>
        <w:tc>
          <w:tcPr>
            <w:tcW w:w="91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Auto</w:t>
            </w:r>
          </w:p>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Kp</w:t>
            </w:r>
          </w:p>
        </w:tc>
        <w:tc>
          <w:tcPr>
            <w:tcW w:w="79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RF</w:t>
            </w:r>
          </w:p>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PWR</w:t>
            </w:r>
          </w:p>
        </w:tc>
        <w:tc>
          <w:tcPr>
            <w:tcW w:w="40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r>
      <w:tr>
        <w:trPr/>
        <w:tc>
          <w:tcPr>
            <w:tcW w:w="1140" w:type="dxa"/>
            <w:tcBorders/>
            <w:vAlign w:val="center"/>
          </w:tcPr>
          <w:p>
            <w:pPr>
              <w:pStyle w:val="Normal"/>
              <w:widowControl w:val="false"/>
              <w:suppressAutoHyphens w:val="true"/>
              <w:spacing w:lineRule="auto" w:line="240" w:before="120" w:after="0"/>
              <w:jc w:val="left"/>
              <w:rPr>
                <w:b/>
                <w:b/>
                <w:bCs/>
              </w:rPr>
            </w:pPr>
            <w:r>
              <w:rPr>
                <w:rFonts w:eastAsia="Calibri" w:cs=""/>
                <w:b/>
                <w:bCs/>
                <w:kern w:val="0"/>
                <w:sz w:val="22"/>
                <w:szCs w:val="22"/>
                <w:lang w:val="en-US" w:eastAsia="en-US" w:bidi="ar-SA"/>
              </w:rPr>
              <w:t>Default</w:t>
            </w:r>
          </w:p>
        </w:tc>
        <w:tc>
          <w:tcPr>
            <w:tcW w:w="33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6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8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1250" w:type="dxa"/>
            <w:gridSpan w:val="2"/>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11</w:t>
            </w:r>
          </w:p>
        </w:tc>
        <w:tc>
          <w:tcPr>
            <w:tcW w:w="1190" w:type="dxa"/>
            <w:gridSpan w:val="2"/>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00</w:t>
            </w:r>
          </w:p>
        </w:tc>
        <w:tc>
          <w:tcPr>
            <w:tcW w:w="28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34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85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29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90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91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1</w:t>
            </w:r>
          </w:p>
        </w:tc>
        <w:tc>
          <w:tcPr>
            <w:tcW w:w="79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c>
          <w:tcPr>
            <w:tcW w:w="400" w:type="dxa"/>
            <w:tcBorders/>
            <w:vAlign w:val="center"/>
          </w:tcPr>
          <w:p>
            <w:pPr>
              <w:pStyle w:val="Normal"/>
              <w:widowControl w:val="false"/>
              <w:suppressAutoHyphens w:val="true"/>
              <w:spacing w:lineRule="auto" w:line="240" w:before="12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t>0</w:t>
            </w:r>
          </w:p>
        </w:tc>
      </w:tr>
    </w:tbl>
    <w:p>
      <w:pPr>
        <w:pStyle w:val="Normal"/>
        <w:spacing w:before="120" w:after="160"/>
        <w:rPr>
          <w:b/>
          <w:b/>
          <w:bCs/>
        </w:rPr>
      </w:pPr>
      <w:r>
        <w:rPr>
          <w:b/>
          <w:bCs/>
        </w:rPr>
      </w:r>
    </w:p>
    <w:p>
      <w:pPr>
        <w:pStyle w:val="Normal"/>
        <w:spacing w:before="120" w:after="160"/>
        <w:rPr>
          <w:b/>
          <w:b/>
          <w:bCs/>
        </w:rPr>
      </w:pPr>
      <w:r>
        <w:rPr>
          <w:b/>
          <w:bCs/>
        </w:rPr>
        <w:t>NUCLEO-F446RE Pin Layout:</w:t>
      </w:r>
    </w:p>
    <w:p>
      <w:pPr>
        <w:pStyle w:val="Normal"/>
        <w:keepNext w:val="true"/>
        <w:spacing w:before="120" w:after="160"/>
        <w:jc w:val="center"/>
        <w:rPr/>
      </w:pPr>
      <w:r>
        <w:rPr/>
        <mc:AlternateContent>
          <mc:Choice Requires="wps">
            <w:drawing>
              <wp:anchor behindDoc="0" distT="0" distB="8890" distL="0" distR="0" simplePos="0" locked="0" layoutInCell="0" allowOverlap="1" relativeHeight="4" wp14:anchorId="211C6371">
                <wp:simplePos x="0" y="0"/>
                <wp:positionH relativeFrom="margin">
                  <wp:posOffset>415925</wp:posOffset>
                </wp:positionH>
                <wp:positionV relativeFrom="paragraph">
                  <wp:posOffset>2820670</wp:posOffset>
                </wp:positionV>
                <wp:extent cx="502285" cy="542925"/>
                <wp:effectExtent l="0" t="0" r="0" b="9525"/>
                <wp:wrapNone/>
                <wp:docPr id="8" name="Text Box 2"/>
                <a:graphic xmlns:a="http://schemas.openxmlformats.org/drawingml/2006/main">
                  <a:graphicData uri="http://schemas.microsoft.com/office/word/2010/wordprocessingShape">
                    <wps:wsp>
                      <wps:cNvSpPr/>
                      <wps:spPr>
                        <a:xfrm>
                          <a:off x="0" y="0"/>
                          <a:ext cx="502200" cy="542880"/>
                        </a:xfrm>
                        <a:prstGeom prst="rect">
                          <a:avLst/>
                        </a:prstGeom>
                        <a:solidFill>
                          <a:srgbClr val="ffffff"/>
                        </a:solidFill>
                        <a:ln w="9525">
                          <a:noFill/>
                        </a:ln>
                      </wps:spPr>
                      <wps:style>
                        <a:lnRef idx="0"/>
                        <a:fillRef idx="0"/>
                        <a:effectRef idx="0"/>
                        <a:fontRef idx="minor"/>
                      </wps:style>
                      <wps:txbx>
                        <w:txbxContent>
                          <w:p>
                            <w:pPr>
                              <w:pStyle w:val="FrameContents"/>
                              <w:rPr>
                                <w:b/>
                                <w:b/>
                                <w:bCs/>
                                <w:sz w:val="18"/>
                                <w:szCs w:val="18"/>
                              </w:rPr>
                            </w:pPr>
                            <w:r>
                              <w:rPr>
                                <w:b/>
                                <w:bCs/>
                                <w:color w:val="000000"/>
                                <w:sz w:val="18"/>
                                <w:szCs w:val="18"/>
                              </w:rPr>
                              <w:t>CLK</w:t>
                            </w:r>
                          </w:p>
                          <w:p>
                            <w:pPr>
                              <w:pStyle w:val="FrameContents"/>
                              <w:spacing w:before="0" w:after="160"/>
                              <w:rPr>
                                <w:b/>
                                <w:b/>
                                <w:bCs/>
                                <w:sz w:val="18"/>
                                <w:szCs w:val="18"/>
                              </w:rPr>
                            </w:pPr>
                            <w:r>
                              <w:rPr>
                                <w:b/>
                                <w:bCs/>
                                <w:color w:val="000000"/>
                                <w:sz w:val="18"/>
                                <w:szCs w:val="18"/>
                              </w:rPr>
                              <w:t>DATA</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32.75pt;margin-top:222.1pt;width:39.5pt;height:42.7pt;mso-wrap-style:square;v-text-anchor:top;mso-position-horizontal-relative:margin" wp14:anchorId="211C6371">
                <v:fill o:detectmouseclick="t" type="solid" color2="black"/>
                <v:stroke color="#3465a4" weight="9360" joinstyle="round" endcap="flat"/>
                <v:textbox>
                  <w:txbxContent>
                    <w:p>
                      <w:pPr>
                        <w:pStyle w:val="FrameContents"/>
                        <w:rPr>
                          <w:b/>
                          <w:b/>
                          <w:bCs/>
                          <w:sz w:val="18"/>
                          <w:szCs w:val="18"/>
                        </w:rPr>
                      </w:pPr>
                      <w:r>
                        <w:rPr>
                          <w:b/>
                          <w:bCs/>
                          <w:color w:val="000000"/>
                          <w:sz w:val="18"/>
                          <w:szCs w:val="18"/>
                        </w:rPr>
                        <w:t>CLK</w:t>
                      </w:r>
                    </w:p>
                    <w:p>
                      <w:pPr>
                        <w:pStyle w:val="FrameContents"/>
                        <w:spacing w:before="0" w:after="160"/>
                        <w:rPr>
                          <w:b/>
                          <w:b/>
                          <w:bCs/>
                          <w:sz w:val="18"/>
                          <w:szCs w:val="18"/>
                        </w:rPr>
                      </w:pPr>
                      <w:r>
                        <w:rPr>
                          <w:b/>
                          <w:bCs/>
                          <w:color w:val="000000"/>
                          <w:sz w:val="18"/>
                          <w:szCs w:val="18"/>
                        </w:rPr>
                        <w:t>DATA</w:t>
                      </w:r>
                    </w:p>
                  </w:txbxContent>
                </v:textbox>
                <w10:wrap type="none"/>
              </v:rect>
            </w:pict>
          </mc:Fallback>
        </mc:AlternateContent>
        <mc:AlternateContent>
          <mc:Choice Requires="wps">
            <w:drawing>
              <wp:anchor behindDoc="0" distT="0" distB="5080" distL="0" distR="0" simplePos="0" locked="0" layoutInCell="0" allowOverlap="1" relativeHeight="6" wp14:anchorId="2957278D">
                <wp:simplePos x="0" y="0"/>
                <wp:positionH relativeFrom="margin">
                  <wp:posOffset>5092700</wp:posOffset>
                </wp:positionH>
                <wp:positionV relativeFrom="paragraph">
                  <wp:posOffset>2761615</wp:posOffset>
                </wp:positionV>
                <wp:extent cx="443230" cy="280035"/>
                <wp:effectExtent l="0" t="0" r="0" b="5715"/>
                <wp:wrapNone/>
                <wp:docPr id="10" name="Text Box 2"/>
                <a:graphic xmlns:a="http://schemas.openxmlformats.org/drawingml/2006/main">
                  <a:graphicData uri="http://schemas.microsoft.com/office/word/2010/wordprocessingShape">
                    <wps:wsp>
                      <wps:cNvSpPr/>
                      <wps:spPr>
                        <a:xfrm>
                          <a:off x="0" y="0"/>
                          <a:ext cx="443160" cy="280080"/>
                        </a:xfrm>
                        <a:prstGeom prst="rect">
                          <a:avLst/>
                        </a:prstGeom>
                        <a:solidFill>
                          <a:srgbClr val="ffffff"/>
                        </a:solidFill>
                        <a:ln w="9525">
                          <a:noFill/>
                        </a:ln>
                      </wps:spPr>
                      <wps:style>
                        <a:lnRef idx="0"/>
                        <a:fillRef idx="0"/>
                        <a:effectRef idx="0"/>
                        <a:fontRef idx="minor"/>
                      </wps:style>
                      <wps:txbx>
                        <w:txbxContent>
                          <w:p>
                            <w:pPr>
                              <w:pStyle w:val="FrameContents"/>
                              <w:spacing w:before="0" w:after="160"/>
                              <w:rPr>
                                <w:b/>
                                <w:b/>
                                <w:bCs/>
                                <w:sz w:val="18"/>
                                <w:szCs w:val="18"/>
                              </w:rPr>
                            </w:pPr>
                            <w:r>
                              <w:rPr>
                                <w:b/>
                                <w:bCs/>
                                <w:color w:val="000000"/>
                                <w:sz w:val="18"/>
                                <w:szCs w:val="18"/>
                              </w:rPr>
                              <w:t>/EN</w:t>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401pt;margin-top:217.45pt;width:34.85pt;height:22pt;mso-wrap-style:square;v-text-anchor:top;mso-position-horizontal-relative:margin" wp14:anchorId="2957278D">
                <v:fill o:detectmouseclick="t" type="solid" color2="black"/>
                <v:stroke color="#3465a4" weight="9360" joinstyle="round" endcap="flat"/>
                <v:textbox>
                  <w:txbxContent>
                    <w:p>
                      <w:pPr>
                        <w:pStyle w:val="FrameContents"/>
                        <w:spacing w:before="0" w:after="160"/>
                        <w:rPr>
                          <w:b/>
                          <w:b/>
                          <w:bCs/>
                          <w:sz w:val="18"/>
                          <w:szCs w:val="18"/>
                        </w:rPr>
                      </w:pPr>
                      <w:r>
                        <w:rPr>
                          <w:b/>
                          <w:bCs/>
                          <w:color w:val="000000"/>
                          <w:sz w:val="18"/>
                          <w:szCs w:val="18"/>
                        </w:rPr>
                        <w:t>/EN</w:t>
                      </w:r>
                    </w:p>
                  </w:txbxContent>
                </v:textbox>
                <w10:wrap type="none"/>
              </v:rect>
            </w:pict>
          </mc:Fallback>
        </mc:AlternateContent>
        <mc:AlternateContent>
          <mc:Choice Requires="wps">
            <w:drawing>
              <wp:anchor behindDoc="0" distT="3810" distB="24765" distL="1270" distR="0" simplePos="0" locked="0" layoutInCell="0" allowOverlap="1" relativeHeight="8" wp14:anchorId="4BBFCCA3">
                <wp:simplePos x="0" y="0"/>
                <wp:positionH relativeFrom="column">
                  <wp:posOffset>713740</wp:posOffset>
                </wp:positionH>
                <wp:positionV relativeFrom="paragraph">
                  <wp:posOffset>2948305</wp:posOffset>
                </wp:positionV>
                <wp:extent cx="334645" cy="57785"/>
                <wp:effectExtent l="1270" t="3810" r="0" b="24765"/>
                <wp:wrapNone/>
                <wp:docPr id="12" name="Straight Arrow Connector 4"/>
                <a:graphic xmlns:a="http://schemas.openxmlformats.org/drawingml/2006/main">
                  <a:graphicData uri="http://schemas.microsoft.com/office/word/2010/wordprocessingShape">
                    <wps:wsp>
                      <wps:cNvSpPr/>
                      <wps:spPr>
                        <a:xfrm>
                          <a:off x="0" y="0"/>
                          <a:ext cx="334800" cy="579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4" stroked="t" o:allowincell="f" style="position:absolute;margin-left:56.2pt;margin-top:232.15pt;width:26.3pt;height:4.5pt;mso-wrap-style:none;v-text-anchor:middle" wp14:anchorId="4BBFCCA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14605" distB="3175" distL="1905" distR="0" simplePos="0" locked="0" layoutInCell="0" allowOverlap="1" relativeHeight="9" wp14:anchorId="7B4B0247">
                <wp:simplePos x="0" y="0"/>
                <wp:positionH relativeFrom="column">
                  <wp:posOffset>800735</wp:posOffset>
                </wp:positionH>
                <wp:positionV relativeFrom="paragraph">
                  <wp:posOffset>3115945</wp:posOffset>
                </wp:positionV>
                <wp:extent cx="243205" cy="73025"/>
                <wp:effectExtent l="1905" t="14605" r="0" b="3175"/>
                <wp:wrapNone/>
                <wp:docPr id="13" name="Straight Arrow Connector 5"/>
                <a:graphic xmlns:a="http://schemas.openxmlformats.org/drawingml/2006/main">
                  <a:graphicData uri="http://schemas.microsoft.com/office/word/2010/wordprocessingShape">
                    <wps:wsp>
                      <wps:cNvSpPr/>
                      <wps:spPr>
                        <a:xfrm flipV="1">
                          <a:off x="0" y="0"/>
                          <a:ext cx="243360" cy="730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 stroked="t" o:allowincell="f" style="position:absolute;margin-left:63.05pt;margin-top:245.35pt;width:19.1pt;height:5.7pt;flip:y;mso-wrap-style:none;v-text-anchor:middle" wp14:anchorId="7B4B0247"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37465" distL="0" distR="635" simplePos="0" locked="0" layoutInCell="0" allowOverlap="1" relativeHeight="10" wp14:anchorId="53B116A8">
                <wp:simplePos x="0" y="0"/>
                <wp:positionH relativeFrom="column">
                  <wp:posOffset>4890770</wp:posOffset>
                </wp:positionH>
                <wp:positionV relativeFrom="paragraph">
                  <wp:posOffset>2886710</wp:posOffset>
                </wp:positionV>
                <wp:extent cx="274320" cy="635"/>
                <wp:effectExtent l="0" t="38100" r="635" b="37465"/>
                <wp:wrapNone/>
                <wp:docPr id="14" name="Straight Arrow Connector 6"/>
                <a:graphic xmlns:a="http://schemas.openxmlformats.org/drawingml/2006/main">
                  <a:graphicData uri="http://schemas.microsoft.com/office/word/2010/wordprocessingShape">
                    <wps:wsp>
                      <wps:cNvSpPr/>
                      <wps:spPr>
                        <a:xfrm flipH="1">
                          <a:off x="0" y="0"/>
                          <a:ext cx="274320" cy="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 stroked="t" o:allowincell="f" style="position:absolute;margin-left:385.1pt;margin-top:227.3pt;width:21.55pt;height:0pt;flip:x;mso-wrap-style:none;v-text-anchor:middle" wp14:anchorId="53B116A8" type="_x0000_t32">
                <v:fill o:detectmouseclick="t" on="false"/>
                <v:stroke color="black" weight="6480" endarrow="block" endarrowwidth="medium" endarrowlength="medium" joinstyle="miter" endcap="flat"/>
                <w10:wrap type="none"/>
              </v:shape>
            </w:pict>
          </mc:Fallback>
        </mc:AlternateContent>
        <w:drawing>
          <wp:inline distT="0" distB="0" distL="0" distR="0">
            <wp:extent cx="4370705" cy="3560445"/>
            <wp:effectExtent l="0" t="0" r="0" b="0"/>
            <wp:docPr id="1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
                    <pic:cNvPicPr>
                      <a:picLocks noChangeAspect="1" noChangeArrowheads="1"/>
                    </pic:cNvPicPr>
                  </pic:nvPicPr>
                  <pic:blipFill>
                    <a:blip r:embed="rId5"/>
                    <a:srcRect l="0" t="3893" r="0" b="3393"/>
                    <a:stretch>
                      <a:fillRect/>
                    </a:stretch>
                  </pic:blipFill>
                  <pic:spPr bwMode="auto">
                    <a:xfrm>
                      <a:off x="0" y="0"/>
                      <a:ext cx="4370705" cy="3560445"/>
                    </a:xfrm>
                    <a:prstGeom prst="rect">
                      <a:avLst/>
                    </a:prstGeom>
                  </pic:spPr>
                </pic:pic>
              </a:graphicData>
            </a:graphic>
          </wp:inline>
        </w:drawing>
      </w:r>
    </w:p>
    <w:p>
      <w:pPr>
        <w:pStyle w:val="Caption1"/>
        <w:jc w:val="center"/>
        <w:rPr/>
      </w:pPr>
      <w:bookmarkStart w:id="2" w:name="_Ref21771487"/>
      <w:r>
        <w:rPr/>
        <w:t xml:space="preserve">Figure </w:t>
      </w:r>
      <w:r>
        <w:rPr/>
        <w:fldChar w:fldCharType="begin"/>
      </w:r>
      <w:r>
        <w:rPr/>
        <w:instrText xml:space="preserve"> SEQ Figure \* ARABIC </w:instrText>
      </w:r>
      <w:r>
        <w:rPr/>
        <w:fldChar w:fldCharType="separate"/>
      </w:r>
      <w:r>
        <w:rPr/>
        <w:t>2</w:t>
      </w:r>
      <w:r>
        <w:rPr/>
        <w:fldChar w:fldCharType="end"/>
      </w:r>
      <w:bookmarkEnd w:id="2"/>
      <w:r>
        <w:rPr/>
        <w:t>: NUCLEO-F446RE pin layout with associated Si41xx connections</w:t>
      </w:r>
    </w:p>
    <w:p>
      <w:pPr>
        <w:pStyle w:val="Heading1"/>
        <w:rPr/>
      </w:pPr>
      <w:r>
        <w:rPr/>
        <w:t>GitHub Repos</w:t>
      </w:r>
    </w:p>
    <w:p>
      <w:pPr>
        <w:pStyle w:val="Normal"/>
        <w:spacing w:before="0" w:after="0"/>
        <w:rPr>
          <w:b/>
          <w:b/>
          <w:bCs/>
        </w:rPr>
      </w:pPr>
      <w:r>
        <w:rPr/>
      </w:r>
    </w:p>
    <w:p>
      <w:pPr>
        <w:pStyle w:val="Normal"/>
        <w:spacing w:before="0" w:after="0"/>
        <w:rPr>
          <w:b/>
          <w:b/>
          <w:bCs/>
        </w:rPr>
      </w:pPr>
      <w:r>
        <w:rPr>
          <w:b/>
          <w:bCs/>
        </w:rPr>
        <w:t>Si41xx Synthesizer Firmware:</w:t>
      </w:r>
    </w:p>
    <w:p>
      <w:pPr>
        <w:pStyle w:val="Normal"/>
        <w:rPr/>
      </w:pPr>
      <w:hyperlink r:id="rId6">
        <w:r>
          <w:rPr>
            <w:rStyle w:val="InternetLink"/>
          </w:rPr>
          <w:t>https://github.com/oresat/oresat-firmware/tree/c3_synth/src/f4/app_si41xx</w:t>
        </w:r>
      </w:hyperlink>
    </w:p>
    <w:p>
      <w:pPr>
        <w:pStyle w:val="Normal"/>
        <w:spacing w:before="0" w:after="0"/>
        <w:rPr>
          <w:b/>
          <w:b/>
          <w:bCs/>
        </w:rPr>
      </w:pPr>
      <w:r>
        <w:rPr/>
      </w:r>
    </w:p>
    <w:p>
      <w:pPr>
        <w:pStyle w:val="Normal"/>
        <w:spacing w:before="0" w:after="0"/>
        <w:rPr>
          <w:b/>
          <w:b/>
          <w:bCs/>
        </w:rPr>
      </w:pPr>
      <w:r>
        <w:rPr>
          <w:b/>
          <w:bCs/>
        </w:rPr>
        <w:t>Si41xx EAGLE CAD Schematics/Layouts (synthesizer* files):</w:t>
      </w:r>
    </w:p>
    <w:p>
      <w:pPr>
        <w:pStyle w:val="Normal"/>
        <w:rPr/>
      </w:pPr>
      <w:hyperlink r:id="rId7">
        <w:r>
          <w:rPr>
            <w:rStyle w:val="InternetLink"/>
          </w:rPr>
          <w:t>https://github.com/oresat/oresat-c3-rf/tree/master/eagle</w:t>
        </w:r>
      </w:hyperlink>
    </w:p>
    <w:p>
      <w:pPr>
        <w:pStyle w:val="Heading1"/>
        <w:rPr/>
      </w:pPr>
      <w:r>
        <w:rPr/>
      </w:r>
    </w:p>
    <w:p>
      <w:pPr>
        <w:pStyle w:val="Heading1"/>
        <w:rPr/>
      </w:pPr>
      <w:r>
        <w:rPr/>
        <w:t>References</w:t>
      </w:r>
    </w:p>
    <w:p>
      <w:pPr>
        <w:pStyle w:val="Normal"/>
        <w:spacing w:before="0" w:after="0"/>
        <w:rPr>
          <w:b/>
          <w:b/>
          <w:bCs/>
        </w:rPr>
      </w:pPr>
      <w:r>
        <w:rPr/>
      </w:r>
    </w:p>
    <w:p>
      <w:pPr>
        <w:pStyle w:val="Normal"/>
        <w:spacing w:before="0" w:after="0"/>
        <w:rPr>
          <w:b/>
          <w:b/>
          <w:bCs/>
        </w:rPr>
      </w:pPr>
      <w:r>
        <w:rPr>
          <w:b/>
          <w:bCs/>
        </w:rPr>
        <w:t>Silicon Labs Si41xx Synthesizer Datasheet:</w:t>
      </w:r>
    </w:p>
    <w:p>
      <w:pPr>
        <w:pStyle w:val="Normal"/>
        <w:rPr/>
      </w:pPr>
      <w:hyperlink r:id="rId8">
        <w:r>
          <w:rPr>
            <w:rStyle w:val="InternetLink"/>
          </w:rPr>
          <w:t>https://www.skyworksinc.com/-/media/Skyworks/SL/documents/public/data-sheets/si4133.pdf</w:t>
        </w:r>
      </w:hyperlink>
    </w:p>
    <w:p>
      <w:pPr>
        <w:pStyle w:val="Normal"/>
        <w:spacing w:before="0" w:after="0"/>
        <w:rPr>
          <w:b/>
          <w:b/>
          <w:bCs/>
        </w:rPr>
      </w:pPr>
      <w:r>
        <w:rPr/>
      </w:r>
    </w:p>
    <w:p>
      <w:pPr>
        <w:pStyle w:val="Normal"/>
        <w:spacing w:before="0" w:after="0"/>
        <w:rPr>
          <w:b/>
          <w:b/>
          <w:bCs/>
        </w:rPr>
      </w:pPr>
      <w:r>
        <w:rPr>
          <w:b/>
          <w:bCs/>
        </w:rPr>
        <w:t>STM32 Nucleo-64 Development Board (NUCLEO-F446RE):</w:t>
      </w:r>
    </w:p>
    <w:p>
      <w:pPr>
        <w:pStyle w:val="Normal"/>
        <w:rPr/>
      </w:pPr>
      <w:hyperlink r:id="rId9">
        <w:r>
          <w:rPr>
            <w:rStyle w:val="InternetLink"/>
          </w:rPr>
          <w:t>https://www.st.com/en/evaluation-tools/nucleo-f446re.html</w:t>
        </w:r>
      </w:hyperlink>
    </w:p>
    <w:p>
      <w:pPr>
        <w:pStyle w:val="Heading1"/>
        <w:rPr/>
      </w:pPr>
      <w:r>
        <w:rPr/>
      </w:r>
    </w:p>
    <w:p>
      <w:pPr>
        <w:pStyle w:val="Heading1"/>
        <w:rPr/>
      </w:pPr>
      <w:r>
        <w:rPr/>
        <w:t>Document History</w:t>
      </w:r>
    </w:p>
    <w:p>
      <w:pPr>
        <w:pStyle w:val="NoSpacing"/>
        <w:numPr>
          <w:ilvl w:val="0"/>
          <w:numId w:val="0"/>
        </w:numPr>
        <w:ind w:left="720" w:hanging="0"/>
        <w:jc w:val="left"/>
        <w:rPr>
          <w:sz w:val="24"/>
          <w:szCs w:val="24"/>
        </w:rPr>
      </w:pPr>
      <w:r>
        <w:rPr/>
      </w:r>
    </w:p>
    <w:p>
      <w:pPr>
        <w:pStyle w:val="NoSpacing"/>
        <w:numPr>
          <w:ilvl w:val="0"/>
          <w:numId w:val="5"/>
        </w:numPr>
        <w:jc w:val="left"/>
        <w:rPr>
          <w:sz w:val="24"/>
          <w:szCs w:val="24"/>
        </w:rPr>
      </w:pPr>
      <w:r>
        <w:rPr>
          <w:sz w:val="24"/>
          <w:szCs w:val="24"/>
        </w:rPr>
        <w:t>V1.0 – 2019-10-12 – Original document preparation.</w:t>
      </w:r>
    </w:p>
    <w:p>
      <w:pPr>
        <w:pStyle w:val="NoSpacing"/>
        <w:numPr>
          <w:ilvl w:val="1"/>
          <w:numId w:val="5"/>
        </w:numPr>
        <w:jc w:val="left"/>
        <w:rPr>
          <w:sz w:val="24"/>
          <w:szCs w:val="24"/>
        </w:rPr>
      </w:pPr>
      <w:r>
        <w:rPr>
          <w:sz w:val="24"/>
          <w:szCs w:val="24"/>
        </w:rPr>
        <w:t>Evangelos Mastrogiannis, KJ7AOG</w:t>
      </w:r>
    </w:p>
    <w:p>
      <w:pPr>
        <w:pStyle w:val="NoSpacing"/>
        <w:numPr>
          <w:ilvl w:val="1"/>
          <w:numId w:val="5"/>
        </w:numPr>
        <w:jc w:val="left"/>
        <w:rPr>
          <w:sz w:val="24"/>
          <w:szCs w:val="24"/>
        </w:rPr>
      </w:pPr>
      <w:r>
        <w:rPr>
          <w:sz w:val="24"/>
          <w:szCs w:val="24"/>
        </w:rPr>
        <w:t>Malay Das, KG7ZVV</w:t>
      </w:r>
    </w:p>
    <w:p>
      <w:pPr>
        <w:pStyle w:val="NoSpacing"/>
        <w:numPr>
          <w:ilvl w:val="0"/>
          <w:numId w:val="5"/>
        </w:numPr>
        <w:jc w:val="left"/>
        <w:rPr>
          <w:sz w:val="24"/>
          <w:szCs w:val="24"/>
        </w:rPr>
      </w:pPr>
      <w:r>
        <w:rPr>
          <w:sz w:val="24"/>
          <w:szCs w:val="24"/>
        </w:rPr>
        <w:t>V1.1 – 2023-07-12 – Minor improvements for clarification and updates.</w:t>
      </w:r>
    </w:p>
    <w:p>
      <w:pPr>
        <w:pStyle w:val="NoSpacing"/>
        <w:numPr>
          <w:ilvl w:val="1"/>
          <w:numId w:val="5"/>
        </w:numPr>
        <w:jc w:val="left"/>
        <w:rPr>
          <w:sz w:val="24"/>
          <w:szCs w:val="24"/>
        </w:rPr>
      </w:pPr>
      <w:r>
        <w:rPr>
          <w:sz w:val="24"/>
          <w:szCs w:val="24"/>
        </w:rPr>
        <w:t>G.N. LeBrasseur, KJ7SU</w:t>
      </w:r>
    </w:p>
    <w:p>
      <w:pPr>
        <w:pStyle w:val="NoSpacing"/>
        <w:jc w:val="left"/>
        <w:rPr>
          <w:sz w:val="24"/>
          <w:szCs w:val="24"/>
        </w:rPr>
      </w:pPr>
      <w:r>
        <w:rPr>
          <w:sz w:val="24"/>
          <w:szCs w:val="24"/>
        </w:rPr>
      </w:r>
    </w:p>
    <w:p>
      <w:pPr>
        <w:pStyle w:val="NoSpacing"/>
        <w:jc w:val="left"/>
        <w:rPr>
          <w:sz w:val="24"/>
          <w:szCs w:val="24"/>
        </w:rPr>
      </w:pPr>
      <w:r>
        <w:rPr>
          <w:sz w:val="24"/>
          <w:szCs w:val="24"/>
        </w:rPr>
      </w:r>
    </w:p>
    <w:p>
      <w:pPr>
        <w:pStyle w:val="NoSpacing"/>
        <w:jc w:val="center"/>
        <w:rPr>
          <w:sz w:val="24"/>
          <w:szCs w:val="24"/>
        </w:rPr>
      </w:pPr>
      <w:r>
        <w:rPr/>
      </w:r>
    </w:p>
    <w:sectPr>
      <w:footerReference w:type="default" r:id="rId10"/>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PSAS / OreSat</w:t>
      <w:tab/>
    </w:r>
    <w:r>
      <w:rPr/>
      <w:fldChar w:fldCharType="begin"/>
    </w:r>
    <w:r>
      <w:rPr/>
      <w:instrText xml:space="preserve"> PAGE </w:instrText>
    </w:r>
    <w:r>
      <w:rPr/>
      <w:fldChar w:fldCharType="separate"/>
    </w:r>
    <w:r>
      <w:rPr/>
      <w:t>6</w:t>
    </w:r>
    <w:r>
      <w:rPr/>
      <w:fldChar w:fldCharType="end"/>
    </w:r>
    <w:r>
      <w:rPr/>
      <w:tab/>
      <w:t>2019-10-12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7e4c3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680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6807"/>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e6807"/>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4e6807"/>
    <w:rPr>
      <w:color w:val="0563C1" w:themeColor="hyperlink"/>
      <w:u w:val="single"/>
    </w:rPr>
  </w:style>
  <w:style w:type="character" w:styleId="UnresolvedMention">
    <w:name w:val="Unresolved Mention"/>
    <w:basedOn w:val="DefaultParagraphFont"/>
    <w:uiPriority w:val="99"/>
    <w:semiHidden/>
    <w:unhideWhenUsed/>
    <w:qFormat/>
    <w:rsid w:val="004e6807"/>
    <w:rPr>
      <w:color w:val="605E5C"/>
      <w:shd w:fill="E1DFDD" w:val="clear"/>
    </w:rPr>
  </w:style>
  <w:style w:type="character" w:styleId="HeaderChar" w:customStyle="1">
    <w:name w:val="Header Char"/>
    <w:basedOn w:val="DefaultParagraphFont"/>
    <w:link w:val="Header"/>
    <w:uiPriority w:val="99"/>
    <w:qFormat/>
    <w:rsid w:val="00c35a43"/>
    <w:rPr/>
  </w:style>
  <w:style w:type="character" w:styleId="FooterChar" w:customStyle="1">
    <w:name w:val="Footer Char"/>
    <w:basedOn w:val="DefaultParagraphFont"/>
    <w:link w:val="Footer"/>
    <w:uiPriority w:val="99"/>
    <w:qFormat/>
    <w:rsid w:val="00c35a4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e680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e6807"/>
    <w:pPr>
      <w:spacing w:before="0" w:after="160"/>
      <w:ind w:left="720" w:hanging="0"/>
      <w:contextualSpacing/>
    </w:pPr>
    <w:rPr/>
  </w:style>
  <w:style w:type="paragraph" w:styleId="NoSpacing">
    <w:name w:val="No Spacing"/>
    <w:uiPriority w:val="1"/>
    <w:qFormat/>
    <w:rsid w:val="006e74dc"/>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35a4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35a43"/>
    <w:pPr>
      <w:tabs>
        <w:tab w:val="clear" w:pos="720"/>
        <w:tab w:val="center" w:pos="4680" w:leader="none"/>
        <w:tab w:val="right" w:pos="9360" w:leader="none"/>
      </w:tabs>
      <w:spacing w:lineRule="auto" w:line="240" w:before="0" w:after="0"/>
    </w:pPr>
    <w:rPr/>
  </w:style>
  <w:style w:type="paragraph" w:styleId="Caption1">
    <w:name w:val="caption"/>
    <w:basedOn w:val="Normal"/>
    <w:next w:val="Normal"/>
    <w:uiPriority w:val="35"/>
    <w:unhideWhenUsed/>
    <w:qFormat/>
    <w:rsid w:val="00db2bb2"/>
    <w:pPr>
      <w:spacing w:lineRule="auto" w:line="240" w:before="0" w:after="200"/>
    </w:pPr>
    <w:rPr>
      <w:i/>
      <w:iCs/>
      <w:color w:val="44546A" w:themeColor="text2"/>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850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oresat/oresat-firmware/tree/c3_synth/src/f4/app_si41xx" TargetMode="External"/><Relationship Id="rId7" Type="http://schemas.openxmlformats.org/officeDocument/2006/relationships/hyperlink" Target="https://github.com/oresat/oresat-c3-rf/tree/master/eagle" TargetMode="External"/><Relationship Id="rId8" Type="http://schemas.openxmlformats.org/officeDocument/2006/relationships/hyperlink" Target="https://www.skyworksinc.com/-/media/Skyworks/SL/documents/public/data-sheets/si4133.pdf" TargetMode="External"/><Relationship Id="rId9" Type="http://schemas.openxmlformats.org/officeDocument/2006/relationships/hyperlink" Target="https://www.st.com/en/evaluation-tools/nucleo-f446re.html"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23A0C-B68B-45C6-A831-2CE34392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Application>LibreOffice/7.3.7.2$Linux_X86_64 LibreOffice_project/30$Build-2</Application>
  <AppVersion>15.0000</AppVersion>
  <Pages>6</Pages>
  <Words>1131</Words>
  <Characters>5808</Characters>
  <CharactersWithSpaces>6788</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2019-10-11T01:35:00Z</dcterms:created>
  <dc:creator>Vigely Mastro</dc:creator>
  <dc:description/>
  <dc:language>en-CA</dc:language>
  <cp:lastModifiedBy/>
  <cp:lastPrinted>2019-10-12T21:29:00Z</cp:lastPrinted>
  <dcterms:modified xsi:type="dcterms:W3CDTF">2023-07-12T13:10:02Z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