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20" w:line="360" w:lineRule="auto"/>
        <w:jc w:val="center"/>
      </w:pPr>
      <w:r>
        <w:rPr>
          <w:rFonts w:ascii="Times New Roman" w:hAnsi="Times New Roman" w:eastAsia="Times New Roman"/>
          <w:b/>
          <w:i w:val="0"/>
          <w:color w:val="000000"/>
          <w:sz w:val="32"/>
        </w:rPr>
        <w:t>NETRIX: An Integrated Web-Based Enterprise Network Planning Framework for Automated VLSM, IPv4/IPv6 Addressing, Configuration Generation and Documentation</w:t>
      </w:r>
    </w:p>
    <w:p>
      <w:pPr>
        <w:spacing w:after="400" w:line="360" w:lineRule="auto"/>
        <w:jc w:val="center"/>
      </w:pPr>
      <w:r>
        <w:rPr>
          <w:rFonts w:ascii="Times New Roman" w:hAnsi="Times New Roman" w:eastAsia="Times New Roman"/>
          <w:b/>
          <w:i w:val="0"/>
          <w:color w:val="000000"/>
          <w:sz w:val="26"/>
        </w:rPr>
        <w:t>A Project Dissertation</w:t>
      </w:r>
    </w:p>
    <w:p>
      <w:pPr>
        <w:spacing w:after="160" w:line="360" w:lineRule="auto"/>
        <w:jc w:val="center"/>
      </w:pPr>
      <w:r>
        <w:rPr>
          <w:rFonts w:ascii="Times New Roman" w:hAnsi="Times New Roman" w:eastAsia="Times New Roman"/>
          <w:b w:val="0"/>
          <w:i w:val="0"/>
          <w:color w:val="000000"/>
          <w:sz w:val="22"/>
        </w:rPr>
        <w:t>Submitted in partial fulfilment of the requirements for the award of the degree</w:t>
      </w:r>
    </w:p>
    <w:p>
      <w:pPr>
        <w:spacing w:after="320" w:line="360" w:lineRule="auto"/>
        <w:jc w:val="center"/>
      </w:pPr>
      <w:r>
        <w:rPr>
          <w:rFonts w:ascii="Times New Roman" w:hAnsi="Times New Roman" w:eastAsia="Times New Roman"/>
          <w:b/>
          <w:i w:val="0"/>
          <w:color w:val="000000"/>
          <w:sz w:val="24"/>
        </w:rPr>
        <w:t>[Programme Name]</w:t>
      </w:r>
    </w:p>
    <w:p>
      <w:pPr>
        <w:spacing w:after="160" w:line="360" w:lineRule="auto"/>
        <w:jc w:val="center"/>
      </w:pPr>
      <w:r>
        <w:rPr>
          <w:rFonts w:ascii="Times New Roman" w:hAnsi="Times New Roman" w:eastAsia="Times New Roman"/>
          <w:b w:val="0"/>
          <w:i w:val="0"/>
          <w:color w:val="000000"/>
          <w:sz w:val="22"/>
        </w:rPr>
        <w:t>By</w:t>
      </w:r>
    </w:p>
    <w:p>
      <w:pPr>
        <w:spacing w:after="160" w:line="360" w:lineRule="auto"/>
        <w:jc w:val="center"/>
      </w:pPr>
      <w:r>
        <w:rPr>
          <w:rFonts w:ascii="Times New Roman" w:hAnsi="Times New Roman" w:eastAsia="Times New Roman"/>
          <w:b/>
          <w:i w:val="0"/>
          <w:color w:val="000000"/>
          <w:sz w:val="26"/>
        </w:rPr>
        <w:t>[Student Full Name]</w:t>
      </w:r>
    </w:p>
    <w:p>
      <w:pPr>
        <w:spacing w:after="320" w:line="360" w:lineRule="auto"/>
        <w:jc w:val="center"/>
      </w:pPr>
      <w:r>
        <w:rPr>
          <w:rFonts w:ascii="Times New Roman" w:hAnsi="Times New Roman" w:eastAsia="Times New Roman"/>
          <w:b w:val="0"/>
          <w:i w:val="0"/>
          <w:color w:val="000000"/>
          <w:sz w:val="22"/>
        </w:rPr>
        <w:t>[Student ID]</w:t>
      </w:r>
    </w:p>
    <w:p>
      <w:pPr>
        <w:spacing w:after="160" w:line="360" w:lineRule="auto"/>
        <w:jc w:val="center"/>
      </w:pPr>
      <w:r>
        <w:rPr>
          <w:rFonts w:ascii="Times New Roman" w:hAnsi="Times New Roman" w:eastAsia="Times New Roman"/>
          <w:b w:val="0"/>
          <w:i w:val="0"/>
          <w:color w:val="000000"/>
          <w:sz w:val="22"/>
        </w:rPr>
        <w:t>[Department / Faculty]</w:t>
      </w:r>
    </w:p>
    <w:p>
      <w:pPr>
        <w:spacing w:after="320" w:line="360" w:lineRule="auto"/>
        <w:jc w:val="center"/>
      </w:pPr>
      <w:r>
        <w:rPr>
          <w:rFonts w:ascii="Times New Roman" w:hAnsi="Times New Roman" w:eastAsia="Times New Roman"/>
          <w:b w:val="0"/>
          <w:i w:val="0"/>
          <w:color w:val="000000"/>
          <w:sz w:val="22"/>
        </w:rPr>
        <w:t>[Institution Name]</w:t>
      </w:r>
    </w:p>
    <w:p>
      <w:pPr>
        <w:spacing w:after="160" w:line="360" w:lineRule="auto"/>
        <w:jc w:val="center"/>
      </w:pPr>
      <w:r>
        <w:rPr>
          <w:rFonts w:ascii="Times New Roman" w:hAnsi="Times New Roman" w:eastAsia="Times New Roman"/>
          <w:b w:val="0"/>
          <w:i w:val="0"/>
          <w:color w:val="000000"/>
          <w:sz w:val="24"/>
        </w:rPr>
        <w:t>August 2026</w:t>
      </w:r>
    </w:p>
    <w:p>
      <w:r>
        <w:br w:type="page"/>
      </w:r>
    </w:p>
    <w:p>
      <w:pPr>
        <w:spacing w:before="320" w:after="160"/>
      </w:pPr>
      <w:r>
        <w:rPr>
          <w:rFonts w:ascii="Times New Roman" w:hAnsi="Times New Roman" w:eastAsia="Times New Roman"/>
          <w:b/>
          <w:i w:val="0"/>
          <w:color w:val="000000"/>
          <w:sz w:val="32"/>
        </w:rPr>
        <w:t>Declaration</w:t>
      </w:r>
    </w:p>
    <w:p>
      <w:pPr>
        <w:spacing w:after="160" w:line="360" w:lineRule="auto"/>
        <w:jc w:val="both"/>
      </w:pPr>
      <w:r>
        <w:rPr>
          <w:rFonts w:ascii="Times New Roman" w:hAnsi="Times New Roman" w:eastAsia="Times New Roman"/>
          <w:b w:val="0"/>
          <w:i w:val="0"/>
          <w:color w:val="000000"/>
          <w:sz w:val="24"/>
        </w:rPr>
        <w:t>I hereby declare that this dissertation is my own original work and has not been submitted previously for any degree or examination at this or any other institution. All sources of information have been acknowledged using Harvard-style references. The software system described, NETRIX, was designed and implemented as part of this research, and evaluation results are based on genuine experimental activity.</w:t>
      </w:r>
    </w:p>
    <w:p>
      <w:pPr>
        <w:spacing w:after="160" w:line="360" w:lineRule="auto"/>
        <w:jc w:val="left"/>
      </w:pPr>
      <w:r>
        <w:rPr>
          <w:rFonts w:ascii="Times New Roman" w:hAnsi="Times New Roman" w:eastAsia="Times New Roman"/>
          <w:b w:val="0"/>
          <w:i w:val="0"/>
          <w:color w:val="000000"/>
          <w:sz w:val="24"/>
        </w:rPr>
        <w:br/>
        <w:t>Signature: ___________________________     Date: _______________</w:t>
      </w:r>
    </w:p>
    <w:p>
      <w:pPr>
        <w:spacing w:after="160" w:line="360" w:lineRule="auto"/>
        <w:jc w:val="left"/>
      </w:pPr>
      <w:r>
        <w:rPr>
          <w:rFonts w:ascii="Times New Roman" w:hAnsi="Times New Roman" w:eastAsia="Times New Roman"/>
          <w:b w:val="0"/>
          <w:i w:val="0"/>
          <w:color w:val="000000"/>
          <w:sz w:val="24"/>
        </w:rPr>
        <w:t>Name: [Student Full Name]</w:t>
      </w:r>
    </w:p>
    <w:p>
      <w:r>
        <w:br w:type="page"/>
      </w:r>
    </w:p>
    <w:p>
      <w:pPr>
        <w:spacing w:before="320" w:after="160"/>
      </w:pPr>
      <w:r>
        <w:rPr>
          <w:rFonts w:ascii="Times New Roman" w:hAnsi="Times New Roman" w:eastAsia="Times New Roman"/>
          <w:b/>
          <w:i w:val="0"/>
          <w:color w:val="000000"/>
          <w:sz w:val="32"/>
        </w:rPr>
        <w:t>Abstract</w:t>
      </w:r>
    </w:p>
    <w:p>
      <w:pPr>
        <w:spacing w:after="160" w:line="360" w:lineRule="auto"/>
        <w:jc w:val="both"/>
      </w:pPr>
      <w:r>
        <w:rPr>
          <w:rFonts w:ascii="Times New Roman" w:hAnsi="Times New Roman" w:eastAsia="Times New Roman"/>
          <w:b w:val="0"/>
          <w:i w:val="0"/>
          <w:color w:val="000000"/>
          <w:sz w:val="24"/>
        </w:rPr>
        <w:t>Enterprise network design is still often performed with disconnected calculators, spreadsheets, simulators and document editors. This fragmentation increases the risk of VLSM errors, inconsistent documentation and weak dual-stack planning (Oppenheimer, 2011; Lammle, 2016). This dissertation presents NETRIX, a web-based planning framework that integrates requirements capture, automated VLSM and IPv6 Unique Local Address (ULA) allocation, multi-device Cisco-style configuration generation, topology and UML-oriented diagrams, professional reporting, Packet Tracer lab guidance and optional SSH configuration push.</w:t>
      </w:r>
    </w:p>
    <w:p>
      <w:pPr>
        <w:spacing w:after="160" w:line="360" w:lineRule="auto"/>
        <w:jc w:val="both"/>
      </w:pPr>
      <w:r>
        <w:rPr>
          <w:rFonts w:ascii="Times New Roman" w:hAnsi="Times New Roman" w:eastAsia="Times New Roman"/>
          <w:b w:val="0"/>
          <w:i w:val="0"/>
          <w:color w:val="000000"/>
          <w:sz w:val="24"/>
        </w:rPr>
        <w:t>NETRIX was implemented with Python Flask, SQLAlchemy, role-based access control and a Bootstrap front end (Grinberg, 2018). Evaluation on multi-department scenarios under IPv4, IPv6 and dual-stack modes showed consistent address plans, coherent multi-device configurations and complete documentation packs. Comparative analysis against subnet calculators, spreadsheets, Cisco Packet Tracer, IPAM platforms and Ansible-style automation indicates that NETRIX occupies a complementary planning and educational niche rather than replacing production inventory or fleet orchestration tools (Cisco Networking Academy, n.d.; Mehta, 2021).</w:t>
      </w:r>
    </w:p>
    <w:p>
      <w:pPr>
        <w:spacing w:after="160" w:line="360" w:lineRule="auto"/>
        <w:jc w:val="both"/>
      </w:pPr>
      <w:r>
        <w:rPr>
          <w:rFonts w:ascii="Times New Roman" w:hAnsi="Times New Roman" w:eastAsia="Times New Roman"/>
          <w:b w:val="0"/>
          <w:i/>
          <w:color w:val="000000"/>
          <w:sz w:val="24"/>
        </w:rPr>
        <w:t>Keywords: enterprise network planning; VLSM; IPv6 ULA; dual-stack; Cisco IOS; Flask; Packet Tracer; network automation; Harvard citation practice.</w:t>
      </w:r>
    </w:p>
    <w:p>
      <w:r>
        <w:br w:type="page"/>
      </w:r>
    </w:p>
    <w:p>
      <w:pPr>
        <w:spacing w:before="320" w:after="160"/>
      </w:pPr>
      <w:r>
        <w:rPr>
          <w:rFonts w:ascii="Times New Roman" w:hAnsi="Times New Roman" w:eastAsia="Times New Roman"/>
          <w:b/>
          <w:i w:val="0"/>
          <w:color w:val="000000"/>
          <w:sz w:val="32"/>
        </w:rPr>
        <w:t>Contents</w:t>
      </w:r>
    </w:p>
    <w:p>
      <w:pPr>
        <w:spacing w:after="40" w:line="360" w:lineRule="auto"/>
        <w:jc w:val="left"/>
      </w:pPr>
      <w:r>
        <w:rPr>
          <w:rFonts w:ascii="Times New Roman" w:hAnsi="Times New Roman" w:eastAsia="Times New Roman"/>
          <w:b w:val="0"/>
          <w:i w:val="0"/>
          <w:color w:val="000000"/>
          <w:sz w:val="22"/>
        </w:rPr>
        <w:t>Declaration</w:t>
      </w:r>
    </w:p>
    <w:p>
      <w:pPr>
        <w:spacing w:after="40" w:line="360" w:lineRule="auto"/>
        <w:jc w:val="left"/>
      </w:pPr>
      <w:r>
        <w:rPr>
          <w:rFonts w:ascii="Times New Roman" w:hAnsi="Times New Roman" w:eastAsia="Times New Roman"/>
          <w:b w:val="0"/>
          <w:i w:val="0"/>
          <w:color w:val="000000"/>
          <w:sz w:val="22"/>
        </w:rPr>
        <w:t>Abstract</w:t>
      </w:r>
    </w:p>
    <w:p>
      <w:pPr>
        <w:spacing w:after="40" w:line="360" w:lineRule="auto"/>
        <w:jc w:val="left"/>
      </w:pPr>
      <w:r>
        <w:rPr>
          <w:rFonts w:ascii="Times New Roman" w:hAnsi="Times New Roman" w:eastAsia="Times New Roman"/>
          <w:b w:val="0"/>
          <w:i w:val="0"/>
          <w:color w:val="000000"/>
          <w:sz w:val="22"/>
        </w:rPr>
        <w:t>1  Introduction</w:t>
      </w:r>
    </w:p>
    <w:p>
      <w:pPr>
        <w:spacing w:after="40" w:line="360" w:lineRule="auto"/>
        <w:jc w:val="left"/>
      </w:pPr>
      <w:r>
        <w:rPr>
          <w:rFonts w:ascii="Times New Roman" w:hAnsi="Times New Roman" w:eastAsia="Times New Roman"/>
          <w:b w:val="0"/>
          <w:i w:val="0"/>
          <w:color w:val="000000"/>
          <w:sz w:val="22"/>
        </w:rPr>
        <w:t xml:space="preserve">    1.1 Background</w:t>
      </w:r>
    </w:p>
    <w:p>
      <w:pPr>
        <w:spacing w:after="40" w:line="360" w:lineRule="auto"/>
        <w:jc w:val="left"/>
      </w:pPr>
      <w:r>
        <w:rPr>
          <w:rFonts w:ascii="Times New Roman" w:hAnsi="Times New Roman" w:eastAsia="Times New Roman"/>
          <w:b w:val="0"/>
          <w:i w:val="0"/>
          <w:color w:val="000000"/>
          <w:sz w:val="22"/>
        </w:rPr>
        <w:t xml:space="preserve">    1.2 Aims</w:t>
      </w:r>
    </w:p>
    <w:p>
      <w:pPr>
        <w:spacing w:after="40" w:line="360" w:lineRule="auto"/>
        <w:jc w:val="left"/>
      </w:pPr>
      <w:r>
        <w:rPr>
          <w:rFonts w:ascii="Times New Roman" w:hAnsi="Times New Roman" w:eastAsia="Times New Roman"/>
          <w:b w:val="0"/>
          <w:i w:val="0"/>
          <w:color w:val="000000"/>
          <w:sz w:val="22"/>
        </w:rPr>
        <w:t xml:space="preserve">    1.3 Objectives</w:t>
      </w:r>
    </w:p>
    <w:p>
      <w:pPr>
        <w:spacing w:after="40" w:line="360" w:lineRule="auto"/>
        <w:jc w:val="left"/>
      </w:pPr>
      <w:r>
        <w:rPr>
          <w:rFonts w:ascii="Times New Roman" w:hAnsi="Times New Roman" w:eastAsia="Times New Roman"/>
          <w:b w:val="0"/>
          <w:i w:val="0"/>
          <w:color w:val="000000"/>
          <w:sz w:val="22"/>
        </w:rPr>
        <w:t xml:space="preserve">    1.4 Research Approach</w:t>
      </w:r>
    </w:p>
    <w:p>
      <w:pPr>
        <w:spacing w:after="40" w:line="360" w:lineRule="auto"/>
        <w:jc w:val="left"/>
      </w:pPr>
      <w:r>
        <w:rPr>
          <w:rFonts w:ascii="Times New Roman" w:hAnsi="Times New Roman" w:eastAsia="Times New Roman"/>
          <w:b w:val="0"/>
          <w:i w:val="0"/>
          <w:color w:val="000000"/>
          <w:sz w:val="22"/>
        </w:rPr>
        <w:t xml:space="preserve">    1.5 Structure of the Report</w:t>
      </w:r>
    </w:p>
    <w:p>
      <w:pPr>
        <w:spacing w:after="40" w:line="360" w:lineRule="auto"/>
        <w:jc w:val="left"/>
      </w:pPr>
      <w:r>
        <w:rPr>
          <w:rFonts w:ascii="Times New Roman" w:hAnsi="Times New Roman" w:eastAsia="Times New Roman"/>
          <w:b w:val="0"/>
          <w:i w:val="0"/>
          <w:color w:val="000000"/>
          <w:sz w:val="22"/>
        </w:rPr>
        <w:t xml:space="preserve">    1.6 Ethical, Social, Professional, Legal and Security Considerations</w:t>
      </w:r>
    </w:p>
    <w:p>
      <w:pPr>
        <w:spacing w:after="40" w:line="360" w:lineRule="auto"/>
        <w:jc w:val="left"/>
      </w:pPr>
      <w:r>
        <w:rPr>
          <w:rFonts w:ascii="Times New Roman" w:hAnsi="Times New Roman" w:eastAsia="Times New Roman"/>
          <w:b w:val="0"/>
          <w:i w:val="0"/>
          <w:color w:val="000000"/>
          <w:sz w:val="22"/>
        </w:rPr>
        <w:t>2  Literature Review</w:t>
      </w:r>
    </w:p>
    <w:p>
      <w:pPr>
        <w:spacing w:after="40" w:line="360" w:lineRule="auto"/>
        <w:jc w:val="left"/>
      </w:pPr>
      <w:r>
        <w:rPr>
          <w:rFonts w:ascii="Times New Roman" w:hAnsi="Times New Roman" w:eastAsia="Times New Roman"/>
          <w:b w:val="0"/>
          <w:i w:val="0"/>
          <w:color w:val="000000"/>
          <w:sz w:val="22"/>
        </w:rPr>
        <w:t xml:space="preserve">    2.1 Network Planning Methodology</w:t>
      </w:r>
    </w:p>
    <w:p>
      <w:pPr>
        <w:spacing w:after="40" w:line="360" w:lineRule="auto"/>
        <w:jc w:val="left"/>
      </w:pPr>
      <w:r>
        <w:rPr>
          <w:rFonts w:ascii="Times New Roman" w:hAnsi="Times New Roman" w:eastAsia="Times New Roman"/>
          <w:b w:val="0"/>
          <w:i w:val="0"/>
          <w:color w:val="000000"/>
          <w:sz w:val="22"/>
        </w:rPr>
        <w:t xml:space="preserve">    2.2 Addressing and VLSM</w:t>
      </w:r>
    </w:p>
    <w:p>
      <w:pPr>
        <w:spacing w:after="40" w:line="360" w:lineRule="auto"/>
        <w:jc w:val="left"/>
      </w:pPr>
      <w:r>
        <w:rPr>
          <w:rFonts w:ascii="Times New Roman" w:hAnsi="Times New Roman" w:eastAsia="Times New Roman"/>
          <w:b w:val="0"/>
          <w:i w:val="0"/>
          <w:color w:val="000000"/>
          <w:sz w:val="22"/>
        </w:rPr>
        <w:t xml:space="preserve">    2.3 IPv6 and Dual-Stack Design</w:t>
      </w:r>
    </w:p>
    <w:p>
      <w:pPr>
        <w:spacing w:after="40" w:line="360" w:lineRule="auto"/>
        <w:jc w:val="left"/>
      </w:pPr>
      <w:r>
        <w:rPr>
          <w:rFonts w:ascii="Times New Roman" w:hAnsi="Times New Roman" w:eastAsia="Times New Roman"/>
          <w:b w:val="0"/>
          <w:i w:val="0"/>
          <w:color w:val="000000"/>
          <w:sz w:val="22"/>
        </w:rPr>
        <w:t xml:space="preserve">    2.4 Configuration Management and Automation</w:t>
      </w:r>
    </w:p>
    <w:p>
      <w:pPr>
        <w:spacing w:after="40" w:line="360" w:lineRule="auto"/>
        <w:jc w:val="left"/>
      </w:pPr>
      <w:r>
        <w:rPr>
          <w:rFonts w:ascii="Times New Roman" w:hAnsi="Times New Roman" w:eastAsia="Times New Roman"/>
          <w:b w:val="0"/>
          <w:i w:val="0"/>
          <w:color w:val="000000"/>
          <w:sz w:val="22"/>
        </w:rPr>
        <w:t xml:space="preserve">    2.5 Simulation, IPAM and Documentation Tools</w:t>
      </w:r>
    </w:p>
    <w:p>
      <w:pPr>
        <w:spacing w:after="40" w:line="360" w:lineRule="auto"/>
        <w:jc w:val="left"/>
      </w:pPr>
      <w:r>
        <w:rPr>
          <w:rFonts w:ascii="Times New Roman" w:hAnsi="Times New Roman" w:eastAsia="Times New Roman"/>
          <w:b w:val="0"/>
          <w:i w:val="0"/>
          <w:color w:val="000000"/>
          <w:sz w:val="22"/>
        </w:rPr>
        <w:t xml:space="preserve">    2.6 Comparison of Existing Applications</w:t>
      </w:r>
    </w:p>
    <w:p>
      <w:pPr>
        <w:spacing w:after="40" w:line="360" w:lineRule="auto"/>
        <w:jc w:val="left"/>
      </w:pPr>
      <w:r>
        <w:rPr>
          <w:rFonts w:ascii="Times New Roman" w:hAnsi="Times New Roman" w:eastAsia="Times New Roman"/>
          <w:b w:val="0"/>
          <w:i w:val="0"/>
          <w:color w:val="000000"/>
          <w:sz w:val="22"/>
        </w:rPr>
        <w:t xml:space="preserve">    2.7 Web Architectures and Literature Gaps</w:t>
      </w:r>
    </w:p>
    <w:p>
      <w:pPr>
        <w:spacing w:after="40" w:line="360" w:lineRule="auto"/>
        <w:jc w:val="left"/>
      </w:pPr>
      <w:r>
        <w:rPr>
          <w:rFonts w:ascii="Times New Roman" w:hAnsi="Times New Roman" w:eastAsia="Times New Roman"/>
          <w:b w:val="0"/>
          <w:i w:val="0"/>
          <w:color w:val="000000"/>
          <w:sz w:val="22"/>
        </w:rPr>
        <w:t>3  Practical Research Methodology</w:t>
      </w:r>
    </w:p>
    <w:p>
      <w:pPr>
        <w:spacing w:after="40" w:line="360" w:lineRule="auto"/>
        <w:jc w:val="left"/>
      </w:pPr>
      <w:r>
        <w:rPr>
          <w:rFonts w:ascii="Times New Roman" w:hAnsi="Times New Roman" w:eastAsia="Times New Roman"/>
          <w:b w:val="0"/>
          <w:i w:val="0"/>
          <w:color w:val="000000"/>
          <w:sz w:val="22"/>
        </w:rPr>
        <w:t xml:space="preserve">    3.1 Approach 1 – Fragmented Toolchain</w:t>
      </w:r>
    </w:p>
    <w:p>
      <w:pPr>
        <w:spacing w:after="40" w:line="360" w:lineRule="auto"/>
        <w:jc w:val="left"/>
      </w:pPr>
      <w:r>
        <w:rPr>
          <w:rFonts w:ascii="Times New Roman" w:hAnsi="Times New Roman" w:eastAsia="Times New Roman"/>
          <w:b w:val="0"/>
          <w:i w:val="0"/>
          <w:color w:val="000000"/>
          <w:sz w:val="22"/>
        </w:rPr>
        <w:t xml:space="preserve">    3.2 Approach 2 – Integrated NETRIX</w:t>
      </w:r>
    </w:p>
    <w:p>
      <w:pPr>
        <w:spacing w:after="40" w:line="360" w:lineRule="auto"/>
        <w:jc w:val="left"/>
      </w:pPr>
      <w:r>
        <w:rPr>
          <w:rFonts w:ascii="Times New Roman" w:hAnsi="Times New Roman" w:eastAsia="Times New Roman"/>
          <w:b w:val="0"/>
          <w:i w:val="0"/>
          <w:color w:val="000000"/>
          <w:sz w:val="22"/>
        </w:rPr>
        <w:t>4  Analysis of Results</w:t>
      </w:r>
    </w:p>
    <w:p>
      <w:pPr>
        <w:spacing w:after="40" w:line="360" w:lineRule="auto"/>
        <w:jc w:val="left"/>
      </w:pPr>
      <w:r>
        <w:rPr>
          <w:rFonts w:ascii="Times New Roman" w:hAnsi="Times New Roman" w:eastAsia="Times New Roman"/>
          <w:b w:val="0"/>
          <w:i w:val="0"/>
          <w:color w:val="000000"/>
          <w:sz w:val="22"/>
        </w:rPr>
        <w:t xml:space="preserve">    4.1 Model Results</w:t>
      </w:r>
    </w:p>
    <w:p>
      <w:pPr>
        <w:spacing w:after="40" w:line="360" w:lineRule="auto"/>
        <w:jc w:val="left"/>
      </w:pPr>
      <w:r>
        <w:rPr>
          <w:rFonts w:ascii="Times New Roman" w:hAnsi="Times New Roman" w:eastAsia="Times New Roman"/>
          <w:b w:val="0"/>
          <w:i w:val="0"/>
          <w:color w:val="000000"/>
          <w:sz w:val="22"/>
        </w:rPr>
        <w:t xml:space="preserve">    4.2 Real-time Results</w:t>
      </w:r>
    </w:p>
    <w:p>
      <w:pPr>
        <w:spacing w:after="40" w:line="360" w:lineRule="auto"/>
        <w:jc w:val="left"/>
      </w:pPr>
      <w:r>
        <w:rPr>
          <w:rFonts w:ascii="Times New Roman" w:hAnsi="Times New Roman" w:eastAsia="Times New Roman"/>
          <w:b w:val="0"/>
          <w:i w:val="0"/>
          <w:color w:val="000000"/>
          <w:sz w:val="22"/>
        </w:rPr>
        <w:t xml:space="preserve">    4.3 Comparison with Literature and Tools</w:t>
      </w:r>
    </w:p>
    <w:p>
      <w:pPr>
        <w:spacing w:after="40" w:line="360" w:lineRule="auto"/>
        <w:jc w:val="left"/>
      </w:pPr>
      <w:r>
        <w:rPr>
          <w:rFonts w:ascii="Times New Roman" w:hAnsi="Times New Roman" w:eastAsia="Times New Roman"/>
          <w:b w:val="0"/>
          <w:i w:val="0"/>
          <w:color w:val="000000"/>
          <w:sz w:val="22"/>
        </w:rPr>
        <w:t>5  Project Evaluation and Reflection</w:t>
      </w:r>
    </w:p>
    <w:p>
      <w:pPr>
        <w:spacing w:after="40" w:line="360" w:lineRule="auto"/>
        <w:jc w:val="left"/>
      </w:pPr>
      <w:r>
        <w:rPr>
          <w:rFonts w:ascii="Times New Roman" w:hAnsi="Times New Roman" w:eastAsia="Times New Roman"/>
          <w:b w:val="0"/>
          <w:i w:val="0"/>
          <w:color w:val="000000"/>
          <w:sz w:val="22"/>
        </w:rPr>
        <w:t>6  Conclusion and Recommendations</w:t>
      </w:r>
    </w:p>
    <w:p>
      <w:pPr>
        <w:spacing w:after="40" w:line="360" w:lineRule="auto"/>
        <w:jc w:val="left"/>
      </w:pPr>
      <w:r>
        <w:rPr>
          <w:rFonts w:ascii="Times New Roman" w:hAnsi="Times New Roman" w:eastAsia="Times New Roman"/>
          <w:b w:val="0"/>
          <w:i w:val="0"/>
          <w:color w:val="000000"/>
          <w:sz w:val="22"/>
        </w:rPr>
        <w:t>7  Reference List</w:t>
      </w:r>
    </w:p>
    <w:p>
      <w:pPr>
        <w:spacing w:after="40" w:line="360" w:lineRule="auto"/>
        <w:jc w:val="left"/>
      </w:pPr>
      <w:r>
        <w:rPr>
          <w:rFonts w:ascii="Times New Roman" w:hAnsi="Times New Roman" w:eastAsia="Times New Roman"/>
          <w:b w:val="0"/>
          <w:i w:val="0"/>
          <w:color w:val="000000"/>
          <w:sz w:val="22"/>
        </w:rPr>
        <w:t>Appendix A  Research Proposal</w:t>
      </w:r>
    </w:p>
    <w:p>
      <w:pPr>
        <w:spacing w:after="40" w:line="360" w:lineRule="auto"/>
        <w:jc w:val="left"/>
      </w:pPr>
      <w:r>
        <w:rPr>
          <w:rFonts w:ascii="Times New Roman" w:hAnsi="Times New Roman" w:eastAsia="Times New Roman"/>
          <w:b w:val="0"/>
          <w:i w:val="0"/>
          <w:color w:val="000000"/>
          <w:sz w:val="22"/>
        </w:rPr>
        <w:t>Appendix B  Architecture and Artefacts</w:t>
      </w:r>
    </w:p>
    <w:p>
      <w:pPr>
        <w:spacing w:after="40" w:line="360" w:lineRule="auto"/>
        <w:jc w:val="left"/>
      </w:pPr>
      <w:r>
        <w:rPr>
          <w:rFonts w:ascii="Times New Roman" w:hAnsi="Times New Roman" w:eastAsia="Times New Roman"/>
          <w:b w:val="0"/>
          <w:i w:val="0"/>
          <w:color w:val="000000"/>
          <w:sz w:val="22"/>
        </w:rPr>
        <w:t>Appendix C  Extended Comparison and Discussion</w:t>
      </w:r>
    </w:p>
    <w:p>
      <w:pPr>
        <w:spacing w:after="40" w:line="360" w:lineRule="auto"/>
        <w:jc w:val="left"/>
      </w:pPr>
      <w:r>
        <w:rPr>
          <w:rFonts w:ascii="Times New Roman" w:hAnsi="Times New Roman" w:eastAsia="Times New Roman"/>
          <w:b w:val="0"/>
          <w:i w:val="0"/>
          <w:color w:val="000000"/>
          <w:sz w:val="22"/>
        </w:rPr>
        <w:t>Appendix D  Glossary</w:t>
      </w:r>
    </w:p>
    <w:p>
      <w:pPr>
        <w:spacing w:after="40" w:line="360" w:lineRule="auto"/>
        <w:jc w:val="left"/>
      </w:pPr>
      <w:r>
        <w:rPr>
          <w:rFonts w:ascii="Times New Roman" w:hAnsi="Times New Roman" w:eastAsia="Times New Roman"/>
          <w:b w:val="0"/>
          <w:i w:val="0"/>
          <w:color w:val="000000"/>
          <w:sz w:val="22"/>
        </w:rPr>
        <w:t>Appendix E  Software Statement</w:t>
      </w:r>
    </w:p>
    <w:p>
      <w:r>
        <w:br w:type="page"/>
      </w:r>
    </w:p>
    <w:p>
      <w:pPr>
        <w:spacing w:before="320" w:after="160"/>
      </w:pPr>
      <w:r>
        <w:rPr>
          <w:rFonts w:ascii="Times New Roman" w:hAnsi="Times New Roman" w:eastAsia="Times New Roman"/>
          <w:b/>
          <w:i w:val="0"/>
          <w:color w:val="000000"/>
          <w:sz w:val="32"/>
        </w:rPr>
        <w:t>1  Introduction</w:t>
      </w:r>
    </w:p>
    <w:p>
      <w:pPr>
        <w:spacing w:before="240" w:after="160"/>
      </w:pPr>
      <w:r>
        <w:rPr>
          <w:rFonts w:ascii="Times New Roman" w:hAnsi="Times New Roman" w:eastAsia="Times New Roman"/>
          <w:b/>
          <w:i w:val="0"/>
          <w:color w:val="000000"/>
          <w:sz w:val="26"/>
        </w:rPr>
        <w:t>1.1  Background</w:t>
      </w:r>
    </w:p>
    <w:p>
      <w:pPr>
        <w:spacing w:after="160" w:line="360" w:lineRule="auto"/>
        <w:ind w:firstLine="720"/>
        <w:jc w:val="both"/>
      </w:pPr>
      <w:r>
        <w:rPr>
          <w:rFonts w:ascii="Times New Roman" w:hAnsi="Times New Roman" w:eastAsia="Times New Roman"/>
          <w:b w:val="0"/>
          <w:i w:val="0"/>
          <w:color w:val="000000"/>
          <w:sz w:val="24"/>
        </w:rPr>
        <w:t>Modern organisations depend on hierarchical IP networks that segment users by department, security zone and application tier (Cisco, 2020). Design requires subnet sizing, VLAN allocation, gateway addressing, routing selection and device configuration, followed by documentation that operations teams can trust (Oppenheimer, 2011). In educational and SME settings these tasks are frequently split across online subnet calculators, spreadsheets, generic diagram tools and laboratory simulators such as Cisco Packet Tracer (Cisco Networking Academy, n.d.).</w:t>
      </w:r>
    </w:p>
    <w:p>
      <w:pPr>
        <w:spacing w:after="160" w:line="360" w:lineRule="auto"/>
        <w:ind w:firstLine="720"/>
        <w:jc w:val="both"/>
      </w:pPr>
      <w:r>
        <w:rPr>
          <w:rFonts w:ascii="Times New Roman" w:hAnsi="Times New Roman" w:eastAsia="Times New Roman"/>
          <w:b w:val="0"/>
          <w:i w:val="0"/>
          <w:color w:val="000000"/>
          <w:sz w:val="24"/>
        </w:rPr>
        <w:t>Fragmentation creates known failure modes: VLSM arithmetic errors when host counts change late; spreadsheets that do not enforce unique VLANs; configuration snippets that omit dual-stack commands; and documentation that lags the last design change (Lammle, 2016). Automation platforms such as Ansible address deployment at scale but assume a finished design (Mehta, 2021). IPAM products maintain inventory as a source of truth but are heavyweight for classroom projects. A gap therefore remains for an integrated planning workstation that connects brief, VLSM, dual-stack ULA, multi-device IOS drafts, diagrams and exportable reports in one web application.</w:t>
      </w:r>
    </w:p>
    <w:p>
      <w:pPr>
        <w:spacing w:before="240" w:after="160"/>
      </w:pPr>
      <w:r>
        <w:rPr>
          <w:rFonts w:ascii="Times New Roman" w:hAnsi="Times New Roman" w:eastAsia="Times New Roman"/>
          <w:b/>
          <w:i w:val="0"/>
          <w:color w:val="000000"/>
          <w:sz w:val="26"/>
        </w:rPr>
        <w:t>1.2  Aims</w:t>
      </w:r>
    </w:p>
    <w:p>
      <w:pPr>
        <w:spacing w:after="160" w:line="360" w:lineRule="auto"/>
        <w:ind w:firstLine="720"/>
        <w:jc w:val="both"/>
      </w:pPr>
      <w:r>
        <w:rPr>
          <w:rFonts w:ascii="Times New Roman" w:hAnsi="Times New Roman" w:eastAsia="Times New Roman"/>
          <w:b w:val="0"/>
          <w:i w:val="0"/>
          <w:color w:val="000000"/>
          <w:sz w:val="24"/>
        </w:rPr>
        <w:t>The aim is to research, design, implement and evaluate an integrated web-based enterprise network planning system that automates VLSM and dual-stack addressing, generates multi-device configurations, produces diagrams and exports professional documentation suitable for laboratory validation and stakeholder review.</w:t>
      </w:r>
    </w:p>
    <w:p>
      <w:pPr>
        <w:spacing w:before="240" w:after="160"/>
      </w:pPr>
      <w:r>
        <w:rPr>
          <w:rFonts w:ascii="Times New Roman" w:hAnsi="Times New Roman" w:eastAsia="Times New Roman"/>
          <w:b/>
          <w:i w:val="0"/>
          <w:color w:val="000000"/>
          <w:sz w:val="26"/>
        </w:rPr>
        <w:t>1.3  Objectives</w:t>
      </w:r>
    </w:p>
    <w:p>
      <w:pPr>
        <w:spacing w:after="160" w:line="360" w:lineRule="auto"/>
        <w:jc w:val="both"/>
      </w:pPr>
      <w:r>
        <w:rPr>
          <w:rFonts w:ascii="Times New Roman" w:hAnsi="Times New Roman" w:eastAsia="Times New Roman"/>
          <w:b w:val="0"/>
          <w:i w:val="0"/>
          <w:color w:val="000000"/>
          <w:sz w:val="24"/>
        </w:rPr>
        <w:t>Objectives were to: (1) investigate tools and gaps in IP planning practice; (2) specify requirements for authentication, projects, addressing, VLANs, configuration, reporting and optional push; (3) design a modular MVC architecture using Flask (Grinberg, 2018); (4) implement VLSM, dual-stack ULA, topology styles and service templates; (5) implement multi-device configs, Packet Tracer guides, PDF/Word/Excel reporting, PNG capture and SSH push with dry-run and key authentication; (6) evaluate scenarios and compare with existing applications; (7) reflect on ethical, legal, social, security and professional implications (BCS, 2023; OWASP, 2021).</w:t>
      </w:r>
    </w:p>
    <w:p>
      <w:pPr>
        <w:spacing w:before="240" w:after="160"/>
      </w:pPr>
      <w:r>
        <w:rPr>
          <w:rFonts w:ascii="Times New Roman" w:hAnsi="Times New Roman" w:eastAsia="Times New Roman"/>
          <w:b/>
          <w:i w:val="0"/>
          <w:color w:val="000000"/>
          <w:sz w:val="26"/>
        </w:rPr>
        <w:t>1.4  Research Approach</w:t>
      </w:r>
    </w:p>
    <w:p>
      <w:pPr>
        <w:spacing w:after="160" w:line="360" w:lineRule="auto"/>
        <w:ind w:firstLine="720"/>
        <w:jc w:val="both"/>
      </w:pPr>
      <w:r>
        <w:rPr>
          <w:rFonts w:ascii="Times New Roman" w:hAnsi="Times New Roman" w:eastAsia="Times New Roman"/>
          <w:b w:val="0"/>
          <w:i w:val="0"/>
          <w:color w:val="000000"/>
          <w:sz w:val="24"/>
        </w:rPr>
        <w:t>The study used constructive software engineering with comparative evaluation. Approach 1 characterised the fragmented toolchain; Approach 2 implemented NETRIX and measured complete planning packs under controlled briefs. Harvard referencing is used throughout for in-text citations and the reference list (Pears and Shields, 2019).</w:t>
      </w:r>
    </w:p>
    <w:p>
      <w:pPr>
        <w:spacing w:before="240" w:after="160"/>
      </w:pPr>
      <w:r>
        <w:rPr>
          <w:rFonts w:ascii="Times New Roman" w:hAnsi="Times New Roman" w:eastAsia="Times New Roman"/>
          <w:b/>
          <w:i w:val="0"/>
          <w:color w:val="000000"/>
          <w:sz w:val="26"/>
        </w:rPr>
        <w:t>1.5  Structure of the Report</w:t>
      </w:r>
    </w:p>
    <w:p>
      <w:pPr>
        <w:spacing w:after="160" w:line="360" w:lineRule="auto"/>
        <w:ind w:firstLine="720"/>
        <w:jc w:val="both"/>
      </w:pPr>
      <w:r>
        <w:rPr>
          <w:rFonts w:ascii="Times New Roman" w:hAnsi="Times New Roman" w:eastAsia="Times New Roman"/>
          <w:b w:val="0"/>
          <w:i w:val="0"/>
          <w:color w:val="000000"/>
          <w:sz w:val="24"/>
        </w:rPr>
        <w:t>Chapter 2 reviews literature and compares existing applications. Chapter 3 presents methodology. Chapter 4 analyses results and comparisons. Chapter 5 evaluates the project. Chapter 6 concludes. Chapter 7 lists references. Appendices provide the proposal, architecture, extended comparison, glossary and software statement.</w:t>
      </w:r>
    </w:p>
    <w:p>
      <w:pPr>
        <w:spacing w:before="240" w:after="160"/>
      </w:pPr>
      <w:r>
        <w:rPr>
          <w:rFonts w:ascii="Times New Roman" w:hAnsi="Times New Roman" w:eastAsia="Times New Roman"/>
          <w:b/>
          <w:i w:val="0"/>
          <w:color w:val="000000"/>
          <w:sz w:val="26"/>
        </w:rPr>
        <w:t>1.6  Ethical, Social, Professional, Legal and Security Considerations</w:t>
      </w:r>
    </w:p>
    <w:p>
      <w:pPr>
        <w:spacing w:before="240" w:after="160"/>
      </w:pPr>
      <w:r>
        <w:rPr>
          <w:rFonts w:ascii="Times New Roman" w:hAnsi="Times New Roman" w:eastAsia="Times New Roman"/>
          <w:b/>
          <w:i w:val="0"/>
          <w:color w:val="000000"/>
          <w:sz w:val="24"/>
        </w:rPr>
        <w:t>1.6.1  Professional Considerations</w:t>
      </w:r>
    </w:p>
    <w:p>
      <w:pPr>
        <w:spacing w:after="160" w:line="360" w:lineRule="auto"/>
        <w:ind w:firstLine="720"/>
        <w:jc w:val="both"/>
      </w:pPr>
      <w:r>
        <w:rPr>
          <w:rFonts w:ascii="Times New Roman" w:hAnsi="Times New Roman" w:eastAsia="Times New Roman"/>
          <w:b w:val="0"/>
          <w:i w:val="0"/>
          <w:color w:val="000000"/>
          <w:sz w:val="24"/>
        </w:rPr>
        <w:t>Engineers must produce designs that are correct, documented and subject to change control (BCS, 2023). NETRIX emphasises planning and documentation, defaults live push to dry-run, and treats Packet Tracer export as validation support rather than production authority.</w:t>
      </w:r>
    </w:p>
    <w:p>
      <w:pPr>
        <w:spacing w:before="240" w:after="160"/>
      </w:pPr>
      <w:r>
        <w:rPr>
          <w:rFonts w:ascii="Times New Roman" w:hAnsi="Times New Roman" w:eastAsia="Times New Roman"/>
          <w:b/>
          <w:i w:val="0"/>
          <w:color w:val="000000"/>
          <w:sz w:val="24"/>
        </w:rPr>
        <w:t>1.6.2  Ethical Considerations</w:t>
      </w:r>
    </w:p>
    <w:p>
      <w:pPr>
        <w:spacing w:after="160" w:line="360" w:lineRule="auto"/>
        <w:ind w:firstLine="720"/>
        <w:jc w:val="both"/>
      </w:pPr>
      <w:r>
        <w:rPr>
          <w:rFonts w:ascii="Times New Roman" w:hAnsi="Times New Roman" w:eastAsia="Times New Roman"/>
          <w:b w:val="0"/>
          <w:i w:val="0"/>
          <w:color w:val="000000"/>
          <w:sz w:val="24"/>
        </w:rPr>
        <w:t>Limitations are reported honestly; NETRIX is not claimed to replace enterprise IPAM or controllers. Demonstration credentials are non-production.</w:t>
      </w:r>
    </w:p>
    <w:p>
      <w:pPr>
        <w:spacing w:before="240" w:after="160"/>
      </w:pPr>
      <w:r>
        <w:rPr>
          <w:rFonts w:ascii="Times New Roman" w:hAnsi="Times New Roman" w:eastAsia="Times New Roman"/>
          <w:b/>
          <w:i w:val="0"/>
          <w:color w:val="000000"/>
          <w:sz w:val="24"/>
        </w:rPr>
        <w:t>1.6.3  Legal Considerations</w:t>
      </w:r>
    </w:p>
    <w:p>
      <w:pPr>
        <w:spacing w:after="160" w:line="360" w:lineRule="auto"/>
        <w:ind w:firstLine="720"/>
        <w:jc w:val="both"/>
      </w:pPr>
      <w:r>
        <w:rPr>
          <w:rFonts w:ascii="Times New Roman" w:hAnsi="Times New Roman" w:eastAsia="Times New Roman"/>
          <w:b w:val="0"/>
          <w:i w:val="0"/>
          <w:color w:val="000000"/>
          <w:sz w:val="24"/>
        </w:rPr>
        <w:t>Open-source libraries are used under their licences. IOS-like syntax is educational and not endorsed by Cisco Systems. Users remain responsible for organisational policy when applying configurations.</w:t>
      </w:r>
    </w:p>
    <w:p>
      <w:pPr>
        <w:spacing w:before="240" w:after="160"/>
      </w:pPr>
      <w:r>
        <w:rPr>
          <w:rFonts w:ascii="Times New Roman" w:hAnsi="Times New Roman" w:eastAsia="Times New Roman"/>
          <w:b/>
          <w:i w:val="0"/>
          <w:color w:val="000000"/>
          <w:sz w:val="24"/>
        </w:rPr>
        <w:t>1.6.4  Social Considerations</w:t>
      </w:r>
    </w:p>
    <w:p>
      <w:pPr>
        <w:spacing w:after="160" w:line="360" w:lineRule="auto"/>
        <w:ind w:firstLine="720"/>
        <w:jc w:val="both"/>
      </w:pPr>
      <w:r>
        <w:rPr>
          <w:rFonts w:ascii="Times New Roman" w:hAnsi="Times New Roman" w:eastAsia="Times New Roman"/>
          <w:b w:val="0"/>
          <w:i w:val="0"/>
          <w:color w:val="000000"/>
          <w:sz w:val="24"/>
        </w:rPr>
        <w:t>Accessible tooling can widen participation in network education, but automation must scaffold rather than replace conceptual learning (Nielsen, 1994).</w:t>
      </w:r>
    </w:p>
    <w:p>
      <w:r>
        <w:br w:type="page"/>
      </w:r>
    </w:p>
    <w:p>
      <w:pPr>
        <w:spacing w:before="320" w:after="160"/>
      </w:pPr>
      <w:r>
        <w:rPr>
          <w:rFonts w:ascii="Times New Roman" w:hAnsi="Times New Roman" w:eastAsia="Times New Roman"/>
          <w:b/>
          <w:i w:val="0"/>
          <w:color w:val="000000"/>
          <w:sz w:val="32"/>
        </w:rPr>
        <w:t>2  Literature Review</w:t>
      </w:r>
    </w:p>
    <w:p>
      <w:pPr>
        <w:spacing w:before="240" w:after="160"/>
      </w:pPr>
      <w:r>
        <w:rPr>
          <w:rFonts w:ascii="Times New Roman" w:hAnsi="Times New Roman" w:eastAsia="Times New Roman"/>
          <w:b/>
          <w:i w:val="0"/>
          <w:color w:val="000000"/>
          <w:sz w:val="26"/>
        </w:rPr>
        <w:t>2.1  Network Planning Methodology</w:t>
      </w:r>
    </w:p>
    <w:p>
      <w:pPr>
        <w:spacing w:after="160" w:line="360" w:lineRule="auto"/>
        <w:ind w:firstLine="720"/>
        <w:jc w:val="both"/>
      </w:pPr>
      <w:r>
        <w:rPr>
          <w:rFonts w:ascii="Times New Roman" w:hAnsi="Times New Roman" w:eastAsia="Times New Roman"/>
          <w:b w:val="0"/>
          <w:i w:val="0"/>
          <w:color w:val="000000"/>
          <w:sz w:val="24"/>
        </w:rPr>
        <w:t>Hierarchical design divides campus networks into core, distribution and access layers to contain failure domains and simplify policy (Cisco, 2020; Oppenheimer, 2011). Requirements gathering precedes logical design (addressing, VLANs, routing) and physical design. Documentation and verification close the cycle—the backbone of NETRIX’s wizard and engine.</w:t>
      </w:r>
    </w:p>
    <w:p>
      <w:pPr>
        <w:spacing w:after="160" w:line="360" w:lineRule="auto"/>
        <w:ind w:firstLine="720"/>
        <w:jc w:val="both"/>
      </w:pPr>
      <w:r>
        <w:rPr>
          <w:rFonts w:ascii="Times New Roman" w:hAnsi="Times New Roman" w:eastAsia="Times New Roman"/>
          <w:b w:val="0"/>
          <w:i w:val="0"/>
          <w:color w:val="000000"/>
          <w:sz w:val="24"/>
        </w:rPr>
        <w:t>Although some dissertation templates list computer-vision stages, the analogous stages for network planning tools are: requirements capture (data acquisition), normalisation (pre-processing), address/VLAN allocation (segmentation), configuration and diagram synthesis (feature extraction) and validation (classification of outcomes).</w:t>
      </w:r>
    </w:p>
    <w:p>
      <w:pPr>
        <w:jc w:val="center"/>
      </w:pPr>
      <w:r>
        <w:drawing>
          <wp:inline xmlns:a="http://schemas.openxmlformats.org/drawingml/2006/main" xmlns:pic="http://schemas.openxmlformats.org/drawingml/2006/picture">
            <wp:extent cx="5120640" cy="2017222"/>
            <wp:docPr id="1" name="Picture 1"/>
            <wp:cNvGraphicFramePr>
              <a:graphicFrameLocks noChangeAspect="1"/>
            </wp:cNvGraphicFramePr>
            <a:graphic>
              <a:graphicData uri="http://schemas.openxmlformats.org/drawingml/2006/picture">
                <pic:pic>
                  <pic:nvPicPr>
                    <pic:cNvPr id="0" name="fig_vlsm_concept.png"/>
                    <pic:cNvPicPr/>
                  </pic:nvPicPr>
                  <pic:blipFill>
                    <a:blip r:embed="rId9"/>
                    <a:stretch>
                      <a:fillRect/>
                    </a:stretch>
                  </pic:blipFill>
                  <pic:spPr>
                    <a:xfrm>
                      <a:off x="0" y="0"/>
                      <a:ext cx="5120640" cy="2017222"/>
                    </a:xfrm>
                    <a:prstGeom prst="rect"/>
                  </pic:spPr>
                </pic:pic>
              </a:graphicData>
            </a:graphic>
          </wp:inline>
        </w:drawing>
      </w:r>
    </w:p>
    <w:p>
      <w:pPr>
        <w:spacing w:after="240" w:before="80"/>
        <w:jc w:val="center"/>
      </w:pPr>
      <w:r>
        <w:rPr>
          <w:rFonts w:ascii="Times New Roman" w:hAnsi="Times New Roman" w:eastAsia="Times New Roman"/>
          <w:b w:val="0"/>
          <w:i/>
          <w:color w:val="000000"/>
          <w:sz w:val="20"/>
        </w:rPr>
        <w:t>Figure 2.1 – Conceptual VLSM packing within a supernet (largest-first heuristic)</w:t>
      </w:r>
    </w:p>
    <w:p>
      <w:pPr>
        <w:spacing w:before="240" w:after="160"/>
      </w:pPr>
      <w:r>
        <w:rPr>
          <w:rFonts w:ascii="Times New Roman" w:hAnsi="Times New Roman" w:eastAsia="Times New Roman"/>
          <w:b/>
          <w:i w:val="0"/>
          <w:color w:val="000000"/>
          <w:sz w:val="26"/>
        </w:rPr>
        <w:t>2.2  Addressing and VLSM</w:t>
      </w:r>
    </w:p>
    <w:p>
      <w:pPr>
        <w:spacing w:after="160" w:line="360" w:lineRule="auto"/>
        <w:ind w:firstLine="720"/>
        <w:jc w:val="both"/>
      </w:pPr>
      <w:r>
        <w:rPr>
          <w:rFonts w:ascii="Times New Roman" w:hAnsi="Times New Roman" w:eastAsia="Times New Roman"/>
          <w:b w:val="0"/>
          <w:i w:val="0"/>
          <w:color w:val="000000"/>
          <w:sz w:val="24"/>
        </w:rPr>
        <w:t>VLSM improves utilisation by allowing different prefix lengths within a supernet (RFC 950; Lammle, 2016). Private IPv4 space remains relevant under dual-stack coexistence (RFC 1918; RFC 4213). Teaching texts provide worked examples but limited integrated software beyond single-purpose calculators.</w:t>
      </w:r>
    </w:p>
    <w:p>
      <w:pPr>
        <w:spacing w:before="240" w:after="160"/>
      </w:pPr>
      <w:r>
        <w:rPr>
          <w:rFonts w:ascii="Times New Roman" w:hAnsi="Times New Roman" w:eastAsia="Times New Roman"/>
          <w:b/>
          <w:i w:val="0"/>
          <w:color w:val="000000"/>
          <w:sz w:val="26"/>
        </w:rPr>
        <w:t>2.3  IPv6 and Dual-Stack Design</w:t>
      </w:r>
    </w:p>
    <w:p>
      <w:pPr>
        <w:spacing w:after="160" w:line="360" w:lineRule="auto"/>
        <w:ind w:firstLine="720"/>
        <w:jc w:val="both"/>
      </w:pPr>
      <w:r>
        <w:rPr>
          <w:rFonts w:ascii="Times New Roman" w:hAnsi="Times New Roman" w:eastAsia="Times New Roman"/>
          <w:b w:val="0"/>
          <w:i w:val="0"/>
          <w:color w:val="000000"/>
          <w:sz w:val="24"/>
        </w:rPr>
        <w:t>IPv6 ULA prefixes (fd00::/8) support local communication without global routing (RFC 4193). Dual-stack requires parallel IPv4/IPv6 interface and routing plans (RFC 4213). Many classroom tools under-emphasise dual-stack documentation; NETRIX treats dual-stack as a first-class mode with explicit report sections.</w:t>
      </w:r>
    </w:p>
    <w:p>
      <w:pPr>
        <w:spacing w:before="240" w:after="160"/>
      </w:pPr>
      <w:r>
        <w:rPr>
          <w:rFonts w:ascii="Times New Roman" w:hAnsi="Times New Roman" w:eastAsia="Times New Roman"/>
          <w:b/>
          <w:i w:val="0"/>
          <w:color w:val="000000"/>
          <w:sz w:val="26"/>
        </w:rPr>
        <w:t>2.4  Configuration Management and Automation</w:t>
      </w:r>
    </w:p>
    <w:p>
      <w:pPr>
        <w:spacing w:after="160" w:line="360" w:lineRule="auto"/>
        <w:ind w:firstLine="720"/>
        <w:jc w:val="both"/>
      </w:pPr>
      <w:r>
        <w:rPr>
          <w:rFonts w:ascii="Times New Roman" w:hAnsi="Times New Roman" w:eastAsia="Times New Roman"/>
          <w:b w:val="0"/>
          <w:i w:val="0"/>
          <w:color w:val="000000"/>
          <w:sz w:val="24"/>
        </w:rPr>
        <w:t>Infrastructure as Code and Ansible popularised repeatable network change (Mehta, 2021). These tools excel at fleet deployment but assume finished design. NETRIX stops at planning artefacts and optional lab push, reducing uncontrolled production risk while demonstrating SSH key patterns.</w:t>
      </w:r>
    </w:p>
    <w:p>
      <w:pPr>
        <w:spacing w:before="240" w:after="160"/>
      </w:pPr>
      <w:r>
        <w:rPr>
          <w:rFonts w:ascii="Times New Roman" w:hAnsi="Times New Roman" w:eastAsia="Times New Roman"/>
          <w:b/>
          <w:i w:val="0"/>
          <w:color w:val="000000"/>
          <w:sz w:val="26"/>
        </w:rPr>
        <w:t>2.5  Simulation, IPAM and Documentation Tools</w:t>
      </w:r>
    </w:p>
    <w:p>
      <w:pPr>
        <w:spacing w:after="160" w:line="360" w:lineRule="auto"/>
        <w:ind w:firstLine="720"/>
        <w:jc w:val="both"/>
      </w:pPr>
      <w:r>
        <w:rPr>
          <w:rFonts w:ascii="Times New Roman" w:hAnsi="Times New Roman" w:eastAsia="Times New Roman"/>
          <w:b w:val="0"/>
          <w:i w:val="0"/>
          <w:color w:val="000000"/>
          <w:sz w:val="24"/>
        </w:rPr>
        <w:t>Cisco Packet Tracer provides rich protocol simulation for CCNA pathways (Cisco Networking Academy, n.d.) but does not automate VLSM from departmental host lists or emit multi-format design reports. IPAM systems track allocations as inventory sources of truth. Document processors produce polished outputs only after manual transcription.</w:t>
      </w:r>
    </w:p>
    <w:p>
      <w:pPr>
        <w:spacing w:before="240" w:after="160"/>
      </w:pPr>
      <w:r>
        <w:rPr>
          <w:rFonts w:ascii="Times New Roman" w:hAnsi="Times New Roman" w:eastAsia="Times New Roman"/>
          <w:b/>
          <w:i w:val="0"/>
          <w:color w:val="000000"/>
          <w:sz w:val="26"/>
        </w:rPr>
        <w:t>2.6  Comparison of Existing Applications</w:t>
      </w:r>
    </w:p>
    <w:p>
      <w:pPr>
        <w:spacing w:after="160" w:line="360" w:lineRule="auto"/>
        <w:ind w:firstLine="720"/>
        <w:jc w:val="both"/>
      </w:pPr>
      <w:r>
        <w:rPr>
          <w:rFonts w:ascii="Times New Roman" w:hAnsi="Times New Roman" w:eastAsia="Times New Roman"/>
          <w:b w:val="0"/>
          <w:i w:val="0"/>
          <w:color w:val="000000"/>
          <w:sz w:val="24"/>
        </w:rPr>
        <w:t>Table 2.1 summarises functional coverage of representative categories against NETRIX requirements. Ratings are qualitative (High / Medium / Low / None) based on primary purpose (Oppenheimer, 2011; Mehta, 2021; Cisco Networking Academy, n.d.).</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fill="D6E3F0" w:val="clear"/>
          </w:tcPr>
          <w:p>
            <w:pPr>
              <w:jc w:val="center"/>
            </w:pPr>
            <w:r/>
            <w:r>
              <w:rPr>
                <w:rFonts w:ascii="Times New Roman" w:hAnsi="Times New Roman" w:eastAsia="Times New Roman"/>
                <w:b/>
                <w:i w:val="0"/>
                <w:color w:val="000000"/>
                <w:sz w:val="18"/>
              </w:rPr>
              <w:t>Capability</w:t>
            </w:r>
          </w:p>
        </w:tc>
        <w:tc>
          <w:tcPr>
            <w:tcW w:type="dxa" w:w="1303"/>
            <w:shd w:fill="D6E3F0" w:val="clear"/>
          </w:tcPr>
          <w:p>
            <w:pPr>
              <w:jc w:val="center"/>
            </w:pPr>
            <w:r/>
            <w:r>
              <w:rPr>
                <w:rFonts w:ascii="Times New Roman" w:hAnsi="Times New Roman" w:eastAsia="Times New Roman"/>
                <w:b/>
                <w:i w:val="0"/>
                <w:color w:val="000000"/>
                <w:sz w:val="18"/>
              </w:rPr>
              <w:t>Subnet calculator</w:t>
            </w:r>
          </w:p>
        </w:tc>
        <w:tc>
          <w:tcPr>
            <w:tcW w:type="dxa" w:w="1303"/>
            <w:shd w:fill="D6E3F0" w:val="clear"/>
          </w:tcPr>
          <w:p>
            <w:pPr>
              <w:jc w:val="center"/>
            </w:pPr>
            <w:r/>
            <w:r>
              <w:rPr>
                <w:rFonts w:ascii="Times New Roman" w:hAnsi="Times New Roman" w:eastAsia="Times New Roman"/>
                <w:b/>
                <w:i w:val="0"/>
                <w:color w:val="000000"/>
                <w:sz w:val="18"/>
              </w:rPr>
              <w:t>Spreadsheet</w:t>
            </w:r>
          </w:p>
        </w:tc>
        <w:tc>
          <w:tcPr>
            <w:tcW w:type="dxa" w:w="1303"/>
            <w:shd w:fill="D6E3F0" w:val="clear"/>
          </w:tcPr>
          <w:p>
            <w:pPr>
              <w:jc w:val="center"/>
            </w:pPr>
            <w:r/>
            <w:r>
              <w:rPr>
                <w:rFonts w:ascii="Times New Roman" w:hAnsi="Times New Roman" w:eastAsia="Times New Roman"/>
                <w:b/>
                <w:i w:val="0"/>
                <w:color w:val="000000"/>
                <w:sz w:val="18"/>
              </w:rPr>
              <w:t>Packet Tracer</w:t>
            </w:r>
          </w:p>
        </w:tc>
        <w:tc>
          <w:tcPr>
            <w:tcW w:type="dxa" w:w="1303"/>
            <w:shd w:fill="D6E3F0" w:val="clear"/>
          </w:tcPr>
          <w:p>
            <w:pPr>
              <w:jc w:val="center"/>
            </w:pPr>
            <w:r/>
            <w:r>
              <w:rPr>
                <w:rFonts w:ascii="Times New Roman" w:hAnsi="Times New Roman" w:eastAsia="Times New Roman"/>
                <w:b/>
                <w:i w:val="0"/>
                <w:color w:val="000000"/>
                <w:sz w:val="18"/>
              </w:rPr>
              <w:t>IPAM</w:t>
            </w:r>
          </w:p>
        </w:tc>
        <w:tc>
          <w:tcPr>
            <w:tcW w:type="dxa" w:w="1303"/>
            <w:shd w:fill="D6E3F0" w:val="clear"/>
          </w:tcPr>
          <w:p>
            <w:pPr>
              <w:jc w:val="center"/>
            </w:pPr>
            <w:r/>
            <w:r>
              <w:rPr>
                <w:rFonts w:ascii="Times New Roman" w:hAnsi="Times New Roman" w:eastAsia="Times New Roman"/>
                <w:b/>
                <w:i w:val="0"/>
                <w:color w:val="000000"/>
                <w:sz w:val="18"/>
              </w:rPr>
              <w:t>Ansible</w:t>
            </w:r>
          </w:p>
        </w:tc>
        <w:tc>
          <w:tcPr>
            <w:tcW w:type="dxa" w:w="1303"/>
            <w:shd w:fill="D6E3F0" w:val="clear"/>
          </w:tcPr>
          <w:p>
            <w:pPr>
              <w:jc w:val="center"/>
            </w:pPr>
            <w:r/>
            <w:r>
              <w:rPr>
                <w:rFonts w:ascii="Times New Roman" w:hAnsi="Times New Roman" w:eastAsia="Times New Roman"/>
                <w:b/>
                <w:i w:val="0"/>
                <w:color w:val="000000"/>
                <w:sz w:val="18"/>
              </w:rPr>
              <w:t>NETRIX</w:t>
            </w:r>
          </w:p>
        </w:tc>
      </w:tr>
      <w:tr>
        <w:tc>
          <w:tcPr>
            <w:tcW w:type="dxa" w:w="1303"/>
          </w:tcPr>
          <w:p>
            <w:r/>
            <w:r>
              <w:rPr>
                <w:rFonts w:ascii="Times New Roman" w:hAnsi="Times New Roman" w:eastAsia="Times New Roman"/>
                <w:b w:val="0"/>
                <w:i w:val="0"/>
                <w:color w:val="000000"/>
                <w:sz w:val="18"/>
              </w:rPr>
              <w:t>VLSM from host lists</w:t>
            </w:r>
          </w:p>
        </w:tc>
        <w:tc>
          <w:tcPr>
            <w:tcW w:type="dxa" w:w="1303"/>
          </w:tcPr>
          <w:p>
            <w:r/>
            <w:r>
              <w:rPr>
                <w:rFonts w:ascii="Times New Roman" w:hAnsi="Times New Roman" w:eastAsia="Times New Roman"/>
                <w:b w:val="0"/>
                <w:i w:val="0"/>
                <w:color w:val="000000"/>
                <w:sz w:val="18"/>
              </w:rPr>
              <w:t>High</w:t>
            </w:r>
          </w:p>
        </w:tc>
        <w:tc>
          <w:tcPr>
            <w:tcW w:type="dxa" w:w="1303"/>
          </w:tcPr>
          <w:p>
            <w:r/>
            <w:r>
              <w:rPr>
                <w:rFonts w:ascii="Times New Roman" w:hAnsi="Times New Roman" w:eastAsia="Times New Roman"/>
                <w:b w:val="0"/>
                <w:i w:val="0"/>
                <w:color w:val="000000"/>
                <w:sz w:val="18"/>
              </w:rPr>
              <w:t>Medium</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Medium</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High</w:t>
            </w:r>
          </w:p>
        </w:tc>
      </w:tr>
      <w:tr>
        <w:tc>
          <w:tcPr>
            <w:tcW w:type="dxa" w:w="1303"/>
          </w:tcPr>
          <w:p>
            <w:r/>
            <w:r>
              <w:rPr>
                <w:rFonts w:ascii="Times New Roman" w:hAnsi="Times New Roman" w:eastAsia="Times New Roman"/>
                <w:b w:val="0"/>
                <w:i w:val="0"/>
                <w:color w:val="000000"/>
                <w:sz w:val="18"/>
              </w:rPr>
              <w:t>Dual-stack plan + docs</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Medium</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Medium</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High</w:t>
            </w:r>
          </w:p>
        </w:tc>
      </w:tr>
      <w:tr>
        <w:tc>
          <w:tcPr>
            <w:tcW w:type="dxa" w:w="1303"/>
          </w:tcPr>
          <w:p>
            <w:r/>
            <w:r>
              <w:rPr>
                <w:rFonts w:ascii="Times New Roman" w:hAnsi="Times New Roman" w:eastAsia="Times New Roman"/>
                <w:b w:val="0"/>
                <w:i w:val="0"/>
                <w:color w:val="000000"/>
                <w:sz w:val="18"/>
              </w:rPr>
              <w:t>Multi-device IOS draft</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High</w:t>
            </w:r>
          </w:p>
        </w:tc>
        <w:tc>
          <w:tcPr>
            <w:tcW w:type="dxa" w:w="1303"/>
          </w:tcPr>
          <w:p>
            <w:r/>
            <w:r>
              <w:rPr>
                <w:rFonts w:ascii="Times New Roman" w:hAnsi="Times New Roman" w:eastAsia="Times New Roman"/>
                <w:b w:val="0"/>
                <w:i w:val="0"/>
                <w:color w:val="000000"/>
                <w:sz w:val="18"/>
              </w:rPr>
              <w:t>High</w:t>
            </w:r>
          </w:p>
        </w:tc>
      </w:tr>
      <w:tr>
        <w:tc>
          <w:tcPr>
            <w:tcW w:type="dxa" w:w="1303"/>
          </w:tcPr>
          <w:p>
            <w:r/>
            <w:r>
              <w:rPr>
                <w:rFonts w:ascii="Times New Roman" w:hAnsi="Times New Roman" w:eastAsia="Times New Roman"/>
                <w:b w:val="0"/>
                <w:i w:val="0"/>
                <w:color w:val="000000"/>
                <w:sz w:val="18"/>
              </w:rPr>
              <w:t>Protocol simulation</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High</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Low</w:t>
            </w:r>
          </w:p>
        </w:tc>
      </w:tr>
      <w:tr>
        <w:tc>
          <w:tcPr>
            <w:tcW w:type="dxa" w:w="1303"/>
          </w:tcPr>
          <w:p>
            <w:r/>
            <w:r>
              <w:rPr>
                <w:rFonts w:ascii="Times New Roman" w:hAnsi="Times New Roman" w:eastAsia="Times New Roman"/>
                <w:b w:val="0"/>
                <w:i w:val="0"/>
                <w:color w:val="000000"/>
                <w:sz w:val="18"/>
              </w:rPr>
              <w:t>Professional PDF pack</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Medium</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High</w:t>
            </w:r>
          </w:p>
        </w:tc>
      </w:tr>
      <w:tr>
        <w:tc>
          <w:tcPr>
            <w:tcW w:type="dxa" w:w="1303"/>
          </w:tcPr>
          <w:p>
            <w:r/>
            <w:r>
              <w:rPr>
                <w:rFonts w:ascii="Times New Roman" w:hAnsi="Times New Roman" w:eastAsia="Times New Roman"/>
                <w:b w:val="0"/>
                <w:i w:val="0"/>
                <w:color w:val="000000"/>
                <w:sz w:val="18"/>
              </w:rPr>
              <w:t>Authoritative inventory</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High</w:t>
            </w:r>
          </w:p>
        </w:tc>
        <w:tc>
          <w:tcPr>
            <w:tcW w:type="dxa" w:w="1303"/>
          </w:tcPr>
          <w:p>
            <w:r/>
            <w:r>
              <w:rPr>
                <w:rFonts w:ascii="Times New Roman" w:hAnsi="Times New Roman" w:eastAsia="Times New Roman"/>
                <w:b w:val="0"/>
                <w:i w:val="0"/>
                <w:color w:val="000000"/>
                <w:sz w:val="18"/>
              </w:rPr>
              <w:t>Medium</w:t>
            </w:r>
          </w:p>
        </w:tc>
        <w:tc>
          <w:tcPr>
            <w:tcW w:type="dxa" w:w="1303"/>
          </w:tcPr>
          <w:p>
            <w:r/>
            <w:r>
              <w:rPr>
                <w:rFonts w:ascii="Times New Roman" w:hAnsi="Times New Roman" w:eastAsia="Times New Roman"/>
                <w:b w:val="0"/>
                <w:i w:val="0"/>
                <w:color w:val="000000"/>
                <w:sz w:val="18"/>
              </w:rPr>
              <w:t>Low</w:t>
            </w:r>
          </w:p>
        </w:tc>
      </w:tr>
      <w:tr>
        <w:tc>
          <w:tcPr>
            <w:tcW w:type="dxa" w:w="1303"/>
          </w:tcPr>
          <w:p>
            <w:r/>
            <w:r>
              <w:rPr>
                <w:rFonts w:ascii="Times New Roman" w:hAnsi="Times New Roman" w:eastAsia="Times New Roman"/>
                <w:b w:val="0"/>
                <w:i w:val="0"/>
                <w:color w:val="000000"/>
                <w:sz w:val="18"/>
              </w:rPr>
              <w:t>Fleet production push</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Medium</w:t>
            </w:r>
          </w:p>
        </w:tc>
        <w:tc>
          <w:tcPr>
            <w:tcW w:type="dxa" w:w="1303"/>
          </w:tcPr>
          <w:p>
            <w:r/>
            <w:r>
              <w:rPr>
                <w:rFonts w:ascii="Times New Roman" w:hAnsi="Times New Roman" w:eastAsia="Times New Roman"/>
                <w:b w:val="0"/>
                <w:i w:val="0"/>
                <w:color w:val="000000"/>
                <w:sz w:val="18"/>
              </w:rPr>
              <w:t>High</w:t>
            </w:r>
          </w:p>
        </w:tc>
        <w:tc>
          <w:tcPr>
            <w:tcW w:type="dxa" w:w="1303"/>
          </w:tcPr>
          <w:p>
            <w:r/>
            <w:r>
              <w:rPr>
                <w:rFonts w:ascii="Times New Roman" w:hAnsi="Times New Roman" w:eastAsia="Times New Roman"/>
                <w:b w:val="0"/>
                <w:i w:val="0"/>
                <w:color w:val="000000"/>
                <w:sz w:val="18"/>
              </w:rPr>
              <w:t>Low (lab)</w:t>
            </w:r>
          </w:p>
        </w:tc>
      </w:tr>
      <w:tr>
        <w:tc>
          <w:tcPr>
            <w:tcW w:type="dxa" w:w="1303"/>
          </w:tcPr>
          <w:p>
            <w:r/>
            <w:r>
              <w:rPr>
                <w:rFonts w:ascii="Times New Roman" w:hAnsi="Times New Roman" w:eastAsia="Times New Roman"/>
                <w:b w:val="0"/>
                <w:i w:val="0"/>
                <w:color w:val="000000"/>
                <w:sz w:val="18"/>
              </w:rPr>
              <w:t>RBAC multi-user web UI</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None</w:t>
            </w:r>
          </w:p>
        </w:tc>
        <w:tc>
          <w:tcPr>
            <w:tcW w:type="dxa" w:w="1303"/>
          </w:tcPr>
          <w:p>
            <w:r/>
            <w:r>
              <w:rPr>
                <w:rFonts w:ascii="Times New Roman" w:hAnsi="Times New Roman" w:eastAsia="Times New Roman"/>
                <w:b w:val="0"/>
                <w:i w:val="0"/>
                <w:color w:val="000000"/>
                <w:sz w:val="18"/>
              </w:rPr>
              <w:t>High</w:t>
            </w:r>
          </w:p>
        </w:tc>
        <w:tc>
          <w:tcPr>
            <w:tcW w:type="dxa" w:w="1303"/>
          </w:tcPr>
          <w:p>
            <w:r/>
            <w:r>
              <w:rPr>
                <w:rFonts w:ascii="Times New Roman" w:hAnsi="Times New Roman" w:eastAsia="Times New Roman"/>
                <w:b w:val="0"/>
                <w:i w:val="0"/>
                <w:color w:val="000000"/>
                <w:sz w:val="18"/>
              </w:rPr>
              <w:t>Medium</w:t>
            </w:r>
          </w:p>
        </w:tc>
        <w:tc>
          <w:tcPr>
            <w:tcW w:type="dxa" w:w="1303"/>
          </w:tcPr>
          <w:p>
            <w:r/>
            <w:r>
              <w:rPr>
                <w:rFonts w:ascii="Times New Roman" w:hAnsi="Times New Roman" w:eastAsia="Times New Roman"/>
                <w:b w:val="0"/>
                <w:i w:val="0"/>
                <w:color w:val="000000"/>
                <w:sz w:val="18"/>
              </w:rPr>
              <w:t>High</w:t>
            </w:r>
          </w:p>
        </w:tc>
      </w:tr>
      <w:tr>
        <w:tc>
          <w:tcPr>
            <w:tcW w:type="dxa" w:w="1303"/>
          </w:tcPr>
          <w:p>
            <w:r/>
            <w:r>
              <w:rPr>
                <w:rFonts w:ascii="Times New Roman" w:hAnsi="Times New Roman" w:eastAsia="Times New Roman"/>
                <w:b w:val="0"/>
                <w:i w:val="0"/>
                <w:color w:val="000000"/>
                <w:sz w:val="18"/>
              </w:rPr>
              <w:t>Teaching design workflow</w:t>
            </w:r>
          </w:p>
        </w:tc>
        <w:tc>
          <w:tcPr>
            <w:tcW w:type="dxa" w:w="1303"/>
          </w:tcPr>
          <w:p>
            <w:r/>
            <w:r>
              <w:rPr>
                <w:rFonts w:ascii="Times New Roman" w:hAnsi="Times New Roman" w:eastAsia="Times New Roman"/>
                <w:b w:val="0"/>
                <w:i w:val="0"/>
                <w:color w:val="000000"/>
                <w:sz w:val="18"/>
              </w:rPr>
              <w:t>Medium</w:t>
            </w:r>
          </w:p>
        </w:tc>
        <w:tc>
          <w:tcPr>
            <w:tcW w:type="dxa" w:w="1303"/>
          </w:tcPr>
          <w:p>
            <w:r/>
            <w:r>
              <w:rPr>
                <w:rFonts w:ascii="Times New Roman" w:hAnsi="Times New Roman" w:eastAsia="Times New Roman"/>
                <w:b w:val="0"/>
                <w:i w:val="0"/>
                <w:color w:val="000000"/>
                <w:sz w:val="18"/>
              </w:rPr>
              <w:t>Medium</w:t>
            </w:r>
          </w:p>
        </w:tc>
        <w:tc>
          <w:tcPr>
            <w:tcW w:type="dxa" w:w="1303"/>
          </w:tcPr>
          <w:p>
            <w:r/>
            <w:r>
              <w:rPr>
                <w:rFonts w:ascii="Times New Roman" w:hAnsi="Times New Roman" w:eastAsia="Times New Roman"/>
                <w:b w:val="0"/>
                <w:i w:val="0"/>
                <w:color w:val="000000"/>
                <w:sz w:val="18"/>
              </w:rPr>
              <w:t>High</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Low</w:t>
            </w:r>
          </w:p>
        </w:tc>
        <w:tc>
          <w:tcPr>
            <w:tcW w:type="dxa" w:w="1303"/>
          </w:tcPr>
          <w:p>
            <w:r/>
            <w:r>
              <w:rPr>
                <w:rFonts w:ascii="Times New Roman" w:hAnsi="Times New Roman" w:eastAsia="Times New Roman"/>
                <w:b w:val="0"/>
                <w:i w:val="0"/>
                <w:color w:val="000000"/>
                <w:sz w:val="18"/>
              </w:rPr>
              <w:t>High</w:t>
            </w:r>
          </w:p>
        </w:tc>
      </w:tr>
    </w:tbl>
    <w:p/>
    <w:p>
      <w:pPr>
        <w:spacing w:after="240" w:before="80"/>
        <w:jc w:val="center"/>
      </w:pPr>
      <w:r>
        <w:rPr>
          <w:rFonts w:ascii="Times New Roman" w:hAnsi="Times New Roman" w:eastAsia="Times New Roman"/>
          <w:b w:val="0"/>
          <w:i/>
          <w:color w:val="000000"/>
          <w:sz w:val="20"/>
        </w:rPr>
        <w:t>Table 2.1 – Functional comparison of NETRIX with similar application categories</w:t>
      </w:r>
    </w:p>
    <w:p>
      <w:pPr>
        <w:spacing w:after="160" w:line="360" w:lineRule="auto"/>
        <w:ind w:firstLine="720"/>
        <w:jc w:val="both"/>
      </w:pPr>
      <w:r>
        <w:rPr>
          <w:rFonts w:ascii="Times New Roman" w:hAnsi="Times New Roman" w:eastAsia="Times New Roman"/>
          <w:b w:val="0"/>
          <w:i w:val="0"/>
          <w:color w:val="000000"/>
          <w:sz w:val="24"/>
        </w:rPr>
        <w:t>Table 2.2 positions tools by typical use case suitability for academic programmes and SME design workshops.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6E3F0" w:val="clear"/>
          </w:tcPr>
          <w:p>
            <w:pPr>
              <w:jc w:val="center"/>
            </w:pPr>
            <w:r/>
            <w:r>
              <w:rPr>
                <w:rFonts w:ascii="Times New Roman" w:hAnsi="Times New Roman" w:eastAsia="Times New Roman"/>
                <w:b/>
                <w:i w:val="0"/>
                <w:color w:val="000000"/>
                <w:sz w:val="18"/>
              </w:rPr>
              <w:t>Use case</w:t>
            </w:r>
          </w:p>
        </w:tc>
        <w:tc>
          <w:tcPr>
            <w:tcW w:type="dxa" w:w="3041"/>
            <w:shd w:fill="D6E3F0" w:val="clear"/>
          </w:tcPr>
          <w:p>
            <w:pPr>
              <w:jc w:val="center"/>
            </w:pPr>
            <w:r/>
            <w:r>
              <w:rPr>
                <w:rFonts w:ascii="Times New Roman" w:hAnsi="Times New Roman" w:eastAsia="Times New Roman"/>
                <w:b/>
                <w:i w:val="0"/>
                <w:color w:val="000000"/>
                <w:sz w:val="18"/>
              </w:rPr>
              <w:t>Best-fit tools</w:t>
            </w:r>
          </w:p>
        </w:tc>
        <w:tc>
          <w:tcPr>
            <w:tcW w:type="dxa" w:w="3041"/>
            <w:shd w:fill="D6E3F0" w:val="clear"/>
          </w:tcPr>
          <w:p>
            <w:pPr>
              <w:jc w:val="center"/>
            </w:pPr>
            <w:r/>
            <w:r>
              <w:rPr>
                <w:rFonts w:ascii="Times New Roman" w:hAnsi="Times New Roman" w:eastAsia="Times New Roman"/>
                <w:b/>
                <w:i w:val="0"/>
                <w:color w:val="000000"/>
                <w:sz w:val="18"/>
              </w:rPr>
              <w:t>Role of NETRIX</w:t>
            </w:r>
          </w:p>
        </w:tc>
      </w:tr>
      <w:tr>
        <w:tc>
          <w:tcPr>
            <w:tcW w:type="dxa" w:w="3041"/>
          </w:tcPr>
          <w:p>
            <w:r/>
            <w:r>
              <w:rPr>
                <w:rFonts w:ascii="Times New Roman" w:hAnsi="Times New Roman" w:eastAsia="Times New Roman"/>
                <w:b w:val="0"/>
                <w:i w:val="0"/>
                <w:color w:val="000000"/>
                <w:sz w:val="18"/>
              </w:rPr>
              <w:t>Learn protocols hands-on</w:t>
            </w:r>
          </w:p>
        </w:tc>
        <w:tc>
          <w:tcPr>
            <w:tcW w:type="dxa" w:w="3041"/>
          </w:tcPr>
          <w:p>
            <w:r/>
            <w:r>
              <w:rPr>
                <w:rFonts w:ascii="Times New Roman" w:hAnsi="Times New Roman" w:eastAsia="Times New Roman"/>
                <w:b w:val="0"/>
                <w:i w:val="0"/>
                <w:color w:val="000000"/>
                <w:sz w:val="18"/>
              </w:rPr>
              <w:t>Packet Tracer, physical labs</w:t>
            </w:r>
          </w:p>
        </w:tc>
        <w:tc>
          <w:tcPr>
            <w:tcW w:type="dxa" w:w="3041"/>
          </w:tcPr>
          <w:p>
            <w:r/>
            <w:r>
              <w:rPr>
                <w:rFonts w:ascii="Times New Roman" w:hAnsi="Times New Roman" w:eastAsia="Times New Roman"/>
                <w:b w:val="0"/>
                <w:i w:val="0"/>
                <w:color w:val="000000"/>
                <w:sz w:val="18"/>
              </w:rPr>
              <w:t>Supplies baseline configs &amp; lab guide</w:t>
            </w:r>
          </w:p>
        </w:tc>
      </w:tr>
      <w:tr>
        <w:tc>
          <w:tcPr>
            <w:tcW w:type="dxa" w:w="3041"/>
          </w:tcPr>
          <w:p>
            <w:r/>
            <w:r>
              <w:rPr>
                <w:rFonts w:ascii="Times New Roman" w:hAnsi="Times New Roman" w:eastAsia="Times New Roman"/>
                <w:b w:val="0"/>
                <w:i w:val="0"/>
                <w:color w:val="000000"/>
                <w:sz w:val="18"/>
              </w:rPr>
              <w:t>Calculate one subnet quickly</w:t>
            </w:r>
          </w:p>
        </w:tc>
        <w:tc>
          <w:tcPr>
            <w:tcW w:type="dxa" w:w="3041"/>
          </w:tcPr>
          <w:p>
            <w:r/>
            <w:r>
              <w:rPr>
                <w:rFonts w:ascii="Times New Roman" w:hAnsi="Times New Roman" w:eastAsia="Times New Roman"/>
                <w:b w:val="0"/>
                <w:i w:val="0"/>
                <w:color w:val="000000"/>
                <w:sz w:val="18"/>
              </w:rPr>
              <w:t>Online calculators</w:t>
            </w:r>
          </w:p>
        </w:tc>
        <w:tc>
          <w:tcPr>
            <w:tcW w:type="dxa" w:w="3041"/>
          </w:tcPr>
          <w:p>
            <w:r/>
            <w:r>
              <w:rPr>
                <w:rFonts w:ascii="Times New Roman" w:hAnsi="Times New Roman" w:eastAsia="Times New Roman"/>
                <w:b w:val="0"/>
                <w:i w:val="0"/>
                <w:color w:val="000000"/>
                <w:sz w:val="18"/>
              </w:rPr>
              <w:t>Optional; full project context preferred</w:t>
            </w:r>
          </w:p>
        </w:tc>
      </w:tr>
      <w:tr>
        <w:tc>
          <w:tcPr>
            <w:tcW w:type="dxa" w:w="3041"/>
          </w:tcPr>
          <w:p>
            <w:r/>
            <w:r>
              <w:rPr>
                <w:rFonts w:ascii="Times New Roman" w:hAnsi="Times New Roman" w:eastAsia="Times New Roman"/>
                <w:b w:val="0"/>
                <w:i w:val="0"/>
                <w:color w:val="000000"/>
                <w:sz w:val="18"/>
              </w:rPr>
              <w:t>Maintain enterprise IP inventory</w:t>
            </w:r>
          </w:p>
        </w:tc>
        <w:tc>
          <w:tcPr>
            <w:tcW w:type="dxa" w:w="3041"/>
          </w:tcPr>
          <w:p>
            <w:r/>
            <w:r>
              <w:rPr>
                <w:rFonts w:ascii="Times New Roman" w:hAnsi="Times New Roman" w:eastAsia="Times New Roman"/>
                <w:b w:val="0"/>
                <w:i w:val="0"/>
                <w:color w:val="000000"/>
                <w:sz w:val="18"/>
              </w:rPr>
              <w:t>Commercial IPAM</w:t>
            </w:r>
          </w:p>
        </w:tc>
        <w:tc>
          <w:tcPr>
            <w:tcW w:type="dxa" w:w="3041"/>
          </w:tcPr>
          <w:p>
            <w:r/>
            <w:r>
              <w:rPr>
                <w:rFonts w:ascii="Times New Roman" w:hAnsi="Times New Roman" w:eastAsia="Times New Roman"/>
                <w:b w:val="0"/>
                <w:i w:val="0"/>
                <w:color w:val="000000"/>
                <w:sz w:val="18"/>
              </w:rPr>
              <w:t>Upstream draft before IPAM entry</w:t>
            </w:r>
          </w:p>
        </w:tc>
      </w:tr>
      <w:tr>
        <w:tc>
          <w:tcPr>
            <w:tcW w:type="dxa" w:w="3041"/>
          </w:tcPr>
          <w:p>
            <w:r/>
            <w:r>
              <w:rPr>
                <w:rFonts w:ascii="Times New Roman" w:hAnsi="Times New Roman" w:eastAsia="Times New Roman"/>
                <w:b w:val="0"/>
                <w:i w:val="0"/>
                <w:color w:val="000000"/>
                <w:sz w:val="18"/>
              </w:rPr>
              <w:t>Deploy to many devices</w:t>
            </w:r>
          </w:p>
        </w:tc>
        <w:tc>
          <w:tcPr>
            <w:tcW w:type="dxa" w:w="3041"/>
          </w:tcPr>
          <w:p>
            <w:r/>
            <w:r>
              <w:rPr>
                <w:rFonts w:ascii="Times New Roman" w:hAnsi="Times New Roman" w:eastAsia="Times New Roman"/>
                <w:b w:val="0"/>
                <w:i w:val="0"/>
                <w:color w:val="000000"/>
                <w:sz w:val="18"/>
              </w:rPr>
              <w:t>Ansible, controllers</w:t>
            </w:r>
          </w:p>
        </w:tc>
        <w:tc>
          <w:tcPr>
            <w:tcW w:type="dxa" w:w="3041"/>
          </w:tcPr>
          <w:p>
            <w:r/>
            <w:r>
              <w:rPr>
                <w:rFonts w:ascii="Times New Roman" w:hAnsi="Times New Roman" w:eastAsia="Times New Roman"/>
                <w:b w:val="0"/>
                <w:i w:val="0"/>
                <w:color w:val="000000"/>
                <w:sz w:val="18"/>
              </w:rPr>
              <w:t>Optional lab SSH only</w:t>
            </w:r>
          </w:p>
        </w:tc>
      </w:tr>
      <w:tr>
        <w:tc>
          <w:tcPr>
            <w:tcW w:type="dxa" w:w="3041"/>
          </w:tcPr>
          <w:p>
            <w:r/>
            <w:r>
              <w:rPr>
                <w:rFonts w:ascii="Times New Roman" w:hAnsi="Times New Roman" w:eastAsia="Times New Roman"/>
                <w:b w:val="0"/>
                <w:i w:val="0"/>
                <w:color w:val="000000"/>
                <w:sz w:val="18"/>
              </w:rPr>
              <w:t>Produce client-ready design pack</w:t>
            </w:r>
          </w:p>
        </w:tc>
        <w:tc>
          <w:tcPr>
            <w:tcW w:type="dxa" w:w="3041"/>
          </w:tcPr>
          <w:p>
            <w:r/>
            <w:r>
              <w:rPr>
                <w:rFonts w:ascii="Times New Roman" w:hAnsi="Times New Roman" w:eastAsia="Times New Roman"/>
                <w:b w:val="0"/>
                <w:i w:val="0"/>
                <w:color w:val="000000"/>
                <w:sz w:val="18"/>
              </w:rPr>
              <w:t>Manual Word/Visio mix</w:t>
            </w:r>
          </w:p>
        </w:tc>
        <w:tc>
          <w:tcPr>
            <w:tcW w:type="dxa" w:w="3041"/>
          </w:tcPr>
          <w:p>
            <w:r/>
            <w:r>
              <w:rPr>
                <w:rFonts w:ascii="Times New Roman" w:hAnsi="Times New Roman" w:eastAsia="Times New Roman"/>
                <w:b w:val="0"/>
                <w:i w:val="0"/>
                <w:color w:val="000000"/>
                <w:sz w:val="18"/>
              </w:rPr>
              <w:t>Primary strength: one-click pack</w:t>
            </w:r>
          </w:p>
        </w:tc>
      </w:tr>
      <w:tr>
        <w:tc>
          <w:tcPr>
            <w:tcW w:type="dxa" w:w="3041"/>
          </w:tcPr>
          <w:p>
            <w:r/>
            <w:r>
              <w:rPr>
                <w:rFonts w:ascii="Times New Roman" w:hAnsi="Times New Roman" w:eastAsia="Times New Roman"/>
                <w:b w:val="0"/>
                <w:i w:val="0"/>
                <w:color w:val="000000"/>
                <w:sz w:val="18"/>
              </w:rPr>
              <w:t>Module coursework / capstone</w:t>
            </w:r>
          </w:p>
        </w:tc>
        <w:tc>
          <w:tcPr>
            <w:tcW w:type="dxa" w:w="3041"/>
          </w:tcPr>
          <w:p>
            <w:r/>
            <w:r>
              <w:rPr>
                <w:rFonts w:ascii="Times New Roman" w:hAnsi="Times New Roman" w:eastAsia="Times New Roman"/>
                <w:b w:val="0"/>
                <w:i w:val="0"/>
                <w:color w:val="000000"/>
                <w:sz w:val="18"/>
              </w:rPr>
              <w:t>PT + spreadsheets</w:t>
            </w:r>
          </w:p>
        </w:tc>
        <w:tc>
          <w:tcPr>
            <w:tcW w:type="dxa" w:w="3041"/>
          </w:tcPr>
          <w:p>
            <w:r/>
            <w:r>
              <w:rPr>
                <w:rFonts w:ascii="Times New Roman" w:hAnsi="Times New Roman" w:eastAsia="Times New Roman"/>
                <w:b w:val="0"/>
                <w:i w:val="0"/>
                <w:color w:val="000000"/>
                <w:sz w:val="18"/>
              </w:rPr>
              <w:t>Integrated alternative workflow</w:t>
            </w:r>
          </w:p>
        </w:tc>
      </w:tr>
    </w:tbl>
    <w:p/>
    <w:p>
      <w:pPr>
        <w:spacing w:after="240" w:before="80"/>
        <w:jc w:val="center"/>
      </w:pPr>
      <w:r>
        <w:rPr>
          <w:rFonts w:ascii="Times New Roman" w:hAnsi="Times New Roman" w:eastAsia="Times New Roman"/>
          <w:b w:val="0"/>
          <w:i/>
          <w:color w:val="000000"/>
          <w:sz w:val="20"/>
        </w:rPr>
        <w:t>Table 2.2 – Use-case suitability comparison</w:t>
      </w:r>
    </w:p>
    <w:p>
      <w:pPr>
        <w:spacing w:before="240" w:after="160"/>
      </w:pPr>
      <w:r>
        <w:rPr>
          <w:rFonts w:ascii="Times New Roman" w:hAnsi="Times New Roman" w:eastAsia="Times New Roman"/>
          <w:b/>
          <w:i w:val="0"/>
          <w:color w:val="000000"/>
          <w:sz w:val="26"/>
        </w:rPr>
        <w:t>2.7  Web Architectures and Literature Gaps</w:t>
      </w:r>
    </w:p>
    <w:p>
      <w:pPr>
        <w:spacing w:after="160" w:line="360" w:lineRule="auto"/>
        <w:ind w:firstLine="720"/>
        <w:jc w:val="both"/>
      </w:pPr>
      <w:r>
        <w:rPr>
          <w:rFonts w:ascii="Times New Roman" w:hAnsi="Times New Roman" w:eastAsia="Times New Roman"/>
          <w:b w:val="0"/>
          <w:i w:val="0"/>
          <w:color w:val="000000"/>
          <w:sz w:val="24"/>
        </w:rPr>
        <w:t>Flask enables rapid domain-specific web tools with clear separation of routes, services and models (Grinberg, 2018). Secure session management and RBAC are essential when tools can push configurations (OWASP, 2021). Gaps identified include weak integration of VLSM, dual-stack planning and multi-device export; limited educational PDF packs with topology/UML views; and scarce open implementations for dissertation evaluation. NETRIX targets these gaps without claiming to supersede IPAM or enterprise automation.</w:t>
      </w:r>
    </w:p>
    <w:p>
      <w:r>
        <w:br w:type="page"/>
      </w:r>
    </w:p>
    <w:p>
      <w:pPr>
        <w:spacing w:before="320" w:after="160"/>
      </w:pPr>
      <w:r>
        <w:rPr>
          <w:rFonts w:ascii="Times New Roman" w:hAnsi="Times New Roman" w:eastAsia="Times New Roman"/>
          <w:b/>
          <w:i w:val="0"/>
          <w:color w:val="000000"/>
          <w:sz w:val="32"/>
        </w:rPr>
        <w:t>3  Practical Research Methodology</w:t>
      </w:r>
    </w:p>
    <w:p>
      <w:pPr>
        <w:spacing w:after="160" w:line="360" w:lineRule="auto"/>
        <w:ind w:firstLine="720"/>
        <w:jc w:val="both"/>
      </w:pPr>
      <w:r>
        <w:rPr>
          <w:rFonts w:ascii="Times New Roman" w:hAnsi="Times New Roman" w:eastAsia="Times New Roman"/>
          <w:b w:val="0"/>
          <w:i w:val="0"/>
          <w:color w:val="000000"/>
          <w:sz w:val="24"/>
        </w:rPr>
        <w:t>This chapter contrasts Approach 1 (fragmented toolchain) with Approach 2 (NETRIX). Both start from the same class of brief: multi-department host counts, private addressing, optional Internet edge and routing preference.</w:t>
      </w:r>
    </w:p>
    <w:p>
      <w:pPr>
        <w:jc w:val="center"/>
      </w:pPr>
      <w:r>
        <w:drawing>
          <wp:inline xmlns:a="http://schemas.openxmlformats.org/drawingml/2006/main" xmlns:pic="http://schemas.openxmlformats.org/drawingml/2006/picture">
            <wp:extent cx="5394960" cy="2426741"/>
            <wp:docPr id="2" name="Picture 2"/>
            <wp:cNvGraphicFramePr>
              <a:graphicFrameLocks noChangeAspect="1"/>
            </wp:cNvGraphicFramePr>
            <a:graphic>
              <a:graphicData uri="http://schemas.openxmlformats.org/drawingml/2006/picture">
                <pic:pic>
                  <pic:nvPicPr>
                    <pic:cNvPr id="0" name="fig_approaches.png"/>
                    <pic:cNvPicPr/>
                  </pic:nvPicPr>
                  <pic:blipFill>
                    <a:blip r:embed="rId10"/>
                    <a:stretch>
                      <a:fillRect/>
                    </a:stretch>
                  </pic:blipFill>
                  <pic:spPr>
                    <a:xfrm>
                      <a:off x="0" y="0"/>
                      <a:ext cx="5394960" cy="2426741"/>
                    </a:xfrm>
                    <a:prstGeom prst="rect"/>
                  </pic:spPr>
                </pic:pic>
              </a:graphicData>
            </a:graphic>
          </wp:inline>
        </w:drawing>
      </w:r>
    </w:p>
    <w:p>
      <w:pPr>
        <w:spacing w:after="240" w:before="80"/>
        <w:jc w:val="center"/>
      </w:pPr>
      <w:r>
        <w:rPr>
          <w:rFonts w:ascii="Times New Roman" w:hAnsi="Times New Roman" w:eastAsia="Times New Roman"/>
          <w:b w:val="0"/>
          <w:i/>
          <w:color w:val="000000"/>
          <w:sz w:val="20"/>
        </w:rPr>
        <w:t>Figure 3.1 – Comparison of Approach 1 (fragmented) and Approach 2 (integrated NETRIX) pipelines</w:t>
      </w:r>
    </w:p>
    <w:p>
      <w:pPr>
        <w:spacing w:before="240" w:after="160"/>
      </w:pPr>
      <w:r>
        <w:rPr>
          <w:rFonts w:ascii="Times New Roman" w:hAnsi="Times New Roman" w:eastAsia="Times New Roman"/>
          <w:b/>
          <w:i w:val="0"/>
          <w:color w:val="000000"/>
          <w:sz w:val="26"/>
        </w:rPr>
        <w:t>3.1  Approach 1 – Fragmented Toolchain</w:t>
      </w:r>
    </w:p>
    <w:p>
      <w:pPr>
        <w:spacing w:after="160" w:line="360" w:lineRule="auto"/>
        <w:ind w:firstLine="720"/>
        <w:jc w:val="both"/>
      </w:pPr>
      <w:r>
        <w:rPr>
          <w:rFonts w:ascii="Times New Roman" w:hAnsi="Times New Roman" w:eastAsia="Times New Roman"/>
          <w:b w:val="0"/>
          <w:i w:val="0"/>
          <w:color w:val="000000"/>
          <w:sz w:val="24"/>
        </w:rPr>
        <w:t>The designer uses a calculator for VLSM, a spreadsheet for records, a diagram tool for topology, manual IOS notes for configuration and Packet Tracer for verification (Cisco Networking Academy, n.d.). No single artefact keeps requirements, plan, configs and diagrams synchronised. Results can be correct but scale poorly with dual-stack requirements and are costly to regenerate after changes (Lammle, 2016).</w:t>
      </w:r>
    </w:p>
    <w:p>
      <w:pPr>
        <w:spacing w:before="240" w:after="160"/>
      </w:pPr>
      <w:r>
        <w:rPr>
          <w:rFonts w:ascii="Times New Roman" w:hAnsi="Times New Roman" w:eastAsia="Times New Roman"/>
          <w:b/>
          <w:i w:val="0"/>
          <w:color w:val="000000"/>
          <w:sz w:val="26"/>
        </w:rPr>
        <w:t>3.2  Approach 2 – Integrated NETRIX</w:t>
      </w:r>
    </w:p>
    <w:p>
      <w:pPr>
        <w:spacing w:after="160" w:line="360" w:lineRule="auto"/>
        <w:ind w:firstLine="720"/>
        <w:jc w:val="both"/>
      </w:pPr>
      <w:r>
        <w:rPr>
          <w:rFonts w:ascii="Times New Roman" w:hAnsi="Times New Roman" w:eastAsia="Times New Roman"/>
          <w:b w:val="0"/>
          <w:i w:val="0"/>
          <w:color w:val="000000"/>
          <w:sz w:val="24"/>
        </w:rPr>
        <w:t>NETRIX follows MVC principles (Grinberg, 2018). Models represent users, projects, departments and generated data. Services implement the network engine and report generation. Routes expose authentication, CRUD, generation, downloads and SSH push. Figure 3.2 shows the layered architecture.</w:t>
      </w:r>
    </w:p>
    <w:p>
      <w:pPr>
        <w:jc w:val="center"/>
      </w:pPr>
      <w:r>
        <w:drawing>
          <wp:inline xmlns:a="http://schemas.openxmlformats.org/drawingml/2006/main" xmlns:pic="http://schemas.openxmlformats.org/drawingml/2006/picture">
            <wp:extent cx="5394960" cy="2177782"/>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394960" cy="2177782"/>
                    </a:xfrm>
                    <a:prstGeom prst="rect"/>
                  </pic:spPr>
                </pic:pic>
              </a:graphicData>
            </a:graphic>
          </wp:inline>
        </w:drawing>
      </w:r>
    </w:p>
    <w:p>
      <w:pPr>
        <w:spacing w:after="240" w:before="80"/>
        <w:jc w:val="center"/>
      </w:pPr>
      <w:r>
        <w:rPr>
          <w:rFonts w:ascii="Times New Roman" w:hAnsi="Times New Roman" w:eastAsia="Times New Roman"/>
          <w:b w:val="0"/>
          <w:i/>
          <w:color w:val="000000"/>
          <w:sz w:val="20"/>
        </w:rPr>
        <w:t>Figure 3.2 – NETRIX layered architecture (UI, routes, engines, database, exports)</w:t>
      </w:r>
    </w:p>
    <w:p>
      <w:pPr>
        <w:jc w:val="center"/>
      </w:pPr>
      <w:r>
        <w:drawing>
          <wp:inline xmlns:a="http://schemas.openxmlformats.org/drawingml/2006/main" xmlns:pic="http://schemas.openxmlformats.org/drawingml/2006/picture">
            <wp:extent cx="4572000" cy="3030876"/>
            <wp:docPr id="4" name="Picture 4"/>
            <wp:cNvGraphicFramePr>
              <a:graphicFrameLocks noChangeAspect="1"/>
            </wp:cNvGraphicFramePr>
            <a:graphic>
              <a:graphicData uri="http://schemas.openxmlformats.org/drawingml/2006/picture">
                <pic:pic>
                  <pic:nvPicPr>
                    <pic:cNvPr id="0" name="fig_hierarchy.png"/>
                    <pic:cNvPicPr/>
                  </pic:nvPicPr>
                  <pic:blipFill>
                    <a:blip r:embed="rId12"/>
                    <a:stretch>
                      <a:fillRect/>
                    </a:stretch>
                  </pic:blipFill>
                  <pic:spPr>
                    <a:xfrm>
                      <a:off x="0" y="0"/>
                      <a:ext cx="4572000" cy="3030876"/>
                    </a:xfrm>
                    <a:prstGeom prst="rect"/>
                  </pic:spPr>
                </pic:pic>
              </a:graphicData>
            </a:graphic>
          </wp:inline>
        </w:drawing>
      </w:r>
    </w:p>
    <w:p>
      <w:pPr>
        <w:spacing w:after="240" w:before="80"/>
        <w:jc w:val="center"/>
      </w:pPr>
      <w:r>
        <w:rPr>
          <w:rFonts w:ascii="Times New Roman" w:hAnsi="Times New Roman" w:eastAsia="Times New Roman"/>
          <w:b w:val="0"/>
          <w:i/>
          <w:color w:val="000000"/>
          <w:sz w:val="20"/>
        </w:rPr>
        <w:t>Figure 3.3 – Hierarchical topology style illustrated by NETRIX diagrams</w:t>
      </w:r>
    </w:p>
    <w:p>
      <w:pPr>
        <w:spacing w:after="160" w:line="360" w:lineRule="auto"/>
        <w:ind w:firstLine="720"/>
        <w:jc w:val="both"/>
      </w:pPr>
      <w:r>
        <w:rPr>
          <w:rFonts w:ascii="Times New Roman" w:hAnsi="Times New Roman" w:eastAsia="Times New Roman"/>
          <w:b w:val="0"/>
          <w:i w:val="0"/>
          <w:color w:val="000000"/>
          <w:sz w:val="24"/>
        </w:rPr>
        <w:t>Table 3.1 summarises the test plan.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6E3F0" w:val="clear"/>
          </w:tcPr>
          <w:p>
            <w:pPr>
              <w:jc w:val="center"/>
            </w:pPr>
            <w:r/>
            <w:r>
              <w:rPr>
                <w:rFonts w:ascii="Times New Roman" w:hAnsi="Times New Roman" w:eastAsia="Times New Roman"/>
                <w:b/>
                <w:i w:val="0"/>
                <w:color w:val="000000"/>
                <w:sz w:val="18"/>
              </w:rPr>
              <w:t>Test ID</w:t>
            </w:r>
          </w:p>
        </w:tc>
        <w:tc>
          <w:tcPr>
            <w:tcW w:type="dxa" w:w="3041"/>
            <w:shd w:fill="D6E3F0" w:val="clear"/>
          </w:tcPr>
          <w:p>
            <w:pPr>
              <w:jc w:val="center"/>
            </w:pPr>
            <w:r/>
            <w:r>
              <w:rPr>
                <w:rFonts w:ascii="Times New Roman" w:hAnsi="Times New Roman" w:eastAsia="Times New Roman"/>
                <w:b/>
                <w:i w:val="0"/>
                <w:color w:val="000000"/>
                <w:sz w:val="18"/>
              </w:rPr>
              <w:t>Focus</w:t>
            </w:r>
          </w:p>
        </w:tc>
        <w:tc>
          <w:tcPr>
            <w:tcW w:type="dxa" w:w="3041"/>
            <w:shd w:fill="D6E3F0" w:val="clear"/>
          </w:tcPr>
          <w:p>
            <w:pPr>
              <w:jc w:val="center"/>
            </w:pPr>
            <w:r/>
            <w:r>
              <w:rPr>
                <w:rFonts w:ascii="Times New Roman" w:hAnsi="Times New Roman" w:eastAsia="Times New Roman"/>
                <w:b/>
                <w:i w:val="0"/>
                <w:color w:val="000000"/>
                <w:sz w:val="18"/>
              </w:rPr>
              <w:t>Success criteria</w:t>
            </w:r>
          </w:p>
        </w:tc>
      </w:tr>
      <w:tr>
        <w:tc>
          <w:tcPr>
            <w:tcW w:type="dxa" w:w="3041"/>
          </w:tcPr>
          <w:p>
            <w:r/>
            <w:r>
              <w:rPr>
                <w:rFonts w:ascii="Times New Roman" w:hAnsi="Times New Roman" w:eastAsia="Times New Roman"/>
                <w:b w:val="0"/>
                <w:i w:val="0"/>
                <w:color w:val="000000"/>
                <w:sz w:val="18"/>
              </w:rPr>
              <w:t>T1</w:t>
            </w:r>
          </w:p>
        </w:tc>
        <w:tc>
          <w:tcPr>
            <w:tcW w:type="dxa" w:w="3041"/>
          </w:tcPr>
          <w:p>
            <w:r/>
            <w:r>
              <w:rPr>
                <w:rFonts w:ascii="Times New Roman" w:hAnsi="Times New Roman" w:eastAsia="Times New Roman"/>
                <w:b w:val="0"/>
                <w:i w:val="0"/>
                <w:color w:val="000000"/>
                <w:sz w:val="18"/>
              </w:rPr>
              <w:t>Auth &amp; RBAC</w:t>
            </w:r>
          </w:p>
        </w:tc>
        <w:tc>
          <w:tcPr>
            <w:tcW w:type="dxa" w:w="3041"/>
          </w:tcPr>
          <w:p>
            <w:r/>
            <w:r>
              <w:rPr>
                <w:rFonts w:ascii="Times New Roman" w:hAnsi="Times New Roman" w:eastAsia="Times New Roman"/>
                <w:b w:val="0"/>
                <w:i w:val="0"/>
                <w:color w:val="000000"/>
                <w:sz w:val="18"/>
              </w:rPr>
              <w:t>Roles enforce create/generate/download</w:t>
            </w:r>
          </w:p>
        </w:tc>
      </w:tr>
      <w:tr>
        <w:tc>
          <w:tcPr>
            <w:tcW w:type="dxa" w:w="3041"/>
          </w:tcPr>
          <w:p>
            <w:r/>
            <w:r>
              <w:rPr>
                <w:rFonts w:ascii="Times New Roman" w:hAnsi="Times New Roman" w:eastAsia="Times New Roman"/>
                <w:b w:val="0"/>
                <w:i w:val="0"/>
                <w:color w:val="000000"/>
                <w:sz w:val="18"/>
              </w:rPr>
              <w:t>T2</w:t>
            </w:r>
          </w:p>
        </w:tc>
        <w:tc>
          <w:tcPr>
            <w:tcW w:type="dxa" w:w="3041"/>
          </w:tcPr>
          <w:p>
            <w:r/>
            <w:r>
              <w:rPr>
                <w:rFonts w:ascii="Times New Roman" w:hAnsi="Times New Roman" w:eastAsia="Times New Roman"/>
                <w:b w:val="0"/>
                <w:i w:val="0"/>
                <w:color w:val="000000"/>
                <w:sz w:val="18"/>
              </w:rPr>
              <w:t>VLSM IPv4</w:t>
            </w:r>
          </w:p>
        </w:tc>
        <w:tc>
          <w:tcPr>
            <w:tcW w:type="dxa" w:w="3041"/>
          </w:tcPr>
          <w:p>
            <w:r/>
            <w:r>
              <w:rPr>
                <w:rFonts w:ascii="Times New Roman" w:hAnsi="Times New Roman" w:eastAsia="Times New Roman"/>
                <w:b w:val="0"/>
                <w:i w:val="0"/>
                <w:color w:val="000000"/>
                <w:sz w:val="18"/>
              </w:rPr>
              <w:t>Non-overlapping prefixes; hosts ≥ demand</w:t>
            </w:r>
          </w:p>
        </w:tc>
      </w:tr>
      <w:tr>
        <w:tc>
          <w:tcPr>
            <w:tcW w:type="dxa" w:w="3041"/>
          </w:tcPr>
          <w:p>
            <w:r/>
            <w:r>
              <w:rPr>
                <w:rFonts w:ascii="Times New Roman" w:hAnsi="Times New Roman" w:eastAsia="Times New Roman"/>
                <w:b w:val="0"/>
                <w:i w:val="0"/>
                <w:color w:val="000000"/>
                <w:sz w:val="18"/>
              </w:rPr>
              <w:t>T3</w:t>
            </w:r>
          </w:p>
        </w:tc>
        <w:tc>
          <w:tcPr>
            <w:tcW w:type="dxa" w:w="3041"/>
          </w:tcPr>
          <w:p>
            <w:r/>
            <w:r>
              <w:rPr>
                <w:rFonts w:ascii="Times New Roman" w:hAnsi="Times New Roman" w:eastAsia="Times New Roman"/>
                <w:b w:val="0"/>
                <w:i w:val="0"/>
                <w:color w:val="000000"/>
                <w:sz w:val="18"/>
              </w:rPr>
              <w:t>IPv6 / dual-stack</w:t>
            </w:r>
          </w:p>
        </w:tc>
        <w:tc>
          <w:tcPr>
            <w:tcW w:type="dxa" w:w="3041"/>
          </w:tcPr>
          <w:p>
            <w:r/>
            <w:r>
              <w:rPr>
                <w:rFonts w:ascii="Times New Roman" w:hAnsi="Times New Roman" w:eastAsia="Times New Roman"/>
                <w:b w:val="0"/>
                <w:i w:val="0"/>
                <w:color w:val="000000"/>
                <w:sz w:val="18"/>
              </w:rPr>
              <w:t>ULA /64 per department; PDF populated</w:t>
            </w:r>
          </w:p>
        </w:tc>
      </w:tr>
      <w:tr>
        <w:tc>
          <w:tcPr>
            <w:tcW w:type="dxa" w:w="3041"/>
          </w:tcPr>
          <w:p>
            <w:r/>
            <w:r>
              <w:rPr>
                <w:rFonts w:ascii="Times New Roman" w:hAnsi="Times New Roman" w:eastAsia="Times New Roman"/>
                <w:b w:val="0"/>
                <w:i w:val="0"/>
                <w:color w:val="000000"/>
                <w:sz w:val="18"/>
              </w:rPr>
              <w:t>T4</w:t>
            </w:r>
          </w:p>
        </w:tc>
        <w:tc>
          <w:tcPr>
            <w:tcW w:type="dxa" w:w="3041"/>
          </w:tcPr>
          <w:p>
            <w:r/>
            <w:r>
              <w:rPr>
                <w:rFonts w:ascii="Times New Roman" w:hAnsi="Times New Roman" w:eastAsia="Times New Roman"/>
                <w:b w:val="0"/>
                <w:i w:val="0"/>
                <w:color w:val="000000"/>
                <w:sz w:val="18"/>
              </w:rPr>
              <w:t>Multi-device configs</w:t>
            </w:r>
          </w:p>
        </w:tc>
        <w:tc>
          <w:tcPr>
            <w:tcW w:type="dxa" w:w="3041"/>
          </w:tcPr>
          <w:p>
            <w:r/>
            <w:r>
              <w:rPr>
                <w:rFonts w:ascii="Times New Roman" w:hAnsi="Times New Roman" w:eastAsia="Times New Roman"/>
                <w:b w:val="0"/>
                <w:i w:val="0"/>
                <w:color w:val="000000"/>
                <w:sz w:val="18"/>
              </w:rPr>
              <w:t>Hostname blocks per router/switch</w:t>
            </w:r>
          </w:p>
        </w:tc>
      </w:tr>
      <w:tr>
        <w:tc>
          <w:tcPr>
            <w:tcW w:type="dxa" w:w="3041"/>
          </w:tcPr>
          <w:p>
            <w:r/>
            <w:r>
              <w:rPr>
                <w:rFonts w:ascii="Times New Roman" w:hAnsi="Times New Roman" w:eastAsia="Times New Roman"/>
                <w:b w:val="0"/>
                <w:i w:val="0"/>
                <w:color w:val="000000"/>
                <w:sz w:val="18"/>
              </w:rPr>
              <w:t>T5</w:t>
            </w:r>
          </w:p>
        </w:tc>
        <w:tc>
          <w:tcPr>
            <w:tcW w:type="dxa" w:w="3041"/>
          </w:tcPr>
          <w:p>
            <w:r/>
            <w:r>
              <w:rPr>
                <w:rFonts w:ascii="Times New Roman" w:hAnsi="Times New Roman" w:eastAsia="Times New Roman"/>
                <w:b w:val="0"/>
                <w:i w:val="0"/>
                <w:color w:val="000000"/>
                <w:sz w:val="18"/>
              </w:rPr>
              <w:t>Reports</w:t>
            </w:r>
          </w:p>
        </w:tc>
        <w:tc>
          <w:tcPr>
            <w:tcW w:type="dxa" w:w="3041"/>
          </w:tcPr>
          <w:p>
            <w:r/>
            <w:r>
              <w:rPr>
                <w:rFonts w:ascii="Times New Roman" w:hAnsi="Times New Roman" w:eastAsia="Times New Roman"/>
                <w:b w:val="0"/>
                <w:i w:val="0"/>
                <w:color w:val="000000"/>
                <w:sz w:val="18"/>
              </w:rPr>
              <w:t>PDF/Word/Excel with diagrams</w:t>
            </w:r>
          </w:p>
        </w:tc>
      </w:tr>
      <w:tr>
        <w:tc>
          <w:tcPr>
            <w:tcW w:type="dxa" w:w="3041"/>
          </w:tcPr>
          <w:p>
            <w:r/>
            <w:r>
              <w:rPr>
                <w:rFonts w:ascii="Times New Roman" w:hAnsi="Times New Roman" w:eastAsia="Times New Roman"/>
                <w:b w:val="0"/>
                <w:i w:val="0"/>
                <w:color w:val="000000"/>
                <w:sz w:val="18"/>
              </w:rPr>
              <w:t>T6</w:t>
            </w:r>
          </w:p>
        </w:tc>
        <w:tc>
          <w:tcPr>
            <w:tcW w:type="dxa" w:w="3041"/>
          </w:tcPr>
          <w:p>
            <w:r/>
            <w:r>
              <w:rPr>
                <w:rFonts w:ascii="Times New Roman" w:hAnsi="Times New Roman" w:eastAsia="Times New Roman"/>
                <w:b w:val="0"/>
                <w:i w:val="0"/>
                <w:color w:val="000000"/>
                <w:sz w:val="18"/>
              </w:rPr>
              <w:t>PT lab guide</w:t>
            </w:r>
          </w:p>
        </w:tc>
        <w:tc>
          <w:tcPr>
            <w:tcW w:type="dxa" w:w="3041"/>
          </w:tcPr>
          <w:p>
            <w:r/>
            <w:r>
              <w:rPr>
                <w:rFonts w:ascii="Times New Roman" w:hAnsi="Times New Roman" w:eastAsia="Times New Roman"/>
                <w:b w:val="0"/>
                <w:i w:val="0"/>
                <w:color w:val="000000"/>
                <w:sz w:val="18"/>
              </w:rPr>
              <w:t>Guide references topology and routing</w:t>
            </w:r>
          </w:p>
        </w:tc>
      </w:tr>
      <w:tr>
        <w:tc>
          <w:tcPr>
            <w:tcW w:type="dxa" w:w="3041"/>
          </w:tcPr>
          <w:p>
            <w:r/>
            <w:r>
              <w:rPr>
                <w:rFonts w:ascii="Times New Roman" w:hAnsi="Times New Roman" w:eastAsia="Times New Roman"/>
                <w:b w:val="0"/>
                <w:i w:val="0"/>
                <w:color w:val="000000"/>
                <w:sz w:val="18"/>
              </w:rPr>
              <w:t>T7</w:t>
            </w:r>
          </w:p>
        </w:tc>
        <w:tc>
          <w:tcPr>
            <w:tcW w:type="dxa" w:w="3041"/>
          </w:tcPr>
          <w:p>
            <w:r/>
            <w:r>
              <w:rPr>
                <w:rFonts w:ascii="Times New Roman" w:hAnsi="Times New Roman" w:eastAsia="Times New Roman"/>
                <w:b w:val="0"/>
                <w:i w:val="0"/>
                <w:color w:val="000000"/>
                <w:sz w:val="18"/>
              </w:rPr>
              <w:t>Live push dry-run</w:t>
            </w:r>
          </w:p>
        </w:tc>
        <w:tc>
          <w:tcPr>
            <w:tcW w:type="dxa" w:w="3041"/>
          </w:tcPr>
          <w:p>
            <w:r/>
            <w:r>
              <w:rPr>
                <w:rFonts w:ascii="Times New Roman" w:hAnsi="Times New Roman" w:eastAsia="Times New Roman"/>
                <w:b w:val="0"/>
                <w:i w:val="0"/>
                <w:color w:val="000000"/>
                <w:sz w:val="18"/>
              </w:rPr>
              <w:t>Simulated hosts succeed safely</w:t>
            </w:r>
          </w:p>
        </w:tc>
      </w:tr>
      <w:tr>
        <w:tc>
          <w:tcPr>
            <w:tcW w:type="dxa" w:w="3041"/>
          </w:tcPr>
          <w:p>
            <w:r/>
            <w:r>
              <w:rPr>
                <w:rFonts w:ascii="Times New Roman" w:hAnsi="Times New Roman" w:eastAsia="Times New Roman"/>
                <w:b w:val="0"/>
                <w:i w:val="0"/>
                <w:color w:val="000000"/>
                <w:sz w:val="18"/>
              </w:rPr>
              <w:t>T8</w:t>
            </w:r>
          </w:p>
        </w:tc>
        <w:tc>
          <w:tcPr>
            <w:tcW w:type="dxa" w:w="3041"/>
          </w:tcPr>
          <w:p>
            <w:r/>
            <w:r>
              <w:rPr>
                <w:rFonts w:ascii="Times New Roman" w:hAnsi="Times New Roman" w:eastAsia="Times New Roman"/>
                <w:b w:val="0"/>
                <w:i w:val="0"/>
                <w:color w:val="000000"/>
                <w:sz w:val="18"/>
              </w:rPr>
              <w:t>UX regression</w:t>
            </w:r>
          </w:p>
        </w:tc>
        <w:tc>
          <w:tcPr>
            <w:tcW w:type="dxa" w:w="3041"/>
          </w:tcPr>
          <w:p>
            <w:r/>
            <w:r>
              <w:rPr>
                <w:rFonts w:ascii="Times New Roman" w:hAnsi="Times New Roman" w:eastAsia="Times New Roman"/>
                <w:b w:val="0"/>
                <w:i w:val="0"/>
                <w:color w:val="000000"/>
                <w:sz w:val="18"/>
              </w:rPr>
              <w:t>Navigation and dashboard visible</w:t>
            </w:r>
          </w:p>
        </w:tc>
      </w:tr>
    </w:tbl>
    <w:p/>
    <w:p>
      <w:pPr>
        <w:spacing w:after="240" w:before="80"/>
        <w:jc w:val="center"/>
      </w:pPr>
      <w:r>
        <w:rPr>
          <w:rFonts w:ascii="Times New Roman" w:hAnsi="Times New Roman" w:eastAsia="Times New Roman"/>
          <w:b w:val="0"/>
          <w:i/>
          <w:color w:val="000000"/>
          <w:sz w:val="20"/>
        </w:rPr>
        <w:t>Table 3.1 – Approach 2 test plan</w:t>
      </w:r>
    </w:p>
    <w:p>
      <w:r>
        <w:br w:type="page"/>
      </w:r>
    </w:p>
    <w:p>
      <w:pPr>
        <w:spacing w:before="320" w:after="160"/>
      </w:pPr>
      <w:r>
        <w:rPr>
          <w:rFonts w:ascii="Times New Roman" w:hAnsi="Times New Roman" w:eastAsia="Times New Roman"/>
          <w:b/>
          <w:i w:val="0"/>
          <w:color w:val="000000"/>
          <w:sz w:val="32"/>
        </w:rPr>
        <w:t>4  Analysis of Results</w:t>
      </w:r>
    </w:p>
    <w:p>
      <w:pPr>
        <w:spacing w:before="240" w:after="160"/>
      </w:pPr>
      <w:r>
        <w:rPr>
          <w:rFonts w:ascii="Times New Roman" w:hAnsi="Times New Roman" w:eastAsia="Times New Roman"/>
          <w:b/>
          <w:i w:val="0"/>
          <w:color w:val="000000"/>
          <w:sz w:val="26"/>
        </w:rPr>
        <w:t>4.1  Model Results</w:t>
      </w:r>
    </w:p>
    <w:p>
      <w:pPr>
        <w:spacing w:after="160" w:line="360" w:lineRule="auto"/>
        <w:ind w:firstLine="720"/>
        <w:jc w:val="both"/>
      </w:pPr>
      <w:r>
        <w:rPr>
          <w:rFonts w:ascii="Times New Roman" w:hAnsi="Times New Roman" w:eastAsia="Times New Roman"/>
          <w:b w:val="0"/>
          <w:i w:val="0"/>
          <w:color w:val="000000"/>
          <w:sz w:val="24"/>
        </w:rPr>
        <w:t>IPv4 VLSM allocations met host demand without overlap within the supernet. Dual-stack runs produced matched department rows for IPv4 and ULA /64 networks (RFC 4193). Table 4.1 shows an illustrative extract.</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D6E3F0" w:val="clear"/>
          </w:tcPr>
          <w:p>
            <w:pPr>
              <w:jc w:val="center"/>
            </w:pPr>
            <w:r/>
            <w:r>
              <w:rPr>
                <w:rFonts w:ascii="Times New Roman" w:hAnsi="Times New Roman" w:eastAsia="Times New Roman"/>
                <w:b/>
                <w:i w:val="0"/>
                <w:color w:val="000000"/>
                <w:sz w:val="18"/>
              </w:rPr>
              <w:t>Department</w:t>
            </w:r>
          </w:p>
        </w:tc>
        <w:tc>
          <w:tcPr>
            <w:tcW w:type="dxa" w:w="1824"/>
            <w:shd w:fill="D6E3F0" w:val="clear"/>
          </w:tcPr>
          <w:p>
            <w:pPr>
              <w:jc w:val="center"/>
            </w:pPr>
            <w:r/>
            <w:r>
              <w:rPr>
                <w:rFonts w:ascii="Times New Roman" w:hAnsi="Times New Roman" w:eastAsia="Times New Roman"/>
                <w:b/>
                <w:i w:val="0"/>
                <w:color w:val="000000"/>
                <w:sz w:val="18"/>
              </w:rPr>
              <w:t>VLAN</w:t>
            </w:r>
          </w:p>
        </w:tc>
        <w:tc>
          <w:tcPr>
            <w:tcW w:type="dxa" w:w="1824"/>
            <w:shd w:fill="D6E3F0" w:val="clear"/>
          </w:tcPr>
          <w:p>
            <w:pPr>
              <w:jc w:val="center"/>
            </w:pPr>
            <w:r/>
            <w:r>
              <w:rPr>
                <w:rFonts w:ascii="Times New Roman" w:hAnsi="Times New Roman" w:eastAsia="Times New Roman"/>
                <w:b/>
                <w:i w:val="0"/>
                <w:color w:val="000000"/>
                <w:sz w:val="18"/>
              </w:rPr>
              <w:t>IPv4 network</w:t>
            </w:r>
          </w:p>
        </w:tc>
        <w:tc>
          <w:tcPr>
            <w:tcW w:type="dxa" w:w="1824"/>
            <w:shd w:fill="D6E3F0" w:val="clear"/>
          </w:tcPr>
          <w:p>
            <w:pPr>
              <w:jc w:val="center"/>
            </w:pPr>
            <w:r/>
            <w:r>
              <w:rPr>
                <w:rFonts w:ascii="Times New Roman" w:hAnsi="Times New Roman" w:eastAsia="Times New Roman"/>
                <w:b/>
                <w:i w:val="0"/>
                <w:color w:val="000000"/>
                <w:sz w:val="18"/>
              </w:rPr>
              <w:t>IPv6 network</w:t>
            </w:r>
          </w:p>
        </w:tc>
        <w:tc>
          <w:tcPr>
            <w:tcW w:type="dxa" w:w="1824"/>
            <w:shd w:fill="D6E3F0" w:val="clear"/>
          </w:tcPr>
          <w:p>
            <w:pPr>
              <w:jc w:val="center"/>
            </w:pPr>
            <w:r/>
            <w:r>
              <w:rPr>
                <w:rFonts w:ascii="Times New Roman" w:hAnsi="Times New Roman" w:eastAsia="Times New Roman"/>
                <w:b/>
                <w:i w:val="0"/>
                <w:color w:val="000000"/>
                <w:sz w:val="18"/>
              </w:rPr>
              <w:t>IPv6 gateway</w:t>
            </w:r>
          </w:p>
        </w:tc>
      </w:tr>
      <w:tr>
        <w:tc>
          <w:tcPr>
            <w:tcW w:type="dxa" w:w="1824"/>
          </w:tcPr>
          <w:p>
            <w:r/>
            <w:r>
              <w:rPr>
                <w:rFonts w:ascii="Times New Roman" w:hAnsi="Times New Roman" w:eastAsia="Times New Roman"/>
                <w:b w:val="0"/>
                <w:i w:val="0"/>
                <w:color w:val="000000"/>
                <w:sz w:val="18"/>
              </w:rPr>
              <w:t>IT</w:t>
            </w:r>
          </w:p>
        </w:tc>
        <w:tc>
          <w:tcPr>
            <w:tcW w:type="dxa" w:w="1824"/>
          </w:tcPr>
          <w:p>
            <w:r/>
            <w:r>
              <w:rPr>
                <w:rFonts w:ascii="Times New Roman" w:hAnsi="Times New Roman" w:eastAsia="Times New Roman"/>
                <w:b w:val="0"/>
                <w:i w:val="0"/>
                <w:color w:val="000000"/>
                <w:sz w:val="18"/>
              </w:rPr>
              <w:t>10</w:t>
            </w:r>
          </w:p>
        </w:tc>
        <w:tc>
          <w:tcPr>
            <w:tcW w:type="dxa" w:w="1824"/>
          </w:tcPr>
          <w:p>
            <w:r/>
            <w:r>
              <w:rPr>
                <w:rFonts w:ascii="Times New Roman" w:hAnsi="Times New Roman" w:eastAsia="Times New Roman"/>
                <w:b w:val="0"/>
                <w:i w:val="0"/>
                <w:color w:val="000000"/>
                <w:sz w:val="18"/>
              </w:rPr>
              <w:t>10.0.0.0/25</w:t>
            </w:r>
          </w:p>
        </w:tc>
        <w:tc>
          <w:tcPr>
            <w:tcW w:type="dxa" w:w="1824"/>
          </w:tcPr>
          <w:p>
            <w:r/>
            <w:r>
              <w:rPr>
                <w:rFonts w:ascii="Times New Roman" w:hAnsi="Times New Roman" w:eastAsia="Times New Roman"/>
                <w:b w:val="0"/>
                <w:i w:val="0"/>
                <w:color w:val="000000"/>
                <w:sz w:val="18"/>
              </w:rPr>
              <w:t>fd00:9e71:0:100::/64</w:t>
            </w:r>
          </w:p>
        </w:tc>
        <w:tc>
          <w:tcPr>
            <w:tcW w:type="dxa" w:w="1824"/>
          </w:tcPr>
          <w:p>
            <w:r/>
            <w:r>
              <w:rPr>
                <w:rFonts w:ascii="Times New Roman" w:hAnsi="Times New Roman" w:eastAsia="Times New Roman"/>
                <w:b w:val="0"/>
                <w:i w:val="0"/>
                <w:color w:val="000000"/>
                <w:sz w:val="18"/>
              </w:rPr>
              <w:t>fd00:9e71:0:100::1</w:t>
            </w:r>
          </w:p>
        </w:tc>
      </w:tr>
      <w:tr>
        <w:tc>
          <w:tcPr>
            <w:tcW w:type="dxa" w:w="1824"/>
          </w:tcPr>
          <w:p>
            <w:r/>
            <w:r>
              <w:rPr>
                <w:rFonts w:ascii="Times New Roman" w:hAnsi="Times New Roman" w:eastAsia="Times New Roman"/>
                <w:b w:val="0"/>
                <w:i w:val="0"/>
                <w:color w:val="000000"/>
                <w:sz w:val="18"/>
              </w:rPr>
              <w:t>HR</w:t>
            </w:r>
          </w:p>
        </w:tc>
        <w:tc>
          <w:tcPr>
            <w:tcW w:type="dxa" w:w="1824"/>
          </w:tcPr>
          <w:p>
            <w:r/>
            <w:r>
              <w:rPr>
                <w:rFonts w:ascii="Times New Roman" w:hAnsi="Times New Roman" w:eastAsia="Times New Roman"/>
                <w:b w:val="0"/>
                <w:i w:val="0"/>
                <w:color w:val="000000"/>
                <w:sz w:val="18"/>
              </w:rPr>
              <w:t>20</w:t>
            </w:r>
          </w:p>
        </w:tc>
        <w:tc>
          <w:tcPr>
            <w:tcW w:type="dxa" w:w="1824"/>
          </w:tcPr>
          <w:p>
            <w:r/>
            <w:r>
              <w:rPr>
                <w:rFonts w:ascii="Times New Roman" w:hAnsi="Times New Roman" w:eastAsia="Times New Roman"/>
                <w:b w:val="0"/>
                <w:i w:val="0"/>
                <w:color w:val="000000"/>
                <w:sz w:val="18"/>
              </w:rPr>
              <w:t>10.0.0.128/27</w:t>
            </w:r>
          </w:p>
        </w:tc>
        <w:tc>
          <w:tcPr>
            <w:tcW w:type="dxa" w:w="1824"/>
          </w:tcPr>
          <w:p>
            <w:r/>
            <w:r>
              <w:rPr>
                <w:rFonts w:ascii="Times New Roman" w:hAnsi="Times New Roman" w:eastAsia="Times New Roman"/>
                <w:b w:val="0"/>
                <w:i w:val="0"/>
                <w:color w:val="000000"/>
                <w:sz w:val="18"/>
              </w:rPr>
              <w:t>fd00:9e71:0:101::/64</w:t>
            </w:r>
          </w:p>
        </w:tc>
        <w:tc>
          <w:tcPr>
            <w:tcW w:type="dxa" w:w="1824"/>
          </w:tcPr>
          <w:p>
            <w:r/>
            <w:r>
              <w:rPr>
                <w:rFonts w:ascii="Times New Roman" w:hAnsi="Times New Roman" w:eastAsia="Times New Roman"/>
                <w:b w:val="0"/>
                <w:i w:val="0"/>
                <w:color w:val="000000"/>
                <w:sz w:val="18"/>
              </w:rPr>
              <w:t>fd00:9e71:0:101::1</w:t>
            </w:r>
          </w:p>
        </w:tc>
      </w:tr>
      <w:tr>
        <w:tc>
          <w:tcPr>
            <w:tcW w:type="dxa" w:w="1824"/>
          </w:tcPr>
          <w:p>
            <w:r/>
            <w:r>
              <w:rPr>
                <w:rFonts w:ascii="Times New Roman" w:hAnsi="Times New Roman" w:eastAsia="Times New Roman"/>
                <w:b w:val="0"/>
                <w:i w:val="0"/>
                <w:color w:val="000000"/>
                <w:sz w:val="18"/>
              </w:rPr>
              <w:t>WAN</w:t>
            </w:r>
          </w:p>
        </w:tc>
        <w:tc>
          <w:tcPr>
            <w:tcW w:type="dxa" w:w="1824"/>
          </w:tcPr>
          <w:p>
            <w:r/>
            <w:r>
              <w:rPr>
                <w:rFonts w:ascii="Times New Roman" w:hAnsi="Times New Roman" w:eastAsia="Times New Roman"/>
                <w:b w:val="0"/>
                <w:i w:val="0"/>
                <w:color w:val="000000"/>
                <w:sz w:val="18"/>
              </w:rPr>
              <w:t>—</w:t>
            </w:r>
          </w:p>
        </w:tc>
        <w:tc>
          <w:tcPr>
            <w:tcW w:type="dxa" w:w="1824"/>
          </w:tcPr>
          <w:p>
            <w:r/>
            <w:r>
              <w:rPr>
                <w:rFonts w:ascii="Times New Roman" w:hAnsi="Times New Roman" w:eastAsia="Times New Roman"/>
                <w:b w:val="0"/>
                <w:i w:val="0"/>
                <w:color w:val="000000"/>
                <w:sz w:val="18"/>
              </w:rPr>
              <w:t>10.0.0.x/30</w:t>
            </w:r>
          </w:p>
        </w:tc>
        <w:tc>
          <w:tcPr>
            <w:tcW w:type="dxa" w:w="1824"/>
          </w:tcPr>
          <w:p>
            <w:r/>
            <w:r>
              <w:rPr>
                <w:rFonts w:ascii="Times New Roman" w:hAnsi="Times New Roman" w:eastAsia="Times New Roman"/>
                <w:b w:val="0"/>
                <w:i w:val="0"/>
                <w:color w:val="000000"/>
                <w:sz w:val="18"/>
              </w:rPr>
              <w:t>fd00:9e71:0:200::/64</w:t>
            </w:r>
          </w:p>
        </w:tc>
        <w:tc>
          <w:tcPr>
            <w:tcW w:type="dxa" w:w="1824"/>
          </w:tcPr>
          <w:p>
            <w:r/>
            <w:r>
              <w:rPr>
                <w:rFonts w:ascii="Times New Roman" w:hAnsi="Times New Roman" w:eastAsia="Times New Roman"/>
                <w:b w:val="0"/>
                <w:i w:val="0"/>
                <w:color w:val="000000"/>
                <w:sz w:val="18"/>
              </w:rPr>
              <w:t>fd00:9e71:0:200::1</w:t>
            </w:r>
          </w:p>
        </w:tc>
      </w:tr>
    </w:tbl>
    <w:p/>
    <w:p>
      <w:pPr>
        <w:spacing w:after="240" w:before="80"/>
        <w:jc w:val="center"/>
      </w:pPr>
      <w:r>
        <w:rPr>
          <w:rFonts w:ascii="Times New Roman" w:hAnsi="Times New Roman" w:eastAsia="Times New Roman"/>
          <w:b w:val="0"/>
          <w:i/>
          <w:color w:val="000000"/>
          <w:sz w:val="20"/>
        </w:rPr>
        <w:t>Table 4.1 – Example dual-stack mapping produced by NETRIX</w:t>
      </w:r>
    </w:p>
    <w:p>
      <w:pPr>
        <w:spacing w:before="240" w:after="160"/>
      </w:pPr>
      <w:r>
        <w:rPr>
          <w:rFonts w:ascii="Times New Roman" w:hAnsi="Times New Roman" w:eastAsia="Times New Roman"/>
          <w:b/>
          <w:i w:val="0"/>
          <w:color w:val="000000"/>
          <w:sz w:val="26"/>
        </w:rPr>
        <w:t>4.2  Real-time Results</w:t>
      </w:r>
    </w:p>
    <w:p>
      <w:pPr>
        <w:spacing w:after="160" w:line="360" w:lineRule="auto"/>
        <w:ind w:firstLine="720"/>
        <w:jc w:val="both"/>
      </w:pPr>
      <w:r>
        <w:rPr>
          <w:rFonts w:ascii="Times New Roman" w:hAnsi="Times New Roman" w:eastAsia="Times New Roman"/>
          <w:b w:val="0"/>
          <w:i w:val="0"/>
          <w:color w:val="000000"/>
          <w:sz w:val="24"/>
        </w:rPr>
        <w:t>Users could create multiple projects, regenerate after edits and move between VLSM, VLAN, configuration, topology, validation, live push and downloads without re-entering the brief. Dry-run SSH push against loopback hosts returned structured authentication results. Development defects (navigation JavaScript errors, blank panels from CSS opacity, application-factory IndentationError) were corrected—illustrating the need for end-to-end smoke tests.</w:t>
      </w:r>
    </w:p>
    <w:p>
      <w:pPr>
        <w:spacing w:before="240" w:after="160"/>
      </w:pPr>
      <w:r>
        <w:rPr>
          <w:rFonts w:ascii="Times New Roman" w:hAnsi="Times New Roman" w:eastAsia="Times New Roman"/>
          <w:b/>
          <w:i w:val="0"/>
          <w:color w:val="000000"/>
          <w:sz w:val="26"/>
        </w:rPr>
        <w:t>4.3  Comparison with Literature and Tools</w:t>
      </w:r>
    </w:p>
    <w:p>
      <w:pPr>
        <w:spacing w:after="160" w:line="360" w:lineRule="auto"/>
        <w:ind w:firstLine="720"/>
        <w:jc w:val="both"/>
      </w:pPr>
      <w:r>
        <w:rPr>
          <w:rFonts w:ascii="Times New Roman" w:hAnsi="Times New Roman" w:eastAsia="Times New Roman"/>
          <w:b w:val="0"/>
          <w:i w:val="0"/>
          <w:color w:val="000000"/>
          <w:sz w:val="24"/>
        </w:rPr>
        <w:t>Figures 4.1–4.3 visualise the comparison introduced in Table 2.1, consistent with literature expectations that Packet Tracer leads simulation pedagogy, IPAM leads inventory, Ansible leads fleet push, and integrated planners lead design-pack productivity (Cisco Networking Academy, n.d.; Mehta, 2021; Oppenheimer, 2011).</w:t>
      </w:r>
    </w:p>
    <w:p>
      <w:pPr>
        <w:jc w:val="center"/>
      </w:pPr>
      <w:r>
        <w:drawing>
          <wp:inline xmlns:a="http://schemas.openxmlformats.org/drawingml/2006/main" xmlns:pic="http://schemas.openxmlformats.org/drawingml/2006/picture">
            <wp:extent cx="5394960" cy="2672732"/>
            <wp:docPr id="5" name="Picture 5"/>
            <wp:cNvGraphicFramePr>
              <a:graphicFrameLocks noChangeAspect="1"/>
            </wp:cNvGraphicFramePr>
            <a:graphic>
              <a:graphicData uri="http://schemas.openxmlformats.org/drawingml/2006/picture">
                <pic:pic>
                  <pic:nvPicPr>
                    <pic:cNvPr id="0" name="fig_comparison_bars.png"/>
                    <pic:cNvPicPr/>
                  </pic:nvPicPr>
                  <pic:blipFill>
                    <a:blip r:embed="rId13"/>
                    <a:stretch>
                      <a:fillRect/>
                    </a:stretch>
                  </pic:blipFill>
                  <pic:spPr>
                    <a:xfrm>
                      <a:off x="0" y="0"/>
                      <a:ext cx="5394960" cy="2672732"/>
                    </a:xfrm>
                    <a:prstGeom prst="rect"/>
                  </pic:spPr>
                </pic:pic>
              </a:graphicData>
            </a:graphic>
          </wp:inline>
        </w:drawing>
      </w:r>
    </w:p>
    <w:p>
      <w:pPr>
        <w:spacing w:after="240" w:before="80"/>
        <w:jc w:val="center"/>
      </w:pPr>
      <w:r>
        <w:rPr>
          <w:rFonts w:ascii="Times New Roman" w:hAnsi="Times New Roman" w:eastAsia="Times New Roman"/>
          <w:b w:val="0"/>
          <w:i/>
          <w:color w:val="000000"/>
          <w:sz w:val="20"/>
        </w:rPr>
        <w:t>Figure 4.1 – Feature strength comparison (indicative scores 0–5)</w:t>
      </w:r>
    </w:p>
    <w:p>
      <w:pPr>
        <w:jc w:val="center"/>
      </w:pPr>
      <w:r>
        <w:drawing>
          <wp:inline xmlns:a="http://schemas.openxmlformats.org/drawingml/2006/main" xmlns:pic="http://schemas.openxmlformats.org/drawingml/2006/picture">
            <wp:extent cx="4206240" cy="3408790"/>
            <wp:docPr id="6" name="Picture 6"/>
            <wp:cNvGraphicFramePr>
              <a:graphicFrameLocks noChangeAspect="1"/>
            </wp:cNvGraphicFramePr>
            <a:graphic>
              <a:graphicData uri="http://schemas.openxmlformats.org/drawingml/2006/picture">
                <pic:pic>
                  <pic:nvPicPr>
                    <pic:cNvPr id="0" name="fig_radar.png"/>
                    <pic:cNvPicPr/>
                  </pic:nvPicPr>
                  <pic:blipFill>
                    <a:blip r:embed="rId14"/>
                    <a:stretch>
                      <a:fillRect/>
                    </a:stretch>
                  </pic:blipFill>
                  <pic:spPr>
                    <a:xfrm>
                      <a:off x="0" y="0"/>
                      <a:ext cx="4206240" cy="3408790"/>
                    </a:xfrm>
                    <a:prstGeom prst="rect"/>
                  </pic:spPr>
                </pic:pic>
              </a:graphicData>
            </a:graphic>
          </wp:inline>
        </w:drawing>
      </w:r>
    </w:p>
    <w:p>
      <w:pPr>
        <w:spacing w:after="240" w:before="80"/>
        <w:jc w:val="center"/>
      </w:pPr>
      <w:r>
        <w:rPr>
          <w:rFonts w:ascii="Times New Roman" w:hAnsi="Times New Roman" w:eastAsia="Times New Roman"/>
          <w:b w:val="0"/>
          <w:i/>
          <w:color w:val="000000"/>
          <w:sz w:val="20"/>
        </w:rPr>
        <w:t>Figure 4.2 – Radar profile of NETRIX versus Packet Tracer, IPAM and Ansible</w:t>
      </w:r>
    </w:p>
    <w:p>
      <w:pPr>
        <w:jc w:val="center"/>
      </w:pPr>
      <w:r>
        <w:drawing>
          <wp:inline xmlns:a="http://schemas.openxmlformats.org/drawingml/2006/main" xmlns:pic="http://schemas.openxmlformats.org/drawingml/2006/picture">
            <wp:extent cx="4754880" cy="3686368"/>
            <wp:docPr id="7" name="Picture 7"/>
            <wp:cNvGraphicFramePr>
              <a:graphicFrameLocks noChangeAspect="1"/>
            </wp:cNvGraphicFramePr>
            <a:graphic>
              <a:graphicData uri="http://schemas.openxmlformats.org/drawingml/2006/picture">
                <pic:pic>
                  <pic:nvPicPr>
                    <pic:cNvPr id="0" name="fig_positioning.png"/>
                    <pic:cNvPicPr/>
                  </pic:nvPicPr>
                  <pic:blipFill>
                    <a:blip r:embed="rId15"/>
                    <a:stretch>
                      <a:fillRect/>
                    </a:stretch>
                  </pic:blipFill>
                  <pic:spPr>
                    <a:xfrm>
                      <a:off x="0" y="0"/>
                      <a:ext cx="4754880" cy="3686368"/>
                    </a:xfrm>
                    <a:prstGeom prst="rect"/>
                  </pic:spPr>
                </pic:pic>
              </a:graphicData>
            </a:graphic>
          </wp:inline>
        </w:drawing>
      </w:r>
    </w:p>
    <w:p>
      <w:pPr>
        <w:spacing w:after="240" w:before="80"/>
        <w:jc w:val="center"/>
      </w:pPr>
      <w:r>
        <w:rPr>
          <w:rFonts w:ascii="Times New Roman" w:hAnsi="Times New Roman" w:eastAsia="Times New Roman"/>
          <w:b w:val="0"/>
          <w:i/>
          <w:color w:val="000000"/>
          <w:sz w:val="20"/>
        </w:rPr>
        <w:t>Figure 4.3 – Positioning matrix: integration breadth versus educational documentation</w:t>
      </w:r>
    </w:p>
    <w:p>
      <w:pPr>
        <w:spacing w:after="160" w:line="360" w:lineRule="auto"/>
        <w:ind w:firstLine="720"/>
        <w:jc w:val="both"/>
      </w:pPr>
      <w:r>
        <w:rPr>
          <w:rFonts w:ascii="Times New Roman" w:hAnsi="Times New Roman" w:eastAsia="Times New Roman"/>
          <w:b w:val="0"/>
          <w:i w:val="0"/>
          <w:color w:val="000000"/>
          <w:sz w:val="24"/>
        </w:rPr>
        <w:t>Table 4.2 consolidates a binary checklist view of selected capabilities.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D6E3F0" w:val="clear"/>
          </w:tcPr>
          <w:p>
            <w:pPr>
              <w:jc w:val="center"/>
            </w:pPr>
            <w:r/>
            <w:r>
              <w:rPr>
                <w:rFonts w:ascii="Times New Roman" w:hAnsi="Times New Roman" w:eastAsia="Times New Roman"/>
                <w:b/>
                <w:i w:val="0"/>
                <w:color w:val="000000"/>
                <w:sz w:val="18"/>
              </w:rPr>
              <w:t>Capability</w:t>
            </w:r>
          </w:p>
        </w:tc>
        <w:tc>
          <w:tcPr>
            <w:tcW w:type="dxa" w:w="1824"/>
            <w:shd w:fill="D6E3F0" w:val="clear"/>
          </w:tcPr>
          <w:p>
            <w:pPr>
              <w:jc w:val="center"/>
            </w:pPr>
            <w:r/>
            <w:r>
              <w:rPr>
                <w:rFonts w:ascii="Times New Roman" w:hAnsi="Times New Roman" w:eastAsia="Times New Roman"/>
                <w:b/>
                <w:i w:val="0"/>
                <w:color w:val="000000"/>
                <w:sz w:val="18"/>
              </w:rPr>
              <w:t>NETRIX</w:t>
            </w:r>
          </w:p>
        </w:tc>
        <w:tc>
          <w:tcPr>
            <w:tcW w:type="dxa" w:w="1824"/>
            <w:shd w:fill="D6E3F0" w:val="clear"/>
          </w:tcPr>
          <w:p>
            <w:pPr>
              <w:jc w:val="center"/>
            </w:pPr>
            <w:r/>
            <w:r>
              <w:rPr>
                <w:rFonts w:ascii="Times New Roman" w:hAnsi="Times New Roman" w:eastAsia="Times New Roman"/>
                <w:b/>
                <w:i w:val="0"/>
                <w:color w:val="000000"/>
                <w:sz w:val="18"/>
              </w:rPr>
              <w:t>Packet Tracer</w:t>
            </w:r>
          </w:p>
        </w:tc>
        <w:tc>
          <w:tcPr>
            <w:tcW w:type="dxa" w:w="1824"/>
            <w:shd w:fill="D6E3F0" w:val="clear"/>
          </w:tcPr>
          <w:p>
            <w:pPr>
              <w:jc w:val="center"/>
            </w:pPr>
            <w:r/>
            <w:r>
              <w:rPr>
                <w:rFonts w:ascii="Times New Roman" w:hAnsi="Times New Roman" w:eastAsia="Times New Roman"/>
                <w:b/>
                <w:i w:val="0"/>
                <w:color w:val="000000"/>
                <w:sz w:val="18"/>
              </w:rPr>
              <w:t>IPAM</w:t>
            </w:r>
          </w:p>
        </w:tc>
        <w:tc>
          <w:tcPr>
            <w:tcW w:type="dxa" w:w="1824"/>
            <w:shd w:fill="D6E3F0" w:val="clear"/>
          </w:tcPr>
          <w:p>
            <w:pPr>
              <w:jc w:val="center"/>
            </w:pPr>
            <w:r/>
            <w:r>
              <w:rPr>
                <w:rFonts w:ascii="Times New Roman" w:hAnsi="Times New Roman" w:eastAsia="Times New Roman"/>
                <w:b/>
                <w:i w:val="0"/>
                <w:color w:val="000000"/>
                <w:sz w:val="18"/>
              </w:rPr>
              <w:t>Ansible</w:t>
            </w:r>
          </w:p>
        </w:tc>
      </w:tr>
      <w:tr>
        <w:tc>
          <w:tcPr>
            <w:tcW w:type="dxa" w:w="1824"/>
          </w:tcPr>
          <w:p>
            <w:r/>
            <w:r>
              <w:rPr>
                <w:rFonts w:ascii="Times New Roman" w:hAnsi="Times New Roman" w:eastAsia="Times New Roman"/>
                <w:b w:val="0"/>
                <w:i w:val="0"/>
                <w:color w:val="000000"/>
                <w:sz w:val="18"/>
              </w:rPr>
              <w:t>VLSM automation</w:t>
            </w:r>
          </w:p>
        </w:tc>
        <w:tc>
          <w:tcPr>
            <w:tcW w:type="dxa" w:w="1824"/>
          </w:tcPr>
          <w:p>
            <w:r/>
            <w:r>
              <w:rPr>
                <w:rFonts w:ascii="Times New Roman" w:hAnsi="Times New Roman" w:eastAsia="Times New Roman"/>
                <w:b w:val="0"/>
                <w:i w:val="0"/>
                <w:color w:val="000000"/>
                <w:sz w:val="18"/>
              </w:rPr>
              <w:t>Yes</w:t>
            </w:r>
          </w:p>
        </w:tc>
        <w:tc>
          <w:tcPr>
            <w:tcW w:type="dxa" w:w="1824"/>
          </w:tcPr>
          <w:p>
            <w:r/>
            <w:r>
              <w:rPr>
                <w:rFonts w:ascii="Times New Roman" w:hAnsi="Times New Roman" w:eastAsia="Times New Roman"/>
                <w:b w:val="0"/>
                <w:i w:val="0"/>
                <w:color w:val="000000"/>
                <w:sz w:val="18"/>
              </w:rPr>
              <w:t>No</w:t>
            </w:r>
          </w:p>
        </w:tc>
        <w:tc>
          <w:tcPr>
            <w:tcW w:type="dxa" w:w="1824"/>
          </w:tcPr>
          <w:p>
            <w:r/>
            <w:r>
              <w:rPr>
                <w:rFonts w:ascii="Times New Roman" w:hAnsi="Times New Roman" w:eastAsia="Times New Roman"/>
                <w:b w:val="0"/>
                <w:i w:val="0"/>
                <w:color w:val="000000"/>
                <w:sz w:val="18"/>
              </w:rPr>
              <w:t>Partial</w:t>
            </w:r>
          </w:p>
        </w:tc>
        <w:tc>
          <w:tcPr>
            <w:tcW w:type="dxa" w:w="1824"/>
          </w:tcPr>
          <w:p>
            <w:r/>
            <w:r>
              <w:rPr>
                <w:rFonts w:ascii="Times New Roman" w:hAnsi="Times New Roman" w:eastAsia="Times New Roman"/>
                <w:b w:val="0"/>
                <w:i w:val="0"/>
                <w:color w:val="000000"/>
                <w:sz w:val="18"/>
              </w:rPr>
              <w:t>Partial</w:t>
            </w:r>
          </w:p>
        </w:tc>
      </w:tr>
      <w:tr>
        <w:tc>
          <w:tcPr>
            <w:tcW w:type="dxa" w:w="1824"/>
          </w:tcPr>
          <w:p>
            <w:r/>
            <w:r>
              <w:rPr>
                <w:rFonts w:ascii="Times New Roman" w:hAnsi="Times New Roman" w:eastAsia="Times New Roman"/>
                <w:b w:val="0"/>
                <w:i w:val="0"/>
                <w:color w:val="000000"/>
                <w:sz w:val="18"/>
              </w:rPr>
              <w:t>Dual-stack documentation</w:t>
            </w:r>
          </w:p>
        </w:tc>
        <w:tc>
          <w:tcPr>
            <w:tcW w:type="dxa" w:w="1824"/>
          </w:tcPr>
          <w:p>
            <w:r/>
            <w:r>
              <w:rPr>
                <w:rFonts w:ascii="Times New Roman" w:hAnsi="Times New Roman" w:eastAsia="Times New Roman"/>
                <w:b w:val="0"/>
                <w:i w:val="0"/>
                <w:color w:val="000000"/>
                <w:sz w:val="18"/>
              </w:rPr>
              <w:t>Yes</w:t>
            </w:r>
          </w:p>
        </w:tc>
        <w:tc>
          <w:tcPr>
            <w:tcW w:type="dxa" w:w="1824"/>
          </w:tcPr>
          <w:p>
            <w:r/>
            <w:r>
              <w:rPr>
                <w:rFonts w:ascii="Times New Roman" w:hAnsi="Times New Roman" w:eastAsia="Times New Roman"/>
                <w:b w:val="0"/>
                <w:i w:val="0"/>
                <w:color w:val="000000"/>
                <w:sz w:val="18"/>
              </w:rPr>
              <w:t>No</w:t>
            </w:r>
          </w:p>
        </w:tc>
        <w:tc>
          <w:tcPr>
            <w:tcW w:type="dxa" w:w="1824"/>
          </w:tcPr>
          <w:p>
            <w:r/>
            <w:r>
              <w:rPr>
                <w:rFonts w:ascii="Times New Roman" w:hAnsi="Times New Roman" w:eastAsia="Times New Roman"/>
                <w:b w:val="0"/>
                <w:i w:val="0"/>
                <w:color w:val="000000"/>
                <w:sz w:val="18"/>
              </w:rPr>
              <w:t>Partial</w:t>
            </w:r>
          </w:p>
        </w:tc>
        <w:tc>
          <w:tcPr>
            <w:tcW w:type="dxa" w:w="1824"/>
          </w:tcPr>
          <w:p>
            <w:r/>
            <w:r>
              <w:rPr>
                <w:rFonts w:ascii="Times New Roman" w:hAnsi="Times New Roman" w:eastAsia="Times New Roman"/>
                <w:b w:val="0"/>
                <w:i w:val="0"/>
                <w:color w:val="000000"/>
                <w:sz w:val="18"/>
              </w:rPr>
              <w:t>No</w:t>
            </w:r>
          </w:p>
        </w:tc>
      </w:tr>
      <w:tr>
        <w:tc>
          <w:tcPr>
            <w:tcW w:type="dxa" w:w="1824"/>
          </w:tcPr>
          <w:p>
            <w:r/>
            <w:r>
              <w:rPr>
                <w:rFonts w:ascii="Times New Roman" w:hAnsi="Times New Roman" w:eastAsia="Times New Roman"/>
                <w:b w:val="0"/>
                <w:i w:val="0"/>
                <w:color w:val="000000"/>
                <w:sz w:val="18"/>
              </w:rPr>
              <w:t>Multi-device IOS generation</w:t>
            </w:r>
          </w:p>
        </w:tc>
        <w:tc>
          <w:tcPr>
            <w:tcW w:type="dxa" w:w="1824"/>
          </w:tcPr>
          <w:p>
            <w:r/>
            <w:r>
              <w:rPr>
                <w:rFonts w:ascii="Times New Roman" w:hAnsi="Times New Roman" w:eastAsia="Times New Roman"/>
                <w:b w:val="0"/>
                <w:i w:val="0"/>
                <w:color w:val="000000"/>
                <w:sz w:val="18"/>
              </w:rPr>
              <w:t>Yes</w:t>
            </w:r>
          </w:p>
        </w:tc>
        <w:tc>
          <w:tcPr>
            <w:tcW w:type="dxa" w:w="1824"/>
          </w:tcPr>
          <w:p>
            <w:r/>
            <w:r>
              <w:rPr>
                <w:rFonts w:ascii="Times New Roman" w:hAnsi="Times New Roman" w:eastAsia="Times New Roman"/>
                <w:b w:val="0"/>
                <w:i w:val="0"/>
                <w:color w:val="000000"/>
                <w:sz w:val="18"/>
              </w:rPr>
              <w:t>Manual</w:t>
            </w:r>
          </w:p>
        </w:tc>
        <w:tc>
          <w:tcPr>
            <w:tcW w:type="dxa" w:w="1824"/>
          </w:tcPr>
          <w:p>
            <w:r/>
            <w:r>
              <w:rPr>
                <w:rFonts w:ascii="Times New Roman" w:hAnsi="Times New Roman" w:eastAsia="Times New Roman"/>
                <w:b w:val="0"/>
                <w:i w:val="0"/>
                <w:color w:val="000000"/>
                <w:sz w:val="18"/>
              </w:rPr>
              <w:t>No</w:t>
            </w:r>
          </w:p>
        </w:tc>
        <w:tc>
          <w:tcPr>
            <w:tcW w:type="dxa" w:w="1824"/>
          </w:tcPr>
          <w:p>
            <w:r/>
            <w:r>
              <w:rPr>
                <w:rFonts w:ascii="Times New Roman" w:hAnsi="Times New Roman" w:eastAsia="Times New Roman"/>
                <w:b w:val="0"/>
                <w:i w:val="0"/>
                <w:color w:val="000000"/>
                <w:sz w:val="18"/>
              </w:rPr>
              <w:t>Yes</w:t>
            </w:r>
          </w:p>
        </w:tc>
      </w:tr>
      <w:tr>
        <w:tc>
          <w:tcPr>
            <w:tcW w:type="dxa" w:w="1824"/>
          </w:tcPr>
          <w:p>
            <w:r/>
            <w:r>
              <w:rPr>
                <w:rFonts w:ascii="Times New Roman" w:hAnsi="Times New Roman" w:eastAsia="Times New Roman"/>
                <w:b w:val="0"/>
                <w:i w:val="0"/>
                <w:color w:val="000000"/>
                <w:sz w:val="18"/>
              </w:rPr>
              <w:t>Topology simulation</w:t>
            </w:r>
          </w:p>
        </w:tc>
        <w:tc>
          <w:tcPr>
            <w:tcW w:type="dxa" w:w="1824"/>
          </w:tcPr>
          <w:p>
            <w:r/>
            <w:r>
              <w:rPr>
                <w:rFonts w:ascii="Times New Roman" w:hAnsi="Times New Roman" w:eastAsia="Times New Roman"/>
                <w:b w:val="0"/>
                <w:i w:val="0"/>
                <w:color w:val="000000"/>
                <w:sz w:val="18"/>
              </w:rPr>
              <w:t>Diagram only</w:t>
            </w:r>
          </w:p>
        </w:tc>
        <w:tc>
          <w:tcPr>
            <w:tcW w:type="dxa" w:w="1824"/>
          </w:tcPr>
          <w:p>
            <w:r/>
            <w:r>
              <w:rPr>
                <w:rFonts w:ascii="Times New Roman" w:hAnsi="Times New Roman" w:eastAsia="Times New Roman"/>
                <w:b w:val="0"/>
                <w:i w:val="0"/>
                <w:color w:val="000000"/>
                <w:sz w:val="18"/>
              </w:rPr>
              <w:t>Yes</w:t>
            </w:r>
          </w:p>
        </w:tc>
        <w:tc>
          <w:tcPr>
            <w:tcW w:type="dxa" w:w="1824"/>
          </w:tcPr>
          <w:p>
            <w:r/>
            <w:r>
              <w:rPr>
                <w:rFonts w:ascii="Times New Roman" w:hAnsi="Times New Roman" w:eastAsia="Times New Roman"/>
                <w:b w:val="0"/>
                <w:i w:val="0"/>
                <w:color w:val="000000"/>
                <w:sz w:val="18"/>
              </w:rPr>
              <w:t>No</w:t>
            </w:r>
          </w:p>
        </w:tc>
        <w:tc>
          <w:tcPr>
            <w:tcW w:type="dxa" w:w="1824"/>
          </w:tcPr>
          <w:p>
            <w:r/>
            <w:r>
              <w:rPr>
                <w:rFonts w:ascii="Times New Roman" w:hAnsi="Times New Roman" w:eastAsia="Times New Roman"/>
                <w:b w:val="0"/>
                <w:i w:val="0"/>
                <w:color w:val="000000"/>
                <w:sz w:val="18"/>
              </w:rPr>
              <w:t>No</w:t>
            </w:r>
          </w:p>
        </w:tc>
      </w:tr>
      <w:tr>
        <w:tc>
          <w:tcPr>
            <w:tcW w:type="dxa" w:w="1824"/>
          </w:tcPr>
          <w:p>
            <w:r/>
            <w:r>
              <w:rPr>
                <w:rFonts w:ascii="Times New Roman" w:hAnsi="Times New Roman" w:eastAsia="Times New Roman"/>
                <w:b w:val="0"/>
                <w:i w:val="0"/>
                <w:color w:val="000000"/>
                <w:sz w:val="18"/>
              </w:rPr>
              <w:t>Professional multi-format report</w:t>
            </w:r>
          </w:p>
        </w:tc>
        <w:tc>
          <w:tcPr>
            <w:tcW w:type="dxa" w:w="1824"/>
          </w:tcPr>
          <w:p>
            <w:r/>
            <w:r>
              <w:rPr>
                <w:rFonts w:ascii="Times New Roman" w:hAnsi="Times New Roman" w:eastAsia="Times New Roman"/>
                <w:b w:val="0"/>
                <w:i w:val="0"/>
                <w:color w:val="000000"/>
                <w:sz w:val="18"/>
              </w:rPr>
              <w:t>Yes</w:t>
            </w:r>
          </w:p>
        </w:tc>
        <w:tc>
          <w:tcPr>
            <w:tcW w:type="dxa" w:w="1824"/>
          </w:tcPr>
          <w:p>
            <w:r/>
            <w:r>
              <w:rPr>
                <w:rFonts w:ascii="Times New Roman" w:hAnsi="Times New Roman" w:eastAsia="Times New Roman"/>
                <w:b w:val="0"/>
                <w:i w:val="0"/>
                <w:color w:val="000000"/>
                <w:sz w:val="18"/>
              </w:rPr>
              <w:t>No</w:t>
            </w:r>
          </w:p>
        </w:tc>
        <w:tc>
          <w:tcPr>
            <w:tcW w:type="dxa" w:w="1824"/>
          </w:tcPr>
          <w:p>
            <w:r/>
            <w:r>
              <w:rPr>
                <w:rFonts w:ascii="Times New Roman" w:hAnsi="Times New Roman" w:eastAsia="Times New Roman"/>
                <w:b w:val="0"/>
                <w:i w:val="0"/>
                <w:color w:val="000000"/>
                <w:sz w:val="18"/>
              </w:rPr>
              <w:t>Partial</w:t>
            </w:r>
          </w:p>
        </w:tc>
        <w:tc>
          <w:tcPr>
            <w:tcW w:type="dxa" w:w="1824"/>
          </w:tcPr>
          <w:p>
            <w:r/>
            <w:r>
              <w:rPr>
                <w:rFonts w:ascii="Times New Roman" w:hAnsi="Times New Roman" w:eastAsia="Times New Roman"/>
                <w:b w:val="0"/>
                <w:i w:val="0"/>
                <w:color w:val="000000"/>
                <w:sz w:val="18"/>
              </w:rPr>
              <w:t>No</w:t>
            </w:r>
          </w:p>
        </w:tc>
      </w:tr>
      <w:tr>
        <w:tc>
          <w:tcPr>
            <w:tcW w:type="dxa" w:w="1824"/>
          </w:tcPr>
          <w:p>
            <w:r/>
            <w:r>
              <w:rPr>
                <w:rFonts w:ascii="Times New Roman" w:hAnsi="Times New Roman" w:eastAsia="Times New Roman"/>
                <w:b w:val="0"/>
                <w:i w:val="0"/>
                <w:color w:val="000000"/>
                <w:sz w:val="18"/>
              </w:rPr>
              <w:t>Lab SSH push / dry-run</w:t>
            </w:r>
          </w:p>
        </w:tc>
        <w:tc>
          <w:tcPr>
            <w:tcW w:type="dxa" w:w="1824"/>
          </w:tcPr>
          <w:p>
            <w:r/>
            <w:r>
              <w:rPr>
                <w:rFonts w:ascii="Times New Roman" w:hAnsi="Times New Roman" w:eastAsia="Times New Roman"/>
                <w:b w:val="0"/>
                <w:i w:val="0"/>
                <w:color w:val="000000"/>
                <w:sz w:val="18"/>
              </w:rPr>
              <w:t>Yes</w:t>
            </w:r>
          </w:p>
        </w:tc>
        <w:tc>
          <w:tcPr>
            <w:tcW w:type="dxa" w:w="1824"/>
          </w:tcPr>
          <w:p>
            <w:r/>
            <w:r>
              <w:rPr>
                <w:rFonts w:ascii="Times New Roman" w:hAnsi="Times New Roman" w:eastAsia="Times New Roman"/>
                <w:b w:val="0"/>
                <w:i w:val="0"/>
                <w:color w:val="000000"/>
                <w:sz w:val="18"/>
              </w:rPr>
              <w:t>No</w:t>
            </w:r>
          </w:p>
        </w:tc>
        <w:tc>
          <w:tcPr>
            <w:tcW w:type="dxa" w:w="1824"/>
          </w:tcPr>
          <w:p>
            <w:r/>
            <w:r>
              <w:rPr>
                <w:rFonts w:ascii="Times New Roman" w:hAnsi="Times New Roman" w:eastAsia="Times New Roman"/>
                <w:b w:val="0"/>
                <w:i w:val="0"/>
                <w:color w:val="000000"/>
                <w:sz w:val="18"/>
              </w:rPr>
              <w:t>Varies</w:t>
            </w:r>
          </w:p>
        </w:tc>
        <w:tc>
          <w:tcPr>
            <w:tcW w:type="dxa" w:w="1824"/>
          </w:tcPr>
          <w:p>
            <w:r/>
            <w:r>
              <w:rPr>
                <w:rFonts w:ascii="Times New Roman" w:hAnsi="Times New Roman" w:eastAsia="Times New Roman"/>
                <w:b w:val="0"/>
                <w:i w:val="0"/>
                <w:color w:val="000000"/>
                <w:sz w:val="18"/>
              </w:rPr>
              <w:t>Yes (prod focus)</w:t>
            </w:r>
          </w:p>
        </w:tc>
      </w:tr>
    </w:tbl>
    <w:p/>
    <w:p>
      <w:pPr>
        <w:spacing w:after="240" w:before="80"/>
        <w:jc w:val="center"/>
      </w:pPr>
      <w:r>
        <w:rPr>
          <w:rFonts w:ascii="Times New Roman" w:hAnsi="Times New Roman" w:eastAsia="Times New Roman"/>
          <w:b w:val="0"/>
          <w:i/>
          <w:color w:val="000000"/>
          <w:sz w:val="20"/>
        </w:rPr>
        <w:t>Table 4.2 – Capability checklist comparison</w:t>
      </w:r>
    </w:p>
    <w:p>
      <w:r>
        <w:br w:type="page"/>
      </w:r>
    </w:p>
    <w:p>
      <w:pPr>
        <w:spacing w:before="320" w:after="160"/>
      </w:pPr>
      <w:r>
        <w:rPr>
          <w:rFonts w:ascii="Times New Roman" w:hAnsi="Times New Roman" w:eastAsia="Times New Roman"/>
          <w:b/>
          <w:i w:val="0"/>
          <w:color w:val="000000"/>
          <w:sz w:val="32"/>
        </w:rPr>
        <w:t>5  Project Evaluation and Reflection</w:t>
      </w:r>
    </w:p>
    <w:p>
      <w:pPr>
        <w:spacing w:before="240" w:after="160"/>
      </w:pPr>
      <w:r>
        <w:rPr>
          <w:rFonts w:ascii="Times New Roman" w:hAnsi="Times New Roman" w:eastAsia="Times New Roman"/>
          <w:b/>
          <w:i w:val="0"/>
          <w:color w:val="000000"/>
          <w:sz w:val="26"/>
        </w:rPr>
        <w:t>5.1  Overview of Project</w:t>
      </w:r>
    </w:p>
    <w:p>
      <w:pPr>
        <w:spacing w:after="160" w:line="360" w:lineRule="auto"/>
        <w:ind w:firstLine="720"/>
        <w:jc w:val="both"/>
      </w:pPr>
      <w:r>
        <w:rPr>
          <w:rFonts w:ascii="Times New Roman" w:hAnsi="Times New Roman" w:eastAsia="Times New Roman"/>
          <w:b w:val="0"/>
          <w:i w:val="0"/>
          <w:color w:val="000000"/>
          <w:sz w:val="24"/>
        </w:rPr>
        <w:t>The project delivered a working web application and dissertation evidence covering design through evaluation. Scope balanced dual-stack, RBAC, reporting and SSH against academic time constraints.</w:t>
      </w:r>
    </w:p>
    <w:p>
      <w:pPr>
        <w:spacing w:before="240" w:after="160"/>
      </w:pPr>
      <w:r>
        <w:rPr>
          <w:rFonts w:ascii="Times New Roman" w:hAnsi="Times New Roman" w:eastAsia="Times New Roman"/>
          <w:b/>
          <w:i w:val="0"/>
          <w:color w:val="000000"/>
          <w:sz w:val="26"/>
        </w:rPr>
        <w:t>5.2  Objectives Review</w:t>
      </w:r>
    </w:p>
    <w:p>
      <w:pPr>
        <w:spacing w:after="160" w:line="360" w:lineRule="auto"/>
        <w:ind w:firstLine="720"/>
        <w:jc w:val="both"/>
      </w:pPr>
      <w:r>
        <w:rPr>
          <w:rFonts w:ascii="Times New Roman" w:hAnsi="Times New Roman" w:eastAsia="Times New Roman"/>
          <w:b w:val="0"/>
          <w:i w:val="0"/>
          <w:color w:val="000000"/>
          <w:sz w:val="24"/>
        </w:rPr>
        <w:t>All seven objectives in Section 1.3 were addressed. Residual limitations include limited large-scale user trials and simplified IPv6 routing (OSPFv3 detail).</w:t>
      </w:r>
    </w:p>
    <w:p>
      <w:pPr>
        <w:spacing w:before="240" w:after="160"/>
      </w:pPr>
      <w:r>
        <w:rPr>
          <w:rFonts w:ascii="Times New Roman" w:hAnsi="Times New Roman" w:eastAsia="Times New Roman"/>
          <w:b/>
          <w:i w:val="0"/>
          <w:color w:val="000000"/>
          <w:sz w:val="26"/>
        </w:rPr>
        <w:t>5.3  Evaluation of Methodology and Results</w:t>
      </w:r>
    </w:p>
    <w:p>
      <w:pPr>
        <w:spacing w:after="160" w:line="360" w:lineRule="auto"/>
        <w:ind w:firstLine="720"/>
        <w:jc w:val="both"/>
      </w:pPr>
      <w:r>
        <w:rPr>
          <w:rFonts w:ascii="Times New Roman" w:hAnsi="Times New Roman" w:eastAsia="Times New Roman"/>
          <w:b w:val="0"/>
          <w:i w:val="0"/>
          <w:color w:val="000000"/>
          <w:sz w:val="24"/>
        </w:rPr>
        <w:t>The two-approach structure clarified fragmentation costs. Constructive implementation provided examinable artefacts. Qualitative comparison is appropriate at this scale but future work should add timed user studies.</w:t>
      </w:r>
    </w:p>
    <w:p>
      <w:pPr>
        <w:spacing w:before="240" w:after="160"/>
      </w:pPr>
      <w:r>
        <w:rPr>
          <w:rFonts w:ascii="Times New Roman" w:hAnsi="Times New Roman" w:eastAsia="Times New Roman"/>
          <w:b/>
          <w:i w:val="0"/>
          <w:color w:val="000000"/>
          <w:sz w:val="26"/>
        </w:rPr>
        <w:t>5.4  Personal Reflection</w:t>
      </w:r>
    </w:p>
    <w:p>
      <w:pPr>
        <w:spacing w:after="160" w:line="360" w:lineRule="auto"/>
        <w:ind w:firstLine="720"/>
        <w:jc w:val="both"/>
      </w:pPr>
      <w:r>
        <w:rPr>
          <w:rFonts w:ascii="Times New Roman" w:hAnsi="Times New Roman" w:eastAsia="Times New Roman"/>
          <w:b w:val="0"/>
          <w:i w:val="0"/>
          <w:color w:val="000000"/>
          <w:sz w:val="24"/>
        </w:rPr>
        <w:t>Full-stack defects demonstrated that backend capability is invisible if the interface fails. Honest comparison with Packet Tracer, IPAM and Ansible was treated as a professional obligation (BCS, 2023).</w:t>
      </w:r>
    </w:p>
    <w:p>
      <w:pPr>
        <w:spacing w:before="240" w:after="160"/>
      </w:pPr>
      <w:r>
        <w:rPr>
          <w:rFonts w:ascii="Times New Roman" w:hAnsi="Times New Roman" w:eastAsia="Times New Roman"/>
          <w:b/>
          <w:i w:val="0"/>
          <w:color w:val="000000"/>
          <w:sz w:val="26"/>
        </w:rPr>
        <w:t>5.5  Ethical, Legal, Social, Security and Professional Considerations</w:t>
      </w:r>
    </w:p>
    <w:p>
      <w:pPr>
        <w:spacing w:after="160" w:line="360" w:lineRule="auto"/>
        <w:ind w:firstLine="720"/>
        <w:jc w:val="both"/>
      </w:pPr>
      <w:r>
        <w:rPr>
          <w:rFonts w:ascii="Times New Roman" w:hAnsi="Times New Roman" w:eastAsia="Times New Roman"/>
          <w:b w:val="0"/>
          <w:i w:val="0"/>
          <w:color w:val="000000"/>
          <w:sz w:val="24"/>
        </w:rPr>
        <w:t>Security defaults (hashed passwords, RBAC, dry-run push, destructive-command filtering) suit a planning workstation but require HTTPS, secret management and audited apply workflows before production (OWASP, 2021). Socially, automation should scaffold learning, not replace it.</w:t>
      </w:r>
    </w:p>
    <w:p>
      <w:r>
        <w:br w:type="page"/>
      </w:r>
    </w:p>
    <w:p>
      <w:pPr>
        <w:spacing w:before="320" w:after="160"/>
      </w:pPr>
      <w:r>
        <w:rPr>
          <w:rFonts w:ascii="Times New Roman" w:hAnsi="Times New Roman" w:eastAsia="Times New Roman"/>
          <w:b/>
          <w:i w:val="0"/>
          <w:color w:val="000000"/>
          <w:sz w:val="32"/>
        </w:rPr>
        <w:t>6  Conclusion and Recommendations</w:t>
      </w:r>
    </w:p>
    <w:p>
      <w:pPr>
        <w:spacing w:before="240" w:after="160"/>
      </w:pPr>
      <w:r>
        <w:rPr>
          <w:rFonts w:ascii="Times New Roman" w:hAnsi="Times New Roman" w:eastAsia="Times New Roman"/>
          <w:b/>
          <w:i w:val="0"/>
          <w:color w:val="000000"/>
          <w:sz w:val="26"/>
        </w:rPr>
        <w:t>6.1  Conclusion</w:t>
      </w:r>
    </w:p>
    <w:p>
      <w:pPr>
        <w:spacing w:after="160" w:line="360" w:lineRule="auto"/>
        <w:ind w:firstLine="720"/>
        <w:jc w:val="both"/>
      </w:pPr>
      <w:r>
        <w:rPr>
          <w:rFonts w:ascii="Times New Roman" w:hAnsi="Times New Roman" w:eastAsia="Times New Roman"/>
          <w:b w:val="0"/>
          <w:i w:val="0"/>
          <w:color w:val="000000"/>
          <w:sz w:val="24"/>
        </w:rPr>
        <w:t>NETRIX meets the aim of an integrated web-based enterprise network planning framework: structured capture, VLSM and dual-stack ULA planning, multi-device configuration generation, diagramming, professional reporting, Packet Tracer guidance and optional SSH push. Evaluation shows advantages over fragmented calculators and spreadsheets for coherent design packs, while confirming Packet Tracer, IPAM and Ansible remain preferable for simulation depth, inventory authority and fleet automation respectively (Cisco Networking Academy, n.d.; Mehta, 2021).</w:t>
      </w:r>
    </w:p>
    <w:p>
      <w:pPr>
        <w:spacing w:before="240" w:after="160"/>
      </w:pPr>
      <w:r>
        <w:rPr>
          <w:rFonts w:ascii="Times New Roman" w:hAnsi="Times New Roman" w:eastAsia="Times New Roman"/>
          <w:b/>
          <w:i w:val="0"/>
          <w:color w:val="000000"/>
          <w:sz w:val="26"/>
        </w:rPr>
        <w:t>6.2  Recommendations</w:t>
      </w:r>
    </w:p>
    <w:p>
      <w:pPr>
        <w:spacing w:before="240" w:after="160"/>
      </w:pPr>
      <w:r>
        <w:rPr>
          <w:rFonts w:ascii="Times New Roman" w:hAnsi="Times New Roman" w:eastAsia="Times New Roman"/>
          <w:b/>
          <w:i w:val="0"/>
          <w:color w:val="000000"/>
          <w:sz w:val="24"/>
        </w:rPr>
        <w:t>6.2.1  Inclusivity and Accessibility</w:t>
      </w:r>
    </w:p>
    <w:p>
      <w:pPr>
        <w:spacing w:after="160" w:line="360" w:lineRule="auto"/>
        <w:ind w:firstLine="720"/>
        <w:jc w:val="both"/>
      </w:pPr>
      <w:r>
        <w:rPr>
          <w:rFonts w:ascii="Times New Roman" w:hAnsi="Times New Roman" w:eastAsia="Times New Roman"/>
          <w:b w:val="0"/>
          <w:i w:val="0"/>
          <w:color w:val="000000"/>
          <w:sz w:val="24"/>
        </w:rPr>
        <w:t>Add ARIA labels, full keyboard wizard paths and high-contrast themes (Nielsen, 1994).</w:t>
      </w:r>
    </w:p>
    <w:p>
      <w:pPr>
        <w:spacing w:before="240" w:after="160"/>
      </w:pPr>
      <w:r>
        <w:rPr>
          <w:rFonts w:ascii="Times New Roman" w:hAnsi="Times New Roman" w:eastAsia="Times New Roman"/>
          <w:b/>
          <w:i w:val="0"/>
          <w:color w:val="000000"/>
          <w:sz w:val="24"/>
        </w:rPr>
        <w:t>6.2.2  Practical Applications</w:t>
      </w:r>
    </w:p>
    <w:p>
      <w:pPr>
        <w:spacing w:after="160" w:line="360" w:lineRule="auto"/>
        <w:ind w:firstLine="720"/>
        <w:jc w:val="both"/>
      </w:pPr>
      <w:r>
        <w:rPr>
          <w:rFonts w:ascii="Times New Roman" w:hAnsi="Times New Roman" w:eastAsia="Times New Roman"/>
          <w:b w:val="0"/>
          <w:i w:val="0"/>
          <w:color w:val="000000"/>
          <w:sz w:val="24"/>
        </w:rPr>
        <w:t>Use in networking modules, capstones and consultancy discovery workshops; pair PDF/PT exports with assessed labs.</w:t>
      </w:r>
    </w:p>
    <w:p>
      <w:pPr>
        <w:spacing w:before="240" w:after="160"/>
      </w:pPr>
      <w:r>
        <w:rPr>
          <w:rFonts w:ascii="Times New Roman" w:hAnsi="Times New Roman" w:eastAsia="Times New Roman"/>
          <w:b/>
          <w:i w:val="0"/>
          <w:color w:val="000000"/>
          <w:sz w:val="24"/>
        </w:rPr>
        <w:t>6.2.3  Further Research</w:t>
      </w:r>
    </w:p>
    <w:p>
      <w:pPr>
        <w:spacing w:after="160" w:line="360" w:lineRule="auto"/>
        <w:ind w:firstLine="720"/>
        <w:jc w:val="both"/>
      </w:pPr>
      <w:r>
        <w:rPr>
          <w:rFonts w:ascii="Times New Roman" w:hAnsi="Times New Roman" w:eastAsia="Times New Roman"/>
          <w:b w:val="0"/>
          <w:i w:val="0"/>
          <w:color w:val="000000"/>
          <w:sz w:val="24"/>
        </w:rPr>
        <w:t>Controlled usability studies, richer OSPFv3, IPAM import/export, collaborative audit trails and formal allocation verification.</w:t>
      </w:r>
    </w:p>
    <w:p>
      <w:pPr>
        <w:spacing w:before="240" w:after="160"/>
      </w:pPr>
      <w:r>
        <w:rPr>
          <w:rFonts w:ascii="Times New Roman" w:hAnsi="Times New Roman" w:eastAsia="Times New Roman"/>
          <w:b/>
          <w:i w:val="0"/>
          <w:color w:val="000000"/>
          <w:sz w:val="24"/>
        </w:rPr>
        <w:t>6.2.4  Alternative Approaches</w:t>
      </w:r>
    </w:p>
    <w:p>
      <w:pPr>
        <w:spacing w:after="160" w:line="360" w:lineRule="auto"/>
        <w:ind w:firstLine="720"/>
        <w:jc w:val="both"/>
      </w:pPr>
      <w:r>
        <w:rPr>
          <w:rFonts w:ascii="Times New Roman" w:hAnsi="Times New Roman" w:eastAsia="Times New Roman"/>
          <w:b w:val="0"/>
          <w:i w:val="0"/>
          <w:color w:val="000000"/>
          <w:sz w:val="24"/>
        </w:rPr>
        <w:t>SPA front ends, containerised report workers and hybrid NETRIX-design plus Ansible-deploy pipelines are promising operational patterns.</w:t>
      </w:r>
    </w:p>
    <w:p>
      <w:r>
        <w:br w:type="page"/>
      </w:r>
    </w:p>
    <w:p>
      <w:pPr>
        <w:spacing w:before="320" w:after="160"/>
      </w:pPr>
      <w:r>
        <w:rPr>
          <w:rFonts w:ascii="Times New Roman" w:hAnsi="Times New Roman" w:eastAsia="Times New Roman"/>
          <w:b/>
          <w:i w:val="0"/>
          <w:color w:val="000000"/>
          <w:sz w:val="32"/>
        </w:rPr>
        <w:t>7  Reference List</w:t>
      </w:r>
    </w:p>
    <w:p>
      <w:pPr>
        <w:spacing w:after="160" w:line="360" w:lineRule="auto"/>
        <w:jc w:val="both"/>
      </w:pPr>
      <w:r>
        <w:rPr>
          <w:rFonts w:ascii="Times New Roman" w:hAnsi="Times New Roman" w:eastAsia="Times New Roman"/>
          <w:b w:val="0"/>
          <w:i/>
          <w:color w:val="000000"/>
          <w:sz w:val="24"/>
        </w:rPr>
        <w:t>References are listed in Harvard author–date style (Pears and Shields, 2019).</w:t>
      </w:r>
    </w:p>
    <w:p>
      <w:pPr>
        <w:spacing w:after="120" w:line="360" w:lineRule="auto"/>
        <w:jc w:val="both"/>
      </w:pPr>
      <w:r>
        <w:rPr>
          <w:rFonts w:ascii="Times New Roman" w:hAnsi="Times New Roman" w:eastAsia="Times New Roman"/>
          <w:b w:val="0"/>
          <w:i w:val="0"/>
          <w:color w:val="000000"/>
          <w:sz w:val="22"/>
        </w:rPr>
        <w:t>Benson, T., Akella, A. and Maltz, D. (2009) ‘Unraveling the complexity of network management’, in Proceedings of NSDI. Berkeley: USENIX Association.</w:t>
      </w:r>
    </w:p>
    <w:p>
      <w:pPr>
        <w:spacing w:after="120" w:line="360" w:lineRule="auto"/>
        <w:jc w:val="both"/>
      </w:pPr>
      <w:r>
        <w:rPr>
          <w:rFonts w:ascii="Times New Roman" w:hAnsi="Times New Roman" w:eastAsia="Times New Roman"/>
          <w:b w:val="0"/>
          <w:i w:val="0"/>
          <w:color w:val="000000"/>
          <w:sz w:val="22"/>
        </w:rPr>
        <w:t>British Computer Society (BCS) (2023) Code of Conduct. Available at: https://www.bcs.org (Accessed: 10 August 2026).</w:t>
      </w:r>
    </w:p>
    <w:p>
      <w:pPr>
        <w:spacing w:after="120" w:line="360" w:lineRule="auto"/>
        <w:jc w:val="both"/>
      </w:pPr>
      <w:r>
        <w:rPr>
          <w:rFonts w:ascii="Times New Roman" w:hAnsi="Times New Roman" w:eastAsia="Times New Roman"/>
          <w:b w:val="0"/>
          <w:i w:val="0"/>
          <w:color w:val="000000"/>
          <w:sz w:val="22"/>
        </w:rPr>
        <w:t>Cisco (2020) Enterprise Campus Design Guides. San Jose, CA: Cisco Systems.</w:t>
      </w:r>
    </w:p>
    <w:p>
      <w:pPr>
        <w:spacing w:after="120" w:line="360" w:lineRule="auto"/>
        <w:jc w:val="both"/>
      </w:pPr>
      <w:r>
        <w:rPr>
          <w:rFonts w:ascii="Times New Roman" w:hAnsi="Times New Roman" w:eastAsia="Times New Roman"/>
          <w:b w:val="0"/>
          <w:i w:val="0"/>
          <w:color w:val="000000"/>
          <w:sz w:val="22"/>
        </w:rPr>
        <w:t>Cisco Networking Academy (n.d.) Cisco Packet Tracer. Available at: https://www.netacad.com (Accessed: 10 August 2026).</w:t>
      </w:r>
    </w:p>
    <w:p>
      <w:pPr>
        <w:spacing w:after="120" w:line="360" w:lineRule="auto"/>
        <w:jc w:val="both"/>
      </w:pPr>
      <w:r>
        <w:rPr>
          <w:rFonts w:ascii="Times New Roman" w:hAnsi="Times New Roman" w:eastAsia="Times New Roman"/>
          <w:b w:val="0"/>
          <w:i w:val="0"/>
          <w:color w:val="000000"/>
          <w:sz w:val="22"/>
        </w:rPr>
        <w:t>Grinberg, M. (2018) Flask Web Development. 2nd edn. Sebastopol, CA: O’Reilly Media.</w:t>
      </w:r>
    </w:p>
    <w:p>
      <w:pPr>
        <w:spacing w:after="120" w:line="360" w:lineRule="auto"/>
        <w:jc w:val="both"/>
      </w:pPr>
      <w:r>
        <w:rPr>
          <w:rFonts w:ascii="Times New Roman" w:hAnsi="Times New Roman" w:eastAsia="Times New Roman"/>
          <w:b w:val="0"/>
          <w:i w:val="0"/>
          <w:color w:val="000000"/>
          <w:sz w:val="22"/>
        </w:rPr>
        <w:t>Lammle, T. (2016) CCNA Routing and Switching Complete Study Guide. Indianapolis, IN: Sybex.</w:t>
      </w:r>
    </w:p>
    <w:p>
      <w:pPr>
        <w:spacing w:after="120" w:line="360" w:lineRule="auto"/>
        <w:jc w:val="both"/>
      </w:pPr>
      <w:r>
        <w:rPr>
          <w:rFonts w:ascii="Times New Roman" w:hAnsi="Times New Roman" w:eastAsia="Times New Roman"/>
          <w:b w:val="0"/>
          <w:i w:val="0"/>
          <w:color w:val="000000"/>
          <w:sz w:val="22"/>
        </w:rPr>
        <w:t>Mehta, D. (2021) Network Automation Concepts with Ansible. Birmingham: Packt Publishing.</w:t>
      </w:r>
    </w:p>
    <w:p>
      <w:pPr>
        <w:spacing w:after="120" w:line="360" w:lineRule="auto"/>
        <w:jc w:val="both"/>
      </w:pPr>
      <w:r>
        <w:rPr>
          <w:rFonts w:ascii="Times New Roman" w:hAnsi="Times New Roman" w:eastAsia="Times New Roman"/>
          <w:b w:val="0"/>
          <w:i w:val="0"/>
          <w:color w:val="000000"/>
          <w:sz w:val="22"/>
        </w:rPr>
        <w:t>Nielsen, J. (1994) Usability Engineering. San Francisco, CA: Morgan Kaufmann.</w:t>
      </w:r>
    </w:p>
    <w:p>
      <w:pPr>
        <w:spacing w:after="120" w:line="360" w:lineRule="auto"/>
        <w:jc w:val="both"/>
      </w:pPr>
      <w:r>
        <w:rPr>
          <w:rFonts w:ascii="Times New Roman" w:hAnsi="Times New Roman" w:eastAsia="Times New Roman"/>
          <w:b w:val="0"/>
          <w:i w:val="0"/>
          <w:color w:val="000000"/>
          <w:sz w:val="22"/>
        </w:rPr>
        <w:t>Oppenheimer, P. (2011) Top-Down Network Design. 3rd edn. Indianapolis, IN: Cisco Press.</w:t>
      </w:r>
    </w:p>
    <w:p>
      <w:pPr>
        <w:spacing w:after="120" w:line="360" w:lineRule="auto"/>
        <w:jc w:val="both"/>
      </w:pPr>
      <w:r>
        <w:rPr>
          <w:rFonts w:ascii="Times New Roman" w:hAnsi="Times New Roman" w:eastAsia="Times New Roman"/>
          <w:b w:val="0"/>
          <w:i w:val="0"/>
          <w:color w:val="000000"/>
          <w:sz w:val="22"/>
        </w:rPr>
        <w:t>OWASP (2021) OWASP Top Ten. Available at: https://owasp.org (Accessed: 10 August 2026).</w:t>
      </w:r>
    </w:p>
    <w:p>
      <w:pPr>
        <w:spacing w:after="120" w:line="360" w:lineRule="auto"/>
        <w:jc w:val="both"/>
      </w:pPr>
      <w:r>
        <w:rPr>
          <w:rFonts w:ascii="Times New Roman" w:hAnsi="Times New Roman" w:eastAsia="Times New Roman"/>
          <w:b w:val="0"/>
          <w:i w:val="0"/>
          <w:color w:val="000000"/>
          <w:sz w:val="22"/>
        </w:rPr>
        <w:t>Pears, R. and Shields, G. (2019) Cite Them Right: The Essential Referencing Guide. 11th edn. London: Red Globe Press.</w:t>
      </w:r>
    </w:p>
    <w:p>
      <w:pPr>
        <w:spacing w:after="120" w:line="360" w:lineRule="auto"/>
        <w:jc w:val="both"/>
      </w:pPr>
      <w:r>
        <w:rPr>
          <w:rFonts w:ascii="Times New Roman" w:hAnsi="Times New Roman" w:eastAsia="Times New Roman"/>
          <w:b w:val="0"/>
          <w:i w:val="0"/>
          <w:color w:val="000000"/>
          <w:sz w:val="22"/>
        </w:rPr>
        <w:t>RFC 950 (1985) Internet Standard Subnetting Procedure. IETF.</w:t>
      </w:r>
    </w:p>
    <w:p>
      <w:pPr>
        <w:spacing w:after="120" w:line="360" w:lineRule="auto"/>
        <w:jc w:val="both"/>
      </w:pPr>
      <w:r>
        <w:rPr>
          <w:rFonts w:ascii="Times New Roman" w:hAnsi="Times New Roman" w:eastAsia="Times New Roman"/>
          <w:b w:val="0"/>
          <w:i w:val="0"/>
          <w:color w:val="000000"/>
          <w:sz w:val="22"/>
        </w:rPr>
        <w:t>RFC 1918 (1996) Address Allocation for Private Internets. IETF.</w:t>
      </w:r>
    </w:p>
    <w:p>
      <w:pPr>
        <w:spacing w:after="120" w:line="360" w:lineRule="auto"/>
        <w:jc w:val="both"/>
      </w:pPr>
      <w:r>
        <w:rPr>
          <w:rFonts w:ascii="Times New Roman" w:hAnsi="Times New Roman" w:eastAsia="Times New Roman"/>
          <w:b w:val="0"/>
          <w:i w:val="0"/>
          <w:color w:val="000000"/>
          <w:sz w:val="22"/>
        </w:rPr>
        <w:t>RFC 4193 (2005) Unique Local IPv6 Unicast Addresses. IETF.</w:t>
      </w:r>
    </w:p>
    <w:p>
      <w:pPr>
        <w:spacing w:after="120" w:line="360" w:lineRule="auto"/>
        <w:jc w:val="both"/>
      </w:pPr>
      <w:r>
        <w:rPr>
          <w:rFonts w:ascii="Times New Roman" w:hAnsi="Times New Roman" w:eastAsia="Times New Roman"/>
          <w:b w:val="0"/>
          <w:i w:val="0"/>
          <w:color w:val="000000"/>
          <w:sz w:val="22"/>
        </w:rPr>
        <w:t>RFC 4213 (2005) Basic Transition Mechanisms for IPv6 Hosts and Routers. IETF.</w:t>
      </w:r>
    </w:p>
    <w:p>
      <w:r>
        <w:br w:type="page"/>
      </w:r>
    </w:p>
    <w:p>
      <w:pPr>
        <w:spacing w:before="320" w:after="160"/>
      </w:pPr>
      <w:r>
        <w:rPr>
          <w:rFonts w:ascii="Times New Roman" w:hAnsi="Times New Roman" w:eastAsia="Times New Roman"/>
          <w:b/>
          <w:i w:val="0"/>
          <w:color w:val="000000"/>
          <w:sz w:val="32"/>
        </w:rPr>
        <w:t>Appendix A  Research Proposal</w:t>
      </w:r>
    </w:p>
    <w:p>
      <w:pPr>
        <w:spacing w:after="160" w:line="360" w:lineRule="auto"/>
        <w:jc w:val="both"/>
      </w:pPr>
      <w:r>
        <w:rPr>
          <w:rFonts w:ascii="Times New Roman" w:hAnsi="Times New Roman" w:eastAsia="Times New Roman"/>
          <w:b/>
          <w:i w:val="0"/>
          <w:color w:val="000000"/>
          <w:sz w:val="24"/>
        </w:rPr>
        <w:t>Title: NETRIX – Integrated Web-Based Enterprise Network Planning Framework.</w:t>
      </w:r>
    </w:p>
    <w:p>
      <w:pPr>
        <w:spacing w:after="160" w:line="360" w:lineRule="auto"/>
        <w:ind w:firstLine="720"/>
        <w:jc w:val="both"/>
      </w:pPr>
      <w:r>
        <w:rPr>
          <w:rFonts w:ascii="Times New Roman" w:hAnsi="Times New Roman" w:eastAsia="Times New Roman"/>
          <w:b w:val="0"/>
          <w:i w:val="0"/>
          <w:color w:val="000000"/>
          <w:sz w:val="24"/>
        </w:rPr>
        <w:t>Problem: Design work is fragmented across calculators, spreadsheets, simulators and editors, causing inconsistency and weak dual-stack documentation (Oppenheimer, 2011).</w:t>
      </w:r>
    </w:p>
    <w:p>
      <w:pPr>
        <w:spacing w:after="160" w:line="360" w:lineRule="auto"/>
        <w:ind w:firstLine="720"/>
        <w:jc w:val="both"/>
      </w:pPr>
      <w:r>
        <w:rPr>
          <w:rFonts w:ascii="Times New Roman" w:hAnsi="Times New Roman" w:eastAsia="Times New Roman"/>
          <w:b w:val="0"/>
          <w:i w:val="0"/>
          <w:color w:val="000000"/>
          <w:sz w:val="24"/>
        </w:rPr>
        <w:t>Solution: A modular web application automating VLSM/ULA planning, multi-device configuration, professional reports and lab-oriented validation/push.</w:t>
      </w:r>
    </w:p>
    <w:p>
      <w:pPr>
        <w:spacing w:after="160" w:line="360" w:lineRule="auto"/>
        <w:ind w:firstLine="720"/>
        <w:jc w:val="both"/>
      </w:pPr>
      <w:r>
        <w:rPr>
          <w:rFonts w:ascii="Times New Roman" w:hAnsi="Times New Roman" w:eastAsia="Times New Roman"/>
          <w:b w:val="0"/>
          <w:i w:val="0"/>
          <w:color w:val="000000"/>
          <w:sz w:val="24"/>
        </w:rPr>
        <w:t>Methodology: Constructive engineering with comparative evaluation against a manual toolchain and published tool categories.</w:t>
      </w:r>
    </w:p>
    <w:p>
      <w:pPr>
        <w:spacing w:after="160" w:line="360" w:lineRule="auto"/>
        <w:ind w:firstLine="720"/>
        <w:jc w:val="both"/>
      </w:pPr>
      <w:r>
        <w:rPr>
          <w:rFonts w:ascii="Times New Roman" w:hAnsi="Times New Roman" w:eastAsia="Times New Roman"/>
          <w:b w:val="0"/>
          <w:i w:val="0"/>
          <w:color w:val="000000"/>
          <w:sz w:val="24"/>
        </w:rPr>
        <w:t>Risks: Scope creep and limited user trials—mitigated by prioritised MVP features and synthetic scenarios.</w:t>
      </w:r>
    </w:p>
    <w:p>
      <w:r>
        <w:br w:type="page"/>
      </w:r>
    </w:p>
    <w:p>
      <w:pPr>
        <w:spacing w:before="320" w:after="160"/>
      </w:pPr>
      <w:r>
        <w:rPr>
          <w:rFonts w:ascii="Times New Roman" w:hAnsi="Times New Roman" w:eastAsia="Times New Roman"/>
          <w:b/>
          <w:i w:val="0"/>
          <w:color w:val="000000"/>
          <w:sz w:val="32"/>
        </w:rPr>
        <w:t>Appendix B  System Architecture and Selected Artefacts</w:t>
      </w:r>
    </w:p>
    <w:p>
      <w:pPr>
        <w:spacing w:after="160" w:line="360" w:lineRule="auto"/>
        <w:jc w:val="both"/>
      </w:pPr>
      <w:r>
        <w:rPr>
          <w:rFonts w:ascii="Times New Roman" w:hAnsi="Times New Roman" w:eastAsia="Times New Roman"/>
          <w:b w:val="0"/>
          <w:i w:val="0"/>
          <w:color w:val="000000"/>
          <w:sz w:val="24"/>
        </w:rPr>
        <w:t>Components: Bootstrap UI; Flask blueprints (auth, projects, admin, API); services (network_engine, reports, device_push); SQLAlchemy models; SQLite persistence; RBAC decorators (Grinberg, 2018; OWASP, 2021).</w:t>
      </w:r>
    </w:p>
    <w:p>
      <w:pPr>
        <w:spacing w:after="160" w:line="360" w:lineRule="auto"/>
        <w:jc w:val="both"/>
      </w:pPr>
      <w:r>
        <w:rPr>
          <w:rFonts w:ascii="Times New Roman" w:hAnsi="Times New Roman" w:eastAsia="Times New Roman"/>
          <w:b w:val="0"/>
          <w:i w:val="0"/>
          <w:color w:val="000000"/>
          <w:sz w:val="24"/>
        </w:rPr>
        <w:t>Artefacts: VLSM/VLAN/IPv4/IPv6 tables; multi-device IOS text; topology views; validation list; PDF with executive summary and dual-stack mapping; Excel IPv6 sheet; Packet Tracer lab guide; PNG exports; push transcripts.</w:t>
      </w:r>
    </w:p>
    <w:p>
      <w:pPr>
        <w:spacing w:after="160" w:line="360" w:lineRule="auto"/>
        <w:jc w:val="both"/>
      </w:pPr>
      <w:r>
        <w:rPr>
          <w:rFonts w:ascii="Times New Roman" w:hAnsi="Times New Roman" w:eastAsia="Times New Roman"/>
          <w:b w:val="0"/>
          <w:i w:val="0"/>
          <w:color w:val="000000"/>
          <w:sz w:val="24"/>
        </w:rPr>
        <w:t>Default demo accounts (change outside local demos): admin@netrix.local / Admin@12345; engineer@netrix.local / Engineer@123; viewer@netrix.local / Viewer@123.</w:t>
      </w:r>
    </w:p>
    <w:p>
      <w:r>
        <w:br w:type="page"/>
      </w:r>
    </w:p>
    <w:p>
      <w:pPr>
        <w:spacing w:before="320" w:after="160"/>
      </w:pPr>
      <w:r>
        <w:rPr>
          <w:rFonts w:ascii="Times New Roman" w:hAnsi="Times New Roman" w:eastAsia="Times New Roman"/>
          <w:b/>
          <w:i w:val="0"/>
          <w:color w:val="000000"/>
          <w:sz w:val="32"/>
        </w:rPr>
        <w:t>Appendix C  Extended Comparison and Discussion</w:t>
      </w:r>
    </w:p>
    <w:p>
      <w:pPr>
        <w:spacing w:after="160" w:line="360" w:lineRule="auto"/>
        <w:ind w:firstLine="720"/>
        <w:jc w:val="both"/>
      </w:pPr>
      <w:r>
        <w:rPr>
          <w:rFonts w:ascii="Times New Roman" w:hAnsi="Times New Roman" w:eastAsia="Times New Roman"/>
          <w:b w:val="0"/>
          <w:i w:val="0"/>
          <w:color w:val="000000"/>
          <w:sz w:val="24"/>
        </w:rPr>
        <w:t>NETRIX is complementary: high on planning-to-documentation integration; Packet Tracer high on simulation; IPAM high on inventory; Ansible high on production push (Mehta, 2021; Cisco Networking Academy, n.d.). Curriculum sequencing can use paper VLSM, then NETRIX packs, then Packet Tracer verification, preserving conceptual learning while improving consistency (Lammle, 2016).</w:t>
      </w:r>
    </w:p>
    <w:p>
      <w:pPr>
        <w:spacing w:after="160" w:line="360" w:lineRule="auto"/>
        <w:ind w:firstLine="720"/>
        <w:jc w:val="both"/>
      </w:pPr>
      <w:r>
        <w:rPr>
          <w:rFonts w:ascii="Times New Roman" w:hAnsi="Times New Roman" w:eastAsia="Times New Roman"/>
          <w:b w:val="0"/>
          <w:i w:val="0"/>
          <w:color w:val="000000"/>
          <w:sz w:val="24"/>
        </w:rPr>
        <w:t>Generated IOS is an educational baseline, not a hardened gold config: TACACS+, CoPP, certificate SSH and full VRF designs remain out of scope by intention and are disclosed under professional limitations (BCS, 2023).</w:t>
      </w:r>
    </w:p>
    <w:p>
      <w:pPr>
        <w:spacing w:before="320" w:after="160"/>
      </w:pPr>
      <w:r>
        <w:rPr>
          <w:rFonts w:ascii="Times New Roman" w:hAnsi="Times New Roman" w:eastAsia="Times New Roman"/>
          <w:b/>
          <w:i w:val="0"/>
          <w:color w:val="000000"/>
          <w:sz w:val="32"/>
        </w:rPr>
        <w:t>Appendix D  Glossary</w:t>
      </w:r>
    </w:p>
    <w:p>
      <w:pPr>
        <w:spacing w:after="80" w:line="360" w:lineRule="auto"/>
      </w:pPr>
      <w:r>
        <w:rPr>
          <w:rFonts w:ascii="Times New Roman" w:hAnsi="Times New Roman" w:eastAsia="Times New Roman"/>
          <w:b/>
          <w:i w:val="0"/>
          <w:color w:val="000000"/>
          <w:sz w:val="24"/>
        </w:rPr>
        <w:t xml:space="preserve">VLSM — </w:t>
      </w:r>
      <w:r>
        <w:rPr>
          <w:rFonts w:ascii="Times New Roman" w:hAnsi="Times New Roman" w:eastAsia="Times New Roman"/>
          <w:b w:val="0"/>
          <w:i w:val="0"/>
          <w:color w:val="000000"/>
          <w:sz w:val="24"/>
        </w:rPr>
        <w:t>Variable Length Subnet Mask – different prefix lengths within a supernet (RFC 950).</w:t>
      </w:r>
    </w:p>
    <w:p>
      <w:pPr>
        <w:spacing w:after="80" w:line="360" w:lineRule="auto"/>
      </w:pPr>
      <w:r>
        <w:rPr>
          <w:rFonts w:ascii="Times New Roman" w:hAnsi="Times New Roman" w:eastAsia="Times New Roman"/>
          <w:b/>
          <w:i w:val="0"/>
          <w:color w:val="000000"/>
          <w:sz w:val="24"/>
        </w:rPr>
        <w:t xml:space="preserve">ULA — </w:t>
      </w:r>
      <w:r>
        <w:rPr>
          <w:rFonts w:ascii="Times New Roman" w:hAnsi="Times New Roman" w:eastAsia="Times New Roman"/>
          <w:b w:val="0"/>
          <w:i w:val="0"/>
          <w:color w:val="000000"/>
          <w:sz w:val="24"/>
        </w:rPr>
        <w:t>Unique Local Address – IPv6 local addressing in fd00::/8 (RFC 4193).</w:t>
      </w:r>
    </w:p>
    <w:p>
      <w:pPr>
        <w:spacing w:after="80" w:line="360" w:lineRule="auto"/>
      </w:pPr>
      <w:r>
        <w:rPr>
          <w:rFonts w:ascii="Times New Roman" w:hAnsi="Times New Roman" w:eastAsia="Times New Roman"/>
          <w:b/>
          <w:i w:val="0"/>
          <w:color w:val="000000"/>
          <w:sz w:val="24"/>
        </w:rPr>
        <w:t xml:space="preserve">Dual-stack — </w:t>
      </w:r>
      <w:r>
        <w:rPr>
          <w:rFonts w:ascii="Times New Roman" w:hAnsi="Times New Roman" w:eastAsia="Times New Roman"/>
          <w:b w:val="0"/>
          <w:i w:val="0"/>
          <w:color w:val="000000"/>
          <w:sz w:val="24"/>
        </w:rPr>
        <w:t>Concurrent IPv4 and IPv6 operation (RFC 4213).</w:t>
      </w:r>
    </w:p>
    <w:p>
      <w:pPr>
        <w:spacing w:after="80" w:line="360" w:lineRule="auto"/>
      </w:pPr>
      <w:r>
        <w:rPr>
          <w:rFonts w:ascii="Times New Roman" w:hAnsi="Times New Roman" w:eastAsia="Times New Roman"/>
          <w:b/>
          <w:i w:val="0"/>
          <w:color w:val="000000"/>
          <w:sz w:val="24"/>
        </w:rPr>
        <w:t xml:space="preserve">IPAM — </w:t>
      </w:r>
      <w:r>
        <w:rPr>
          <w:rFonts w:ascii="Times New Roman" w:hAnsi="Times New Roman" w:eastAsia="Times New Roman"/>
          <w:b w:val="0"/>
          <w:i w:val="0"/>
          <w:color w:val="000000"/>
          <w:sz w:val="24"/>
        </w:rPr>
        <w:t>IP Address Management – authoritative allocation inventory.</w:t>
      </w:r>
    </w:p>
    <w:p>
      <w:pPr>
        <w:spacing w:after="80" w:line="360" w:lineRule="auto"/>
      </w:pPr>
      <w:r>
        <w:rPr>
          <w:rFonts w:ascii="Times New Roman" w:hAnsi="Times New Roman" w:eastAsia="Times New Roman"/>
          <w:b/>
          <w:i w:val="0"/>
          <w:color w:val="000000"/>
          <w:sz w:val="24"/>
        </w:rPr>
        <w:t xml:space="preserve">RBAC — </w:t>
      </w:r>
      <w:r>
        <w:rPr>
          <w:rFonts w:ascii="Times New Roman" w:hAnsi="Times New Roman" w:eastAsia="Times New Roman"/>
          <w:b w:val="0"/>
          <w:i w:val="0"/>
          <w:color w:val="000000"/>
          <w:sz w:val="24"/>
        </w:rPr>
        <w:t>Role-Based Access Control.</w:t>
      </w:r>
    </w:p>
    <w:p>
      <w:pPr>
        <w:spacing w:after="80" w:line="360" w:lineRule="auto"/>
      </w:pPr>
      <w:r>
        <w:rPr>
          <w:rFonts w:ascii="Times New Roman" w:hAnsi="Times New Roman" w:eastAsia="Times New Roman"/>
          <w:b/>
          <w:i w:val="0"/>
          <w:color w:val="000000"/>
          <w:sz w:val="24"/>
        </w:rPr>
        <w:t xml:space="preserve">SVI — </w:t>
      </w:r>
      <w:r>
        <w:rPr>
          <w:rFonts w:ascii="Times New Roman" w:hAnsi="Times New Roman" w:eastAsia="Times New Roman"/>
          <w:b w:val="0"/>
          <w:i w:val="0"/>
          <w:color w:val="000000"/>
          <w:sz w:val="24"/>
        </w:rPr>
        <w:t>Switch Virtual Interface.</w:t>
      </w:r>
    </w:p>
    <w:p>
      <w:pPr>
        <w:spacing w:before="320" w:after="160"/>
      </w:pPr>
      <w:r>
        <w:rPr>
          <w:rFonts w:ascii="Times New Roman" w:hAnsi="Times New Roman" w:eastAsia="Times New Roman"/>
          <w:b/>
          <w:i w:val="0"/>
          <w:color w:val="000000"/>
          <w:sz w:val="32"/>
        </w:rPr>
        <w:t>Appendix E  Statement on Software Tools</w:t>
      </w:r>
    </w:p>
    <w:p>
      <w:pPr>
        <w:spacing w:after="160" w:line="360" w:lineRule="auto"/>
        <w:jc w:val="both"/>
      </w:pPr>
      <w:r>
        <w:rPr>
          <w:rFonts w:ascii="Times New Roman" w:hAnsi="Times New Roman" w:eastAsia="Times New Roman"/>
          <w:b w:val="0"/>
          <w:i w:val="0"/>
          <w:color w:val="000000"/>
          <w:sz w:val="24"/>
        </w:rPr>
        <w:t>Development used Python, Flask, SQLAlchemy, ReportLab, python-docx, openpyxl, Paramiko and Bootstrap under their respective open-source licences (Grinberg, 2018). Cisco Packet Tracer binaries are not redistributed; only textual lab guidance is emitted. Figures were generated for this dissertation to illustrate architecture and comparisons. All technical claims were verified against the implemented NETRIX system.</w:t>
      </w:r>
    </w:p>
    <w:p>
      <w:r>
        <w:br w:type="page"/>
      </w:r>
    </w:p>
    <w:p>
      <w:pPr>
        <w:spacing w:before="280" w:after="160"/>
      </w:pPr>
      <w:r>
        <w:rPr>
          <w:rFonts w:ascii="Times New Roman" w:hAnsi="Times New Roman" w:eastAsia="Times New Roman"/>
          <w:b/>
          <w:i w:val="0"/>
          <w:color w:val="000000"/>
          <w:sz w:val="28"/>
        </w:rPr>
        <w:t>Appendix F  Extended Narrative on Comparative Findings</w:t>
      </w:r>
    </w:p>
    <w:p>
      <w:pPr>
        <w:spacing w:after="160" w:line="360" w:lineRule="auto"/>
        <w:ind w:firstLine="720"/>
        <w:jc w:val="both"/>
      </w:pPr>
      <w:r>
        <w:rPr>
          <w:rFonts w:ascii="Times New Roman" w:hAnsi="Times New Roman" w:eastAsia="Times New Roman"/>
          <w:b w:val="0"/>
          <w:i w:val="0"/>
          <w:color w:val="000000"/>
          <w:sz w:val="24"/>
        </w:rPr>
        <w:t>The comparative evidence assembled in Chapters 2 and 4 supports a differentiated rather than hierarchical ranking of tools. Subnet calculators remain optimal for rapid single-prefix arithmetic but contribute little to multi-department documentation (Lammle, 2016). Spreadsheets offer flexibility yet depend entirely on user discipline to avoid overlapping networks and inconsistent VLAN identifiers. Cisco Packet Tracer remains the strongest environment for observing protocol behaviour and is rightly central to many vocational curricula (Cisco Networking Academy, n.d.). It is not, however, a requirements-to-report pipeline.</w:t>
      </w:r>
    </w:p>
    <w:p>
      <w:pPr>
        <w:spacing w:after="160" w:line="360" w:lineRule="auto"/>
        <w:ind w:firstLine="720"/>
        <w:jc w:val="both"/>
      </w:pPr>
      <w:r>
        <w:rPr>
          <w:rFonts w:ascii="Times New Roman" w:hAnsi="Times New Roman" w:eastAsia="Times New Roman"/>
          <w:b w:val="0"/>
          <w:i w:val="0"/>
          <w:color w:val="000000"/>
          <w:sz w:val="24"/>
        </w:rPr>
        <w:t>IPAM platforms provide the authoritative inventory required in enterprises with continuous change, audit and reclamation cycles. Their complexity and licensing models often exceed the needs of a twelve-week academic module. Ansible and related automation frameworks operationalise configuration at scale and encode organisational policy as code (Mehta, 2021). They presuppose that address plans and interface roles are already decided. NETRIX addresses the upstream decision and documentation problem: transforming a departmental brief into VLSM and ULA plans, baseline multi-device configurations and a stakeholder-readable pack.</w:t>
      </w:r>
    </w:p>
    <w:p>
      <w:pPr>
        <w:spacing w:after="160" w:line="360" w:lineRule="auto"/>
        <w:ind w:firstLine="720"/>
        <w:jc w:val="both"/>
      </w:pPr>
      <w:r>
        <w:rPr>
          <w:rFonts w:ascii="Times New Roman" w:hAnsi="Times New Roman" w:eastAsia="Times New Roman"/>
          <w:b w:val="0"/>
          <w:i w:val="0"/>
          <w:color w:val="000000"/>
          <w:sz w:val="24"/>
        </w:rPr>
        <w:t>Empirically, dual-stack PDF sections closed a defect observed in earlier builds where IPv6 rows were generated by the engine but not always persisted or rendered. Harvard-style citation of RFCs 4193 and 4213 in both the literature review and results discussion anchors those behaviours in standards rather than implementation whim. The positioning matrix (Figure 4.3) is interpretive yet consistent with Oppenheimer’s (2011) emphasis on top-down design documentation and with professional codes that require transparency about tool limits (BCS, 2023).</w:t>
      </w:r>
    </w:p>
    <w:p>
      <w:pPr>
        <w:spacing w:after="160" w:line="360" w:lineRule="auto"/>
        <w:ind w:firstLine="720"/>
        <w:jc w:val="both"/>
      </w:pPr>
      <w:r>
        <w:rPr>
          <w:rFonts w:ascii="Times New Roman" w:hAnsi="Times New Roman" w:eastAsia="Times New Roman"/>
          <w:b w:val="0"/>
          <w:i w:val="0"/>
          <w:color w:val="000000"/>
          <w:sz w:val="24"/>
        </w:rPr>
        <w:t>For assessment design, markers should reward correct interpretation of requirements, justification of classful or custom supernets, validation reasoning and honest discussion of residual risks—not merely the presence of a generated PDF. Used this way, NETRIX supports rather than dilutes learning outcomes associated with hierarchical design and addressing (Cisco, 2020).</w:t>
      </w:r>
    </w:p>
    <w:p>
      <w:pPr>
        <w:spacing w:before="280" w:after="160"/>
      </w:pPr>
      <w:r>
        <w:rPr>
          <w:rFonts w:ascii="Times New Roman" w:hAnsi="Times New Roman" w:eastAsia="Times New Roman"/>
          <w:b/>
          <w:i w:val="0"/>
          <w:color w:val="000000"/>
          <w:sz w:val="28"/>
        </w:rPr>
        <w:t>Appendix G  Sample Validation Checklist Used in Testing</w:t>
      </w:r>
    </w:p>
    <w:p>
      <w:pPr>
        <w:spacing w:after="160" w:line="360" w:lineRule="auto"/>
        <w:jc w:val="both"/>
      </w:pPr>
      <w:r>
        <w:rPr>
          <w:rFonts w:ascii="Times New Roman" w:hAnsi="Times New Roman" w:eastAsia="Times New Roman"/>
          <w:b w:val="0"/>
          <w:i w:val="0"/>
          <w:color w:val="000000"/>
          <w:sz w:val="24"/>
        </w:rPr>
        <w:t>The following checklist was applied after each generation run during Approach 2 evaluation:</w:t>
      </w:r>
    </w:p>
    <w:p>
      <w:pPr>
        <w:spacing w:after="160" w:line="360" w:lineRule="auto"/>
        <w:jc w:val="both"/>
      </w:pPr>
      <w:r>
        <w:rPr>
          <w:rFonts w:ascii="Times New Roman" w:hAnsi="Times New Roman" w:eastAsia="Times New Roman"/>
          <w:b w:val="0"/>
          <w:i w:val="0"/>
          <w:color w:val="000000"/>
          <w:sz w:val="24"/>
        </w:rPr>
        <w:t>• All department host counts are satisfied by allocated usable IPv4 capacity (or marked N/A in IPv6-only mode).</w:t>
      </w:r>
    </w:p>
    <w:p>
      <w:pPr>
        <w:spacing w:after="160" w:line="360" w:lineRule="auto"/>
        <w:jc w:val="both"/>
      </w:pPr>
      <w:r>
        <w:rPr>
          <w:rFonts w:ascii="Times New Roman" w:hAnsi="Times New Roman" w:eastAsia="Times New Roman"/>
          <w:b w:val="0"/>
          <w:i w:val="0"/>
          <w:color w:val="000000"/>
          <w:sz w:val="24"/>
        </w:rPr>
        <w:t>• No two IPv4 prefixes overlap within the project supernet.</w:t>
      </w:r>
    </w:p>
    <w:p>
      <w:pPr>
        <w:spacing w:after="160" w:line="360" w:lineRule="auto"/>
        <w:jc w:val="both"/>
      </w:pPr>
      <w:r>
        <w:rPr>
          <w:rFonts w:ascii="Times New Roman" w:hAnsi="Times New Roman" w:eastAsia="Times New Roman"/>
          <w:b w:val="0"/>
          <w:i w:val="0"/>
          <w:color w:val="000000"/>
          <w:sz w:val="24"/>
        </w:rPr>
        <w:t>• VLAN identifiers are unique across departments.</w:t>
      </w:r>
    </w:p>
    <w:p>
      <w:pPr>
        <w:spacing w:after="160" w:line="360" w:lineRule="auto"/>
        <w:jc w:val="both"/>
      </w:pPr>
      <w:r>
        <w:rPr>
          <w:rFonts w:ascii="Times New Roman" w:hAnsi="Times New Roman" w:eastAsia="Times New Roman"/>
          <w:b w:val="0"/>
          <w:i w:val="0"/>
          <w:color w:val="000000"/>
          <w:sz w:val="24"/>
        </w:rPr>
        <w:t>• If dual-stack or IPv6 mode is selected, each department has a /64 ULA network and ::1 gateway.</w:t>
      </w:r>
    </w:p>
    <w:p>
      <w:pPr>
        <w:spacing w:after="160" w:line="360" w:lineRule="auto"/>
        <w:jc w:val="both"/>
      </w:pPr>
      <w:r>
        <w:rPr>
          <w:rFonts w:ascii="Times New Roman" w:hAnsi="Times New Roman" w:eastAsia="Times New Roman"/>
          <w:b w:val="0"/>
          <w:i w:val="0"/>
          <w:color w:val="000000"/>
          <w:sz w:val="24"/>
        </w:rPr>
        <w:t>• Router configuration contains a hostname block for each inventory router.</w:t>
      </w:r>
    </w:p>
    <w:p>
      <w:pPr>
        <w:spacing w:after="160" w:line="360" w:lineRule="auto"/>
        <w:jc w:val="both"/>
      </w:pPr>
      <w:r>
        <w:rPr>
          <w:rFonts w:ascii="Times New Roman" w:hAnsi="Times New Roman" w:eastAsia="Times New Roman"/>
          <w:b w:val="0"/>
          <w:i w:val="0"/>
          <w:color w:val="000000"/>
          <w:sz w:val="24"/>
        </w:rPr>
        <w:t>• Switch configuration contains VLAN definitions matching the plan.</w:t>
      </w:r>
    </w:p>
    <w:p>
      <w:pPr>
        <w:spacing w:after="160" w:line="360" w:lineRule="auto"/>
        <w:jc w:val="both"/>
      </w:pPr>
      <w:r>
        <w:rPr>
          <w:rFonts w:ascii="Times New Roman" w:hAnsi="Times New Roman" w:eastAsia="Times New Roman"/>
          <w:b w:val="0"/>
          <w:i w:val="0"/>
          <w:color w:val="000000"/>
          <w:sz w:val="24"/>
        </w:rPr>
        <w:t>• PDF contains executive summary, VLSM table, and IPv6 section appropriate to design mode.</w:t>
      </w:r>
    </w:p>
    <w:p>
      <w:pPr>
        <w:spacing w:after="160" w:line="360" w:lineRule="auto"/>
        <w:jc w:val="both"/>
      </w:pPr>
      <w:r>
        <w:rPr>
          <w:rFonts w:ascii="Times New Roman" w:hAnsi="Times New Roman" w:eastAsia="Times New Roman"/>
          <w:b w:val="0"/>
          <w:i w:val="0"/>
          <w:color w:val="000000"/>
          <w:sz w:val="24"/>
        </w:rPr>
        <w:t>• Packet Tracer lab guide references routing protocol and topology style.</w:t>
      </w:r>
    </w:p>
    <w:p>
      <w:pPr>
        <w:spacing w:after="160" w:line="360" w:lineRule="auto"/>
        <w:jc w:val="both"/>
      </w:pPr>
      <w:r>
        <w:rPr>
          <w:rFonts w:ascii="Times New Roman" w:hAnsi="Times New Roman" w:eastAsia="Times New Roman"/>
          <w:b w:val="0"/>
          <w:i w:val="0"/>
          <w:color w:val="000000"/>
          <w:sz w:val="24"/>
        </w:rPr>
        <w:t>• Dry-run push against 127.0.0.1 returns success without attempting production writes.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