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f1f1f"/>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f1f1f"/>
        </w:rPr>
      </w:pPr>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f1f1f"/>
        </w:rPr>
      </w:pPr>
      <w:r w:rsidDel="00000000" w:rsidR="00000000" w:rsidRPr="00000000">
        <w:rPr>
          <w:rtl w:val="0"/>
        </w:rPr>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f1f1f"/>
        </w:rPr>
      </w:pPr>
      <w:r w:rsidDel="00000000" w:rsidR="00000000" w:rsidRPr="00000000">
        <w:rPr>
          <w:rtl w:val="0"/>
        </w:rPr>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f1f1f"/>
        </w:rPr>
      </w:pPr>
      <w:r w:rsidDel="00000000" w:rsidR="00000000" w:rsidRPr="00000000">
        <w:rPr>
          <w:rtl w:val="0"/>
        </w:rPr>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spacing w:after="120" w:before="0" w:line="275.9999942779541"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Informe Técnico: Análisis de Patrones y Arquetipos - Proyecto SmartLogix</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b w:val="1"/>
          <w:bCs w:val="1"/>
          <w:color w:val="1f1f1f"/>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b w:val="1"/>
          <w:bCs w:val="1"/>
          <w:color w:val="1f1f1f"/>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b w:val="1"/>
          <w:bCs w:val="1"/>
          <w:color w:val="1f1f1f"/>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b w:val="1"/>
          <w:bCs w:val="1"/>
          <w:color w:val="1f1f1f"/>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b w:val="1"/>
          <w:bCs w:val="1"/>
          <w:color w:val="1f1f1f"/>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b w:val="1"/>
          <w:bCs w:val="1"/>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b w:val="1"/>
          <w:bCs w:val="1"/>
          <w:color w:val="1f1f1f"/>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b w:val="1"/>
          <w:bCs w:val="1"/>
          <w:color w:val="1f1f1f"/>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b w:val="1"/>
          <w:bCs w:val="1"/>
          <w:color w:val="1f1f1f"/>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b w:val="1"/>
          <w:bCs w:val="1"/>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b w:val="1"/>
          <w:bCs w:val="1"/>
          <w:color w:val="1f1f1f"/>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color w:val="1f1f1f"/>
        </w:rPr>
      </w:pPr>
      <w:r w:rsidDel="00000000" w:rsidR="00000000" w:rsidRPr="00000000">
        <w:rPr>
          <w:rFonts w:ascii="Arial" w:cs="Arial" w:eastAsia="Arial" w:hAnsi="Arial"/>
          <w:b w:val="1"/>
          <w:bCs w:val="1"/>
          <w:color w:val="1f1f1f"/>
          <w:rtl w:val="0"/>
        </w:rPr>
        <w:t xml:space="preserve">Asignatura:</w:t>
      </w:r>
      <w:r w:rsidDel="00000000" w:rsidR="00000000" w:rsidRPr="00000000">
        <w:rPr>
          <w:rFonts w:ascii="Arial" w:cs="Arial" w:eastAsia="Arial" w:hAnsi="Arial"/>
          <w:color w:val="1f1f1f"/>
          <w:rtl w:val="0"/>
        </w:rPr>
        <w:t xml:space="preserve"> Desarrollo Fullstack III (DSY1106)</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Evaluación:</w:t>
      </w:r>
      <w:r w:rsidDel="00000000" w:rsidR="00000000" w:rsidRPr="00000000">
        <w:rPr>
          <w:rFonts w:ascii="Arial" w:cs="Arial" w:eastAsia="Arial" w:hAnsi="Arial"/>
          <w:color w:val="1f1f1f"/>
          <w:rtl w:val="0"/>
        </w:rPr>
        <w:t xml:space="preserve"> Parcial N°2</w:t>
      </w:r>
    </w:p>
    <w:p w:rsidR="00000000" w:rsidDel="00000000" w:rsidP="00000000" w:rsidRDefault="00000000" w:rsidRPr="00000000" w14:paraId="00000014">
      <w:pPr>
        <w:spacing w:after="240" w:line="275.9999942779541" w:lineRule="auto"/>
        <w:rPr>
          <w:color w:val="1f1f1f"/>
        </w:rPr>
      </w:pPr>
      <w:r w:rsidDel="00000000" w:rsidR="00000000" w:rsidRPr="00000000">
        <w:rPr>
          <w:b w:val="1"/>
          <w:bCs w:val="1"/>
          <w:color w:val="1f1f1f"/>
          <w:rtl w:val="0"/>
        </w:rPr>
        <w:t xml:space="preserve">Nombre:</w:t>
      </w:r>
      <w:r w:rsidDel="00000000" w:rsidR="00000000" w:rsidRPr="00000000">
        <w:rPr>
          <w:color w:val="1f1f1f"/>
          <w:rtl w:val="0"/>
        </w:rPr>
        <w:t xml:space="preserve"> Dante Rojas</w:t>
      </w:r>
    </w:p>
    <w:p w:rsidR="00000000" w:rsidDel="00000000" w:rsidP="00000000" w:rsidRDefault="00000000" w:rsidRPr="00000000" w14:paraId="00000015">
      <w:pPr>
        <w:pStyle w:val="Heading2"/>
        <w:spacing w:line="275.9999942779541" w:lineRule="auto"/>
        <w:rPr/>
      </w:pPr>
      <w:bookmarkStart w:colFirst="0" w:colLast="0" w:name="_7rmflx8g7svd" w:id="0"/>
      <w:bookmarkEnd w:id="0"/>
      <w:r w:rsidDel="00000000" w:rsidR="00000000" w:rsidRPr="00000000">
        <w:rPr>
          <w:rtl w:val="0"/>
        </w:rPr>
        <w:t xml:space="preserve">1. Introducción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presente documento detalla la arquitectura técnica y los patrones de diseño aplicados en la solución </w:t>
      </w:r>
      <w:r w:rsidDel="00000000" w:rsidR="00000000" w:rsidRPr="00000000">
        <w:rPr>
          <w:rFonts w:ascii="Arial" w:cs="Arial" w:eastAsia="Arial" w:hAnsi="Arial"/>
          <w:b w:val="1"/>
          <w:bCs w:val="1"/>
          <w:color w:val="1f1f1f"/>
          <w:rtl w:val="0"/>
        </w:rPr>
        <w:t xml:space="preserve">SmartLogix</w:t>
      </w:r>
      <w:r w:rsidDel="00000000" w:rsidR="00000000" w:rsidRPr="00000000">
        <w:rPr>
          <w:rFonts w:ascii="Arial" w:cs="Arial" w:eastAsia="Arial" w:hAnsi="Arial"/>
          <w:color w:val="1f1f1f"/>
          <w:rtl w:val="0"/>
        </w:rPr>
        <w:t xml:space="preserve">. El objetivo principal es justificar la selección de tecnologías y estructuras que garantizan una plataforma escalable, eficiente y mantenible para la gestión logística de inventarios y pedidos.</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Patrones Arquitectónicos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Arquitectura de Microservicios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lógica de negocio del backend se ha segmentado en servicios granulares e independientes.</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39.6875" w:hanging="360"/>
      </w:pPr>
      <w:r w:rsidDel="00000000" w:rsidR="00000000" w:rsidRPr="00000000">
        <w:rPr>
          <w:rFonts w:ascii="Arial" w:cs="Arial" w:eastAsia="Arial" w:hAnsi="Arial"/>
          <w:b w:val="1"/>
          <w:bCs w:val="1"/>
          <w:color w:val="1f1f1f"/>
          <w:rtl w:val="0"/>
        </w:rPr>
        <w:t xml:space="preserve">Componentes:</w:t>
      </w:r>
      <w:r w:rsidDel="00000000" w:rsidR="00000000" w:rsidRPr="00000000">
        <w:rPr>
          <w:rFonts w:ascii="Arial" w:cs="Arial" w:eastAsia="Arial" w:hAnsi="Arial"/>
          <w:color w:val="1f1f1f"/>
          <w:rtl w:val="0"/>
        </w:rPr>
        <w:t xml:space="preserve"> authservice, usuariosservice, productosservice, ubicacionesservice, pedidosservice, aprobacionesservice.</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39.6875" w:hanging="360"/>
      </w:pPr>
      <w:r w:rsidDel="00000000" w:rsidR="00000000" w:rsidRPr="00000000">
        <w:rPr>
          <w:rFonts w:ascii="Arial" w:cs="Arial" w:eastAsia="Arial" w:hAnsi="Arial"/>
          <w:b w:val="1"/>
          <w:bCs w:val="1"/>
          <w:color w:val="1f1f1f"/>
          <w:rtl w:val="0"/>
        </w:rPr>
        <w:t xml:space="preserve">Justificación:</w:t>
      </w:r>
      <w:r w:rsidDel="00000000" w:rsidR="00000000" w:rsidRPr="00000000">
        <w:rPr>
          <w:rFonts w:ascii="Arial" w:cs="Arial" w:eastAsia="Arial" w:hAnsi="Arial"/>
          <w:color w:val="1f1f1f"/>
          <w:rtl w:val="0"/>
        </w:rPr>
        <w:t xml:space="preserve"> Esta arquitectura permite el escalamiento horizontal independiente. Si el tráfico de consultas de stock (productosservice) aumenta, podemos escalar solo ese servicio sin afectar el sistema de autenticación. Además, mejora la tolerancia a fallos: si un servicio cae, el resto de la plataforma sigue operativa.</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Backend For Frontend (BFF)</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Implementado mediante el servidor Node.js/Express ubicado en la carpeta front web/backend.</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39.6875" w:hanging="360"/>
      </w:pPr>
      <w:r w:rsidDel="00000000" w:rsidR="00000000" w:rsidRPr="00000000">
        <w:rPr>
          <w:rFonts w:ascii="Arial" w:cs="Arial" w:eastAsia="Arial" w:hAnsi="Arial"/>
          <w:b w:val="1"/>
          <w:bCs w:val="1"/>
          <w:color w:val="1f1f1f"/>
          <w:rtl w:val="0"/>
        </w:rPr>
        <w:t xml:space="preserve">Justificación:</w:t>
      </w:r>
      <w:r w:rsidDel="00000000" w:rsidR="00000000" w:rsidRPr="00000000">
        <w:rPr>
          <w:rFonts w:ascii="Arial" w:cs="Arial" w:eastAsia="Arial" w:hAnsi="Arial"/>
          <w:color w:val="1f1f1f"/>
          <w:rtl w:val="0"/>
        </w:rPr>
        <w:t xml:space="preserve"> El patrón BFF actúa como un orquestador. En lugar de que el cliente web realice 6 llamadas distintas a microservicios diferentes para armar una pantalla de "Detalle de Pedido", llama al BFF una sola vez. El BFF recopila la información de los microservicios Java y entrega un objeto JSON optimizado para la vista, reduciendo la latencia y la sobrecarga de red en el cliente.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color w:val="1f1f1f"/>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color w:val="1f1f1f"/>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color w:val="1f1f1f"/>
        </w:rPr>
      </w:pPr>
      <w:r w:rsidDel="00000000" w:rsidR="00000000" w:rsidRPr="00000000">
        <w:rPr>
          <w:rtl w:val="0"/>
        </w:rPr>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Arquetipos Utilizados</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Arquetipo Maven (Spring Boot)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Todos los microservicios backend se basan en el arquetipo estándar de Spring Boot gestionado por Maven.</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39.6875" w:hanging="360"/>
      </w:pPr>
      <w:r w:rsidDel="00000000" w:rsidR="00000000" w:rsidRPr="00000000">
        <w:rPr>
          <w:rFonts w:ascii="Arial" w:cs="Arial" w:eastAsia="Arial" w:hAnsi="Arial"/>
          <w:b w:val="1"/>
          <w:bCs w:val="1"/>
          <w:color w:val="1f1f1f"/>
          <w:rtl w:val="0"/>
        </w:rPr>
        <w:t xml:space="preserve">Justificación:</w:t>
      </w:r>
      <w:r w:rsidDel="00000000" w:rsidR="00000000" w:rsidRPr="00000000">
        <w:rPr>
          <w:rFonts w:ascii="Arial" w:cs="Arial" w:eastAsia="Arial" w:hAnsi="Arial"/>
          <w:color w:val="1f1f1f"/>
          <w:rtl w:val="0"/>
        </w:rPr>
        <w:t xml:space="preserve"> Proporciona una estructura de carpetas coherente y estandarizada (src/main/java, src/main/resources). Esto facilita que cualquier desarrollador del equipo pueda entender la estructura de un microservicio nuevo en minutos, asegurando la mantenibilidad a largo plazo.</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Patrones de Diseño Implementados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Patrón Singleton (Backend)</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39.6875" w:hanging="360"/>
      </w:pPr>
      <w:r w:rsidDel="00000000" w:rsidR="00000000" w:rsidRPr="00000000">
        <w:rPr>
          <w:rFonts w:ascii="Arial" w:cs="Arial" w:eastAsia="Arial" w:hAnsi="Arial"/>
          <w:b w:val="1"/>
          <w:bCs w:val="1"/>
          <w:color w:val="1f1f1f"/>
          <w:rtl w:val="0"/>
        </w:rPr>
        <w:t xml:space="preserve">Implementación:</w:t>
      </w:r>
      <w:r w:rsidDel="00000000" w:rsidR="00000000" w:rsidRPr="00000000">
        <w:rPr>
          <w:rFonts w:ascii="Arial" w:cs="Arial" w:eastAsia="Arial" w:hAnsi="Arial"/>
          <w:color w:val="1f1f1f"/>
          <w:rtl w:val="0"/>
        </w:rPr>
        <w:t xml:space="preserve"> Se utiliza de forma nativa a través del contenedor de Inversión de Control (IoC) de Spring. Clases como AuthService, JwtService y los repositorios (@Repository) son manejados como Beans de un solo alcance.</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39.6875" w:hanging="360"/>
      </w:pPr>
      <w:r w:rsidDel="00000000" w:rsidR="00000000" w:rsidRPr="00000000">
        <w:rPr>
          <w:rFonts w:ascii="Arial" w:cs="Arial" w:eastAsia="Arial" w:hAnsi="Arial"/>
          <w:b w:val="1"/>
          <w:bCs w:val="1"/>
          <w:color w:val="1f1f1f"/>
          <w:rtl w:val="0"/>
        </w:rPr>
        <w:t xml:space="preserve">Problema que resuelve:</w:t>
      </w:r>
      <w:r w:rsidDel="00000000" w:rsidR="00000000" w:rsidRPr="00000000">
        <w:rPr>
          <w:rFonts w:ascii="Arial" w:cs="Arial" w:eastAsia="Arial" w:hAnsi="Arial"/>
          <w:color w:val="1f1f1f"/>
          <w:rtl w:val="0"/>
        </w:rPr>
        <w:t xml:space="preserve"> Evita la creación innecesaria de múltiples instancias de clases que no guardan estado de usuario, optimizando el uso de la memoria RAM del servidor.</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Patrón Dependency Injection (Inversión de Dependencias)</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39.6875" w:hanging="360"/>
      </w:pPr>
      <w:r w:rsidDel="00000000" w:rsidR="00000000" w:rsidRPr="00000000">
        <w:rPr>
          <w:rFonts w:ascii="Arial" w:cs="Arial" w:eastAsia="Arial" w:hAnsi="Arial"/>
          <w:b w:val="1"/>
          <w:bCs w:val="1"/>
          <w:color w:val="1f1f1f"/>
          <w:rtl w:val="0"/>
        </w:rPr>
        <w:t xml:space="preserve">Implementación:</w:t>
      </w:r>
      <w:r w:rsidDel="00000000" w:rsidR="00000000" w:rsidRPr="00000000">
        <w:rPr>
          <w:rFonts w:ascii="Arial" w:cs="Arial" w:eastAsia="Arial" w:hAnsi="Arial"/>
          <w:color w:val="1f1f1f"/>
          <w:rtl w:val="0"/>
        </w:rPr>
        <w:t xml:space="preserve"> Uso de la anotación @Autowired o inyección por constructor en todos los controladores y servicios.</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39.6875" w:hanging="360"/>
      </w:pPr>
      <w:r w:rsidDel="00000000" w:rsidR="00000000" w:rsidRPr="00000000">
        <w:rPr>
          <w:rFonts w:ascii="Arial" w:cs="Arial" w:eastAsia="Arial" w:hAnsi="Arial"/>
          <w:b w:val="1"/>
          <w:bCs w:val="1"/>
          <w:color w:val="1f1f1f"/>
          <w:rtl w:val="0"/>
        </w:rPr>
        <w:t xml:space="preserve">Problema que resuelve:</w:t>
      </w:r>
      <w:r w:rsidDel="00000000" w:rsidR="00000000" w:rsidRPr="00000000">
        <w:rPr>
          <w:rFonts w:ascii="Arial" w:cs="Arial" w:eastAsia="Arial" w:hAnsi="Arial"/>
          <w:color w:val="1f1f1f"/>
          <w:rtl w:val="0"/>
        </w:rPr>
        <w:t xml:space="preserve"> Elimina el acoplamiento fuerte entre clases. Facilita las pruebas unitarias permitiendo inyectar "Mocks" o simuladores de bases de datos sin modificar el código fuente de la lógica de negocio.</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4.3. Patrón Observer / State Management (Frontend Web y Móvil)</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39.6875" w:hanging="360"/>
      </w:pPr>
      <w:r w:rsidDel="00000000" w:rsidR="00000000" w:rsidRPr="00000000">
        <w:rPr>
          <w:rFonts w:ascii="Arial" w:cs="Arial" w:eastAsia="Arial" w:hAnsi="Arial"/>
          <w:b w:val="1"/>
          <w:bCs w:val="1"/>
          <w:color w:val="1f1f1f"/>
          <w:rtl w:val="0"/>
        </w:rPr>
        <w:t xml:space="preserve">Implementación:</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Web:</w:t>
      </w:r>
      <w:r w:rsidDel="00000000" w:rsidR="00000000" w:rsidRPr="00000000">
        <w:rPr>
          <w:rFonts w:ascii="Arial" w:cs="Arial" w:eastAsia="Arial" w:hAnsi="Arial"/>
          <w:color w:val="1f1f1f"/>
          <w:rtl w:val="0"/>
        </w:rPr>
        <w:t xml:space="preserve"> Uso de AuthContext y Hooks de React para propagar cambios de estado.</w:t>
      </w:r>
    </w:p>
    <w:p w:rsidR="00000000" w:rsidDel="00000000" w:rsidP="00000000" w:rsidRDefault="00000000" w:rsidRPr="00000000" w14:paraId="0000002F">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19.375" w:hanging="360"/>
      </w:pPr>
      <w:r w:rsidDel="00000000" w:rsidR="00000000" w:rsidRPr="00000000">
        <w:rPr>
          <w:rFonts w:ascii="Arial" w:cs="Arial" w:eastAsia="Arial" w:hAnsi="Arial"/>
          <w:b w:val="1"/>
          <w:bCs w:val="1"/>
          <w:color w:val="1f1f1f"/>
          <w:rtl w:val="0"/>
        </w:rPr>
        <w:t xml:space="preserve">Móvil:</w:t>
      </w:r>
      <w:r w:rsidDel="00000000" w:rsidR="00000000" w:rsidRPr="00000000">
        <w:rPr>
          <w:rFonts w:ascii="Arial" w:cs="Arial" w:eastAsia="Arial" w:hAnsi="Arial"/>
          <w:color w:val="1f1f1f"/>
          <w:rtl w:val="0"/>
        </w:rPr>
        <w:t xml:space="preserve"> Implementación de StateFlow y LiveData en los ViewModels de Kotlin.</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39.6875" w:hanging="360"/>
      </w:pPr>
      <w:r w:rsidDel="00000000" w:rsidR="00000000" w:rsidRPr="00000000">
        <w:rPr>
          <w:rFonts w:ascii="Arial" w:cs="Arial" w:eastAsia="Arial" w:hAnsi="Arial"/>
          <w:b w:val="1"/>
          <w:bCs w:val="1"/>
          <w:color w:val="1f1f1f"/>
          <w:rtl w:val="0"/>
        </w:rPr>
        <w:t xml:space="preserve">Problema que resuelve:</w:t>
      </w:r>
      <w:r w:rsidDel="00000000" w:rsidR="00000000" w:rsidRPr="00000000">
        <w:rPr>
          <w:rFonts w:ascii="Arial" w:cs="Arial" w:eastAsia="Arial" w:hAnsi="Arial"/>
          <w:color w:val="1f1f1f"/>
          <w:rtl w:val="0"/>
        </w:rPr>
        <w:t xml:space="preserve"> Permite que la interfaz de usuario "reaccione" automáticamente cuando los datos cambian. Por ejemplo, al aprobar un movimiento en el móvil, el flujo de datos notifica a la vista para que actualice la lista de pendientes sin recargar la pantalla.</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4.4. Patrón Data Transfer Object (DTO)</w:t>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39.6875" w:hanging="360"/>
      </w:pPr>
      <w:r w:rsidDel="00000000" w:rsidR="00000000" w:rsidRPr="00000000">
        <w:rPr>
          <w:rFonts w:ascii="Arial" w:cs="Arial" w:eastAsia="Arial" w:hAnsi="Arial"/>
          <w:b w:val="1"/>
          <w:bCs w:val="1"/>
          <w:color w:val="1f1f1f"/>
          <w:rtl w:val="0"/>
        </w:rPr>
        <w:t xml:space="preserve">Implementación:</w:t>
      </w:r>
      <w:r w:rsidDel="00000000" w:rsidR="00000000" w:rsidRPr="00000000">
        <w:rPr>
          <w:rFonts w:ascii="Arial" w:cs="Arial" w:eastAsia="Arial" w:hAnsi="Arial"/>
          <w:color w:val="1f1f1f"/>
          <w:rtl w:val="0"/>
        </w:rPr>
        <w:t xml:space="preserve"> Clases como LoginRequest, PedidoDTO y ProductoResponse.</w:t>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39.6875" w:hanging="360"/>
      </w:pPr>
      <w:r w:rsidDel="00000000" w:rsidR="00000000" w:rsidRPr="00000000">
        <w:rPr>
          <w:rFonts w:ascii="Arial" w:cs="Arial" w:eastAsia="Arial" w:hAnsi="Arial"/>
          <w:b w:val="1"/>
          <w:bCs w:val="1"/>
          <w:color w:val="1f1f1f"/>
          <w:rtl w:val="0"/>
        </w:rPr>
        <w:t xml:space="preserve">Problema que resuelve:</w:t>
      </w:r>
      <w:r w:rsidDel="00000000" w:rsidR="00000000" w:rsidRPr="00000000">
        <w:rPr>
          <w:rFonts w:ascii="Arial" w:cs="Arial" w:eastAsia="Arial" w:hAnsi="Arial"/>
          <w:color w:val="1f1f1f"/>
          <w:rtl w:val="0"/>
        </w:rPr>
        <w:t xml:space="preserve"> Protege la integridad de las entidades de la base de datos. Solo se envían los datos estrictamente necesarios al frontend, evitando exponer campos sensibles (como contraseñas o IDs internos) y reduciendo el tamaño de los paquetes de datos transmitidos por la red.</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Coherencia y Escalabilidad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combinación de microservicios en el backend y una estructura modular en el frontend (basada en componentes NPM y ViewModels) garantiza que el sistema pueda crecer. La arquitectura es coherente porque cada capa tiene una responsabilidad única: el backend procesa datos, el BFF orquesta, y el frontend visualiza.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