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w:t>
      </w:r>
      <w:r>
        <w:t xml:space="preserve">, independent researcher, Barcelona, Spain. Correspondence: contact@orevid.org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10⁻⁶).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and 0.178 against 0.085 for the 2,719 approvals not obvious from the disease ontology; a logistic regression on the same features without the drug-popularity feature performed similarly. Of the candidates the website's rules select in this external exam, 12.6% (95% CI 11.5–13.8%) of direct extensions and 4.2% (3.6–4.9%) of shared-genes candidates were among the unseen approvals, against about 0.07% by chance. A drug acting on a disease gene, with no other evidence, was right 1.8–3.4% of the time, no better than candidates with no evidence line at all.</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what already works in related diseases.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233057"/>
            <wp:docPr id="1" name="image1" descr="OREVID pipeline · from sources to what a disease page shows"/>
            <a:graphic xmlns:a="http://schemas.openxmlformats.org/drawingml/2006/main">
              <a:graphicData uri="http://schemas.openxmlformats.org/drawingml/2006/picture">
                <pic:pic xmlns:pic="http://schemas.openxmlformats.org/drawingml/2006/picture">
                  <pic:nvPicPr>
                    <pic:cNvPr id="1" name="image1" descr="OREVID pipeline · from sources to what a disease page shows"/>
                    <pic:cNvPicPr/>
                  </pic:nvPicPr>
                  <pic:blipFill>
                    <a:blip r:embed="rId3"/>
                    <a:stretch>
                      <a:fillRect/>
                    </a:stretch>
                  </pic:blipFill>
                  <pic:spPr>
                    <a:xfrm>
                      <a:off x="0" y="0"/>
                      <a:ext cx="5486400" cy="3233057"/>
                    </a:xfrm>
                    <a:prstGeom prst="rect">
                      <a:avLst/>
                    </a:prstGeom>
                  </pic:spPr>
                </pic:pic>
              </a:graphicData>
            </a:graphic>
          </wp:inline>
        </w:drawing>
      </w:r>
    </w:p>
    <w:p>
      <w:pPr/>
      <w:r>
        <w:t xml:space="preserve">OREVID pipeline · from sources to what a disease page shows</w:t>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10⁻⁶ («shared genes»). Every other candidate is hidden.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the website's rules, with two differences: specificity is computed over each split's test diseases instead of the 2,000 reference diseases, and the website's exclusions (other forms of an approved active moiety, contraindicated, diagnostic and veterinary drugs) are not applied.</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Wilson 95% confidence intervals, which treat candidates as independent and are therefore too narrow when several candidates of the same disease are right or wrong together. The comparisons of OREVID with TxGNN and with the popularity baseline on Recall@100 are the primary analysis; subsets, novelty scenarios, single metapaths and hit rates by evidence line are exploratory and were not corrected for multiple comparisons. The external exam uses a single training split, so its variability between seeds is not estimated.</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2506435"/>
            <wp:docPr id="2" name="image2" descr="OREVID-bench (benchmark/LEADERBOARD.md) · zero-shot: mean of 5 seeds, 335 diseases · areas: 9 areas, 345 diseases · external: 645 diseases, 3,718 approvals"/>
            <a:graphic xmlns:a="http://schemas.openxmlformats.org/drawingml/2006/main">
              <a:graphicData uri="http://schemas.openxmlformats.org/drawingml/2006/picture">
                <pic:pic xmlns:pic="http://schemas.openxmlformats.org/drawingml/2006/picture">
                  <pic:nvPicPr>
                    <pic:cNvPr id="2" name="image2" descr="OREVID-bench (benchmark/LEADERBOARD.md) · zero-shot: mean of 5 seeds, 335 diseases · areas: 9 areas, 345 diseases · external: 645 diseases, 3,718 approvals"/>
                    <pic:cNvPicPr/>
                  </pic:nvPicPr>
                  <pic:blipFill>
                    <a:blip r:embed="rId4"/>
                    <a:stretch>
                      <a:fillRect/>
                    </a:stretch>
                  </pic:blipFill>
                  <pic:spPr>
                    <a:xfrm>
                      <a:off x="0" y="0"/>
                      <a:ext cx="5486400" cy="2506435"/>
                    </a:xfrm>
                    <a:prstGeom prst="rect">
                      <a:avLst/>
                    </a:prstGeom>
                  </pic:spPr>
                </pic:pic>
              </a:graphicData>
            </a:graphic>
          </wp:inline>
        </w:drawing>
      </w:r>
    </w:p>
    <w:p>
      <w:pPr/>
      <w:r>
        <w:t xml:space="preserve">OREVID-bench (benchmark/LEADERBOARD.md) · zero-shot: mean of 5 seeds, 335 diseases · areas: 9 areas, 345 diseases · external: 645 diseases, 3,718 approvals</w:t>
      </w:r>
    </w:p>
    <w:p>
      <w:pPr/>
      <w:r>
        <w:rPr>
          <w:b/>
        </w:rPr>
        <w:t xml:space="preserve">Figure 2.</w:t>
      </w:r>
      <w:r>
        <w:t xml:space="preserve"> Recall@100 of the popularity baseline, TxGNN and OREVID on four tests. Zero-shot: mean of five seeds; areas: mean of nine areas; external exam: one training split.</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The training-labels-only variant was not run on the external exam.</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Model</w:t>
            </w:r>
          </w:p>
        </w:tc>
        <w:tc>
          <w:tcPr>
            <w:tcW w:w="1337" w:type="dxa"/>
            <w:shd w:val="clear" w:color="auto" w:fill="F2F2F2"/>
          </w:tcPr>
          <w:p>
            <w:pPr/>
            <w:r>
              <w:t xml:space="preserve">Zero-shot</w:t>
            </w:r>
          </w:p>
        </w:tc>
        <w:tc>
          <w:tcPr>
            <w:tcW w:w="1337" w:type="dxa"/>
            <w:shd w:val="clear" w:color="auto" w:fill="F2F2F2"/>
          </w:tcPr>
          <w:p>
            <w:pPr/>
            <w:r>
              <w:t xml:space="preserve">Zero-shot, hard</w:t>
            </w:r>
          </w:p>
        </w:tc>
        <w:tc>
          <w:tcPr>
            <w:tcW w:w="1337" w:type="dxa"/>
            <w:shd w:val="clear" w:color="auto" w:fill="F2F2F2"/>
          </w:tcPr>
          <w:p>
            <w:pPr/>
            <w:r>
              <w:t xml:space="preserve">Areas</w:t>
            </w:r>
          </w:p>
        </w:tc>
        <w:tc>
          <w:tcPr>
            <w:tcW w:w="1337" w:type="dxa"/>
            <w:shd w:val="clear" w:color="auto" w:fill="F2F2F2"/>
          </w:tcPr>
          <w:p>
            <w:pPr/>
            <w:r>
              <w:t xml:space="preserve">External</w:t>
            </w:r>
          </w:p>
        </w:tc>
        <w:tc>
          <w:tcPr>
            <w:tcW w:w="1337" w:type="dxa"/>
            <w:shd w:val="clear" w:color="auto" w:fill="F2F2F2"/>
          </w:tcPr>
          <w:p>
            <w:pPr/>
            <w:r>
              <w:t xml:space="preserve">External, non-obvious</w:t>
            </w:r>
          </w:p>
        </w:tc>
        <w:tc>
          <w:tcPr>
            <w:tcW w:w="1337" w:type="dxa"/>
            <w:shd w:val="clear" w:color="auto" w:fill="F2F2F2"/>
          </w:tcPr>
          <w:p>
            <w:pPr/>
            <w:r>
              <w:t xml:space="preserve">External, recent</w:t>
            </w:r>
          </w:p>
        </w:tc>
      </w:tr>
      <w:tr>
        <w:tc>
          <w:tcPr>
            <w:tcW w:w="1337" w:type="dxa"/>
          </w:tcPr>
          <w:p>
            <w:pPr/>
            <w:r>
              <w:t xml:space="preserve">Popularity baseline</w:t>
            </w:r>
          </w:p>
        </w:tc>
        <w:tc>
          <w:tcPr>
            <w:tcW w:w="1337" w:type="dxa"/>
          </w:tcPr>
          <w:p>
            <w:pPr/>
            <w:r>
              <w:t xml:space="preserve">0.358 ± 0.040</w:t>
            </w:r>
          </w:p>
        </w:tc>
        <w:tc>
          <w:tcPr>
            <w:tcW w:w="1337" w:type="dxa"/>
          </w:tcPr>
          <w:p>
            <w:pPr/>
            <w:r>
              <w:t xml:space="preserve">0.203 ± 0.031</w:t>
            </w:r>
          </w:p>
        </w:tc>
        <w:tc>
          <w:tcPr>
            <w:tcW w:w="1337" w:type="dxa"/>
          </w:tcPr>
          <w:p>
            <w:pPr/>
            <w:r>
              <w:t xml:space="preserve">0.185</w:t>
            </w:r>
          </w:p>
        </w:tc>
        <w:tc>
          <w:tcPr>
            <w:tcW w:w="1337" w:type="dxa"/>
          </w:tcPr>
          <w:p>
            <w:pPr/>
            <w:r>
              <w:t xml:space="preserve">0.130</w:t>
            </w:r>
          </w:p>
        </w:tc>
        <w:tc>
          <w:tcPr>
            <w:tcW w:w="1337" w:type="dxa"/>
          </w:tcPr>
          <w:p>
            <w:pPr/>
            <w:r>
              <w:t xml:space="preserve">0.075</w:t>
            </w:r>
          </w:p>
        </w:tc>
        <w:tc>
          <w:tcPr>
            <w:tcW w:w="1337" w:type="dxa"/>
          </w:tcPr>
          <w:p>
            <w:pPr/>
            <w:r>
              <w:t xml:space="preserve">0.097</w:t>
            </w:r>
          </w:p>
        </w:tc>
      </w:tr>
      <w:tr>
        <w:tc>
          <w:tcPr>
            <w:tcW w:w="1337" w:type="dxa"/>
          </w:tcPr>
          <w:p>
            <w:pPr/>
            <w:r>
              <w:t xml:space="preserve">TxGNN</w:t>
            </w:r>
          </w:p>
        </w:tc>
        <w:tc>
          <w:tcPr>
            <w:tcW w:w="1337" w:type="dxa"/>
          </w:tcPr>
          <w:p>
            <w:pPr/>
            <w:r>
              <w:t xml:space="preserve">0.412 ± 0.042</w:t>
            </w:r>
          </w:p>
        </w:tc>
        <w:tc>
          <w:tcPr>
            <w:tcW w:w="1337" w:type="dxa"/>
          </w:tcPr>
          <w:p>
            <w:pPr/>
            <w:r>
              <w:t xml:space="preserve">0.258 ± 0.067</w:t>
            </w:r>
          </w:p>
        </w:tc>
        <w:tc>
          <w:tcPr>
            <w:tcW w:w="1337" w:type="dxa"/>
          </w:tcPr>
          <w:p>
            <w:pPr/>
            <w:r>
              <w:t xml:space="preserve">0.237</w:t>
            </w:r>
          </w:p>
        </w:tc>
        <w:tc>
          <w:tcPr>
            <w:tcW w:w="1337" w:type="dxa"/>
          </w:tcPr>
          <w:p>
            <w:pPr/>
            <w:r>
              <w:t xml:space="preserve">0.121</w:t>
            </w:r>
          </w:p>
        </w:tc>
        <w:tc>
          <w:tcPr>
            <w:tcW w:w="1337" w:type="dxa"/>
          </w:tcPr>
          <w:p>
            <w:pPr/>
            <w:r>
              <w:t xml:space="preserve">0.085</w:t>
            </w:r>
          </w:p>
        </w:tc>
        <w:tc>
          <w:tcPr>
            <w:tcW w:w="1337" w:type="dxa"/>
          </w:tcPr>
          <w:p>
            <w:pPr/>
            <w:r>
              <w:t xml:space="preserve">0.119</w:t>
            </w:r>
          </w:p>
        </w:tc>
      </w:tr>
      <w:tr>
        <w:tc>
          <w:tcPr>
            <w:tcW w:w="1337" w:type="dxa"/>
          </w:tcPr>
          <w:p>
            <w:pPr/>
            <w:r>
              <w:t xml:space="preserve">OREVID</w:t>
            </w:r>
          </w:p>
        </w:tc>
        <w:tc>
          <w:tcPr>
            <w:tcW w:w="1337" w:type="dxa"/>
          </w:tcPr>
          <w:p>
            <w:pPr/>
            <w:r>
              <w:t xml:space="preserve">0.811 ± 0.042</w:t>
            </w:r>
          </w:p>
        </w:tc>
        <w:tc>
          <w:tcPr>
            <w:tcW w:w="1337" w:type="dxa"/>
          </w:tcPr>
          <w:p>
            <w:pPr/>
            <w:r>
              <w:t xml:space="preserve">0.539 ± 0.090</w:t>
            </w:r>
          </w:p>
        </w:tc>
        <w:tc>
          <w:tcPr>
            <w:tcW w:w="1337" w:type="dxa"/>
          </w:tcPr>
          <w:p>
            <w:pPr/>
            <w:r>
              <w:t xml:space="preserve">0.617</w:t>
            </w:r>
          </w:p>
        </w:tc>
        <w:tc>
          <w:tcPr>
            <w:tcW w:w="1337" w:type="dxa"/>
          </w:tcPr>
          <w:p>
            <w:pPr/>
            <w:r>
              <w:t xml:space="preserve">0.359</w:t>
            </w:r>
          </w:p>
        </w:tc>
        <w:tc>
          <w:tcPr>
            <w:tcW w:w="1337" w:type="dxa"/>
          </w:tcPr>
          <w:p>
            <w:pPr/>
            <w:r>
              <w:t xml:space="preserve">0.178</w:t>
            </w:r>
          </w:p>
        </w:tc>
        <w:tc>
          <w:tcPr>
            <w:tcW w:w="1337" w:type="dxa"/>
          </w:tcPr>
          <w:p>
            <w:pPr/>
            <w:r>
              <w:t xml:space="preserve">0.355</w:t>
            </w:r>
          </w:p>
        </w:tc>
      </w:tr>
      <w:tr>
        <w:tc>
          <w:tcPr>
            <w:tcW w:w="1337" w:type="dxa"/>
          </w:tcPr>
          <w:p>
            <w:pPr/>
            <w:r>
              <w:t xml:space="preserve">OREVID, training labels only</w:t>
            </w:r>
          </w:p>
        </w:tc>
        <w:tc>
          <w:tcPr>
            <w:tcW w:w="1337" w:type="dxa"/>
          </w:tcPr>
          <w:p>
            <w:pPr/>
            <w:r>
              <w:t xml:space="preserve">0.803 ± 0.035</w:t>
            </w:r>
          </w:p>
        </w:tc>
        <w:tc>
          <w:tcPr>
            <w:tcW w:w="1337" w:type="dxa"/>
          </w:tcPr>
          <w:p>
            <w:pPr/>
            <w:r>
              <w:t xml:space="preserve">0.530 ± 0.073</w:t>
            </w:r>
          </w:p>
        </w:tc>
        <w:tc>
          <w:tcPr>
            <w:tcW w:w="1337" w:type="dxa"/>
          </w:tcPr>
          <w:p>
            <w:pPr/>
            <w:r>
              <w:t xml:space="preserve">0.619</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Logistic regression without popularity</w:t>
            </w:r>
          </w:p>
        </w:tc>
        <w:tc>
          <w:tcPr>
            <w:tcW w:w="1337" w:type="dxa"/>
          </w:tcPr>
          <w:p>
            <w:pPr/>
            <w:r>
              <w:t xml:space="preserve">0.781 ± 0.044</w:t>
            </w:r>
          </w:p>
        </w:tc>
        <w:tc>
          <w:tcPr>
            <w:tcW w:w="1337" w:type="dxa"/>
          </w:tcPr>
          <w:p>
            <w:pPr/>
            <w:r>
              <w:t xml:space="preserve">0.501 ± 0.088</w:t>
            </w:r>
          </w:p>
        </w:tc>
        <w:tc>
          <w:tcPr>
            <w:tcW w:w="1337" w:type="dxa"/>
          </w:tcPr>
          <w:p>
            <w:pPr/>
            <w:r>
              <w:t xml:space="preserve">0.591</w:t>
            </w:r>
          </w:p>
        </w:tc>
        <w:tc>
          <w:tcPr>
            <w:tcW w:w="1337" w:type="dxa"/>
          </w:tcPr>
          <w:p>
            <w:pPr/>
            <w:r>
              <w:t xml:space="preserve">0.364</w:t>
            </w:r>
          </w:p>
        </w:tc>
        <w:tc>
          <w:tcPr>
            <w:tcW w:w="1337" w:type="dxa"/>
          </w:tcPr>
          <w:p>
            <w:pPr/>
            <w:r>
              <w:t xml:space="preserve">0.193</w:t>
            </w:r>
          </w:p>
        </w:tc>
        <w:tc>
          <w:tcPr>
            <w:tcW w:w="1337" w:type="dxa"/>
          </w:tcPr>
          <w:p>
            <w:pPr/>
            <w:r>
              <w:t xml:space="preserve">0.317</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1170" w:type="dxa"/>
            <w:shd w:val="clear" w:color="auto" w:fill="F2F2F2"/>
          </w:tcPr>
          <w:p>
            <w:pPr/>
            <w:r>
              <w:t xml:space="preserve">Hard TxGNN</w:t>
            </w:r>
          </w:p>
        </w:tc>
        <w:tc>
          <w:tcPr>
            <w:tcW w:w="1170" w:type="dxa"/>
            <w:shd w:val="clear" w:color="auto" w:fill="F2F2F2"/>
          </w:tcPr>
          <w:p>
            <w:pPr/>
            <w:r>
              <w:t xml:space="preserve">Hard OREVID</w:t>
            </w:r>
          </w:p>
        </w:tc>
        <w:tc>
          <w:tcPr>
            <w:tcW w:w="1170" w:type="dxa"/>
            <w:shd w:val="clear" w:color="auto" w:fill="F2F2F2"/>
          </w:tcPr>
          <w:p>
            <w:pPr/>
            <w:r>
              <w:t xml:space="preserve">AUPRC TxGNN</w:t>
            </w:r>
          </w:p>
        </w:tc>
        <w:tc>
          <w:tcPr>
            <w:tcW w:w="1170" w:type="dxa"/>
            <w:shd w:val="clear" w:color="auto" w:fill="F2F2F2"/>
          </w:tcPr>
          <w:p>
            <w:pPr/>
            <w:r>
              <w:t xml:space="preserve">AUPRC OREVID</w:t>
            </w:r>
          </w:p>
        </w:tc>
      </w:tr>
      <w:tr>
        <w:tc>
          <w:tcPr>
            <w:tcW w:w="1170"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1170" w:type="dxa"/>
          </w:tcPr>
          <w:p>
            <w:pPr/>
            <w:r>
              <w:t xml:space="preserve">0.225</w:t>
            </w:r>
          </w:p>
        </w:tc>
        <w:tc>
          <w:tcPr>
            <w:tcW w:w="1170" w:type="dxa"/>
          </w:tcPr>
          <w:p>
            <w:pPr/>
            <w:r>
              <w:t xml:space="preserve">0.892</w:t>
            </w:r>
          </w:p>
        </w:tc>
        <w:tc>
          <w:tcPr>
            <w:tcW w:w="1170" w:type="dxa"/>
          </w:tcPr>
          <w:p>
            <w:pPr/>
            <w:r>
              <w:t xml:space="preserve">0.980</w:t>
            </w:r>
          </w:p>
        </w:tc>
        <w:tc>
          <w:tcPr>
            <w:tcW w:w="1170" w:type="dxa"/>
          </w:tcPr>
          <w:p>
            <w:pPr/>
            <w:r>
              <w:t xml:space="preserve">0.995</w:t>
            </w:r>
          </w:p>
        </w:tc>
      </w:tr>
      <w:tr>
        <w:tc>
          <w:tcPr>
            <w:tcW w:w="1170"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1170" w:type="dxa"/>
          </w:tcPr>
          <w:p>
            <w:pPr/>
            <w:r>
              <w:t xml:space="preserve">0.000</w:t>
            </w:r>
          </w:p>
        </w:tc>
        <w:tc>
          <w:tcPr>
            <w:tcW w:w="1170" w:type="dxa"/>
          </w:tcPr>
          <w:p>
            <w:pPr/>
            <w:r>
              <w:t xml:space="preserve">0.468</w:t>
            </w:r>
          </w:p>
        </w:tc>
        <w:tc>
          <w:tcPr>
            <w:tcW w:w="1170" w:type="dxa"/>
          </w:tcPr>
          <w:p>
            <w:pPr/>
            <w:r>
              <w:t xml:space="preserve">0.655</w:t>
            </w:r>
          </w:p>
        </w:tc>
        <w:tc>
          <w:tcPr>
            <w:tcW w:w="1170" w:type="dxa"/>
          </w:tcPr>
          <w:p>
            <w:pPr/>
            <w:r>
              <w:t xml:space="preserve">0.968</w:t>
            </w:r>
          </w:p>
        </w:tc>
      </w:tr>
      <w:tr>
        <w:tc>
          <w:tcPr>
            <w:tcW w:w="1170"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1170" w:type="dxa"/>
          </w:tcPr>
          <w:p>
            <w:pPr/>
            <w:r>
              <w:t xml:space="preserve">0.288</w:t>
            </w:r>
          </w:p>
        </w:tc>
        <w:tc>
          <w:tcPr>
            <w:tcW w:w="1170" w:type="dxa"/>
          </w:tcPr>
          <w:p>
            <w:pPr/>
            <w:r>
              <w:t xml:space="preserve">0.449</w:t>
            </w:r>
          </w:p>
        </w:tc>
        <w:tc>
          <w:tcPr>
            <w:tcW w:w="1170" w:type="dxa"/>
          </w:tcPr>
          <w:p>
            <w:pPr/>
            <w:r>
              <w:t xml:space="preserve">0.914</w:t>
            </w:r>
          </w:p>
        </w:tc>
        <w:tc>
          <w:tcPr>
            <w:tcW w:w="1170" w:type="dxa"/>
          </w:tcPr>
          <w:p>
            <w:pPr/>
            <w:r>
              <w:t xml:space="preserve">0.909</w:t>
            </w:r>
          </w:p>
        </w:tc>
      </w:tr>
      <w:tr>
        <w:tc>
          <w:tcPr>
            <w:tcW w:w="1170"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1170" w:type="dxa"/>
          </w:tcPr>
          <w:p>
            <w:pPr/>
            <w:r>
              <w:t xml:space="preserve">0.090</w:t>
            </w:r>
          </w:p>
        </w:tc>
        <w:tc>
          <w:tcPr>
            <w:tcW w:w="1170" w:type="dxa"/>
          </w:tcPr>
          <w:p>
            <w:pPr/>
            <w:r>
              <w:t xml:space="preserve">0.335</w:t>
            </w:r>
          </w:p>
        </w:tc>
        <w:tc>
          <w:tcPr>
            <w:tcW w:w="1170" w:type="dxa"/>
          </w:tcPr>
          <w:p>
            <w:pPr/>
            <w:r>
              <w:t xml:space="preserve">0.772</w:t>
            </w:r>
          </w:p>
        </w:tc>
        <w:tc>
          <w:tcPr>
            <w:tcW w:w="1170" w:type="dxa"/>
          </w:tcPr>
          <w:p>
            <w:pPr/>
            <w:r>
              <w:t xml:space="preserve">0.783</w:t>
            </w:r>
          </w:p>
        </w:tc>
      </w:tr>
      <w:tr>
        <w:tc>
          <w:tcPr>
            <w:tcW w:w="1170"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1170" w:type="dxa"/>
          </w:tcPr>
          <w:p>
            <w:pPr/>
            <w:r>
              <w:t xml:space="preserve">0.233</w:t>
            </w:r>
          </w:p>
        </w:tc>
        <w:tc>
          <w:tcPr>
            <w:tcW w:w="1170" w:type="dxa"/>
          </w:tcPr>
          <w:p>
            <w:pPr/>
            <w:r>
              <w:t xml:space="preserve">0.576</w:t>
            </w:r>
          </w:p>
        </w:tc>
        <w:tc>
          <w:tcPr>
            <w:tcW w:w="1170" w:type="dxa"/>
          </w:tcPr>
          <w:p>
            <w:pPr/>
            <w:r>
              <w:t xml:space="preserve">0.951</w:t>
            </w:r>
          </w:p>
        </w:tc>
        <w:tc>
          <w:tcPr>
            <w:tcW w:w="1170" w:type="dxa"/>
          </w:tcPr>
          <w:p>
            <w:pPr/>
            <w:r>
              <w:t xml:space="preserve">0.949</w:t>
            </w:r>
          </w:p>
        </w:tc>
      </w:tr>
      <w:tr>
        <w:tc>
          <w:tcPr>
            <w:tcW w:w="1170"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1170" w:type="dxa"/>
          </w:tcPr>
          <w:p>
            <w:pPr/>
            <w:r>
              <w:t xml:space="preserve">0.028</w:t>
            </w:r>
          </w:p>
        </w:tc>
        <w:tc>
          <w:tcPr>
            <w:tcW w:w="1170" w:type="dxa"/>
          </w:tcPr>
          <w:p>
            <w:pPr/>
            <w:r>
              <w:t xml:space="preserve">0.236</w:t>
            </w:r>
          </w:p>
        </w:tc>
        <w:tc>
          <w:tcPr>
            <w:tcW w:w="1170" w:type="dxa"/>
          </w:tcPr>
          <w:p>
            <w:pPr/>
            <w:r>
              <w:t xml:space="preserve">0.690</w:t>
            </w:r>
          </w:p>
        </w:tc>
        <w:tc>
          <w:tcPr>
            <w:tcW w:w="1170" w:type="dxa"/>
          </w:tcPr>
          <w:p>
            <w:pPr/>
            <w:r>
              <w:t xml:space="preserve">0.727</w:t>
            </w:r>
          </w:p>
        </w:tc>
      </w:tr>
      <w:tr>
        <w:tc>
          <w:tcPr>
            <w:tcW w:w="1170"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1170" w:type="dxa"/>
          </w:tcPr>
          <w:p>
            <w:pPr/>
            <w:r>
              <w:t xml:space="preserve">0.202</w:t>
            </w:r>
          </w:p>
        </w:tc>
        <w:tc>
          <w:tcPr>
            <w:tcW w:w="1170" w:type="dxa"/>
          </w:tcPr>
          <w:p>
            <w:pPr/>
            <w:r>
              <w:t xml:space="preserve">0.349</w:t>
            </w:r>
          </w:p>
        </w:tc>
        <w:tc>
          <w:tcPr>
            <w:tcW w:w="1170" w:type="dxa"/>
          </w:tcPr>
          <w:p>
            <w:pPr/>
            <w:r>
              <w:t xml:space="preserve">0.924</w:t>
            </w:r>
          </w:p>
        </w:tc>
        <w:tc>
          <w:tcPr>
            <w:tcW w:w="1170" w:type="dxa"/>
          </w:tcPr>
          <w:p>
            <w:pPr/>
            <w:r>
              <w:t xml:space="preserve">0.871</w:t>
            </w:r>
          </w:p>
        </w:tc>
      </w:tr>
      <w:tr>
        <w:tc>
          <w:tcPr>
            <w:tcW w:w="1170"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1170" w:type="dxa"/>
          </w:tcPr>
          <w:p>
            <w:pPr/>
            <w:r>
              <w:t xml:space="preserve">0.011</w:t>
            </w:r>
          </w:p>
        </w:tc>
        <w:tc>
          <w:tcPr>
            <w:tcW w:w="1170" w:type="dxa"/>
          </w:tcPr>
          <w:p>
            <w:pPr/>
            <w:r>
              <w:t xml:space="preserve">0.409</w:t>
            </w:r>
          </w:p>
        </w:tc>
        <w:tc>
          <w:tcPr>
            <w:tcW w:w="1170" w:type="dxa"/>
          </w:tcPr>
          <w:p>
            <w:pPr/>
            <w:r>
              <w:t xml:space="preserve">0.925</w:t>
            </w:r>
          </w:p>
        </w:tc>
        <w:tc>
          <w:tcPr>
            <w:tcW w:w="1170" w:type="dxa"/>
          </w:tcPr>
          <w:p>
            <w:pPr/>
            <w:r>
              <w:t xml:space="preserve">0.915</w:t>
            </w:r>
          </w:p>
        </w:tc>
      </w:tr>
      <w:tr>
        <w:tc>
          <w:tcPr>
            <w:tcW w:w="1170"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1170" w:type="dxa"/>
          </w:tcPr>
          <w:p>
            <w:pPr/>
            <w:r>
              <w:t xml:space="preserve">0.192</w:t>
            </w:r>
          </w:p>
        </w:tc>
        <w:tc>
          <w:tcPr>
            <w:tcW w:w="1170" w:type="dxa"/>
          </w:tcPr>
          <w:p>
            <w:pPr/>
            <w:r>
              <w:t xml:space="preserve">0.699</w:t>
            </w:r>
          </w:p>
        </w:tc>
        <w:tc>
          <w:tcPr>
            <w:tcW w:w="1170" w:type="dxa"/>
          </w:tcPr>
          <w:p>
            <w:pPr/>
            <w:r>
              <w:t xml:space="preserve">0.984</w:t>
            </w:r>
          </w:p>
        </w:tc>
        <w:tc>
          <w:tcPr>
            <w:tcW w:w="1170" w:type="dxa"/>
          </w:tcPr>
          <w:p>
            <w:pPr/>
            <w:r>
              <w:t xml:space="preserve">0.952</w:t>
            </w:r>
          </w:p>
        </w:tc>
      </w:tr>
      <w:tr>
        <w:tc>
          <w:tcPr>
            <w:tcW w:w="1170"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1170" w:type="dxa"/>
          </w:tcPr>
          <w:p>
            <w:pPr/>
            <w:r>
              <w:t xml:space="preserve">0.141</w:t>
            </w:r>
          </w:p>
        </w:tc>
        <w:tc>
          <w:tcPr>
            <w:tcW w:w="1170" w:type="dxa"/>
          </w:tcPr>
          <w:p>
            <w:pPr/>
            <w:r>
              <w:t xml:space="preserve">0.490</w:t>
            </w:r>
          </w:p>
        </w:tc>
        <w:tc>
          <w:tcPr>
            <w:tcW w:w="1170" w:type="dxa"/>
          </w:tcPr>
          <w:p>
            <w:pPr/>
            <w:r>
              <w:t xml:space="preserve">0.866</w:t>
            </w:r>
          </w:p>
        </w:tc>
        <w:tc>
          <w:tcPr>
            <w:tcW w:w="1170" w:type="dxa"/>
          </w:tcPr>
          <w:p>
            <w:pPr/>
            <w:r>
              <w:t xml:space="preserve">0.897</w:t>
            </w:r>
          </w:p>
        </w:tc>
      </w:tr>
      <w:tr>
        <w:tc>
          <w:tcPr>
            <w:tcW w:w="1170"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1170" w:type="dxa"/>
          </w:tcPr>
          <w:p>
            <w:pPr/>
            <w:r>
              <w:t xml:space="preserve">0.173</w:t>
            </w:r>
          </w:p>
        </w:tc>
        <w:tc>
          <w:tcPr>
            <w:tcW w:w="1170" w:type="dxa"/>
          </w:tcPr>
          <w:p>
            <w:pPr/>
            <w:r>
              <w:t xml:space="preserve">0.479</w:t>
            </w:r>
          </w:p>
        </w:tc>
        <w:tc>
          <w:tcPr>
            <w:tcW w:w="1170" w:type="dxa"/>
          </w:tcPr>
          <w:p>
            <w:pPr/>
            <w:r>
              <w:t xml:space="preserve">–</w:t>
            </w:r>
          </w:p>
        </w:tc>
        <w:tc>
          <w:tcPr>
            <w:tcW w:w="1170" w:type="dxa"/>
          </w:tcPr>
          <w:p>
            <w:pPr/>
            <w:r>
              <w:t xml:space="preserve">–</w:t>
            </w:r>
          </w:p>
        </w:tc>
      </w:tr>
    </w:tbl>
    <w:p>
      <w:pPr/>
      <w:r>
        <w:drawing>
          <wp:inline distT="0" distB="0" distL="0" distR="0">
            <wp:extent cx="5486400" cy="3878035"/>
            <wp:docPr id="3" name="image3" descr="OREVID-bench results.json files · 5 zero-shot seeds (335 diseases), 9 areas (345 diseases)"/>
            <a:graphic xmlns:a="http://schemas.openxmlformats.org/drawingml/2006/main">
              <a:graphicData uri="http://schemas.openxmlformats.org/drawingml/2006/picture">
                <pic:pic xmlns:pic="http://schemas.openxmlformats.org/drawingml/2006/picture">
                  <pic:nvPicPr>
                    <pic:cNvPr id="3" name="image3" descr="OREVID-bench results.json files · 5 zero-shot seeds (335 diseases), 9 areas (345 diseases)"/>
                    <pic:cNvPicPr/>
                  </pic:nvPicPr>
                  <pic:blipFill>
                    <a:blip r:embed="rId5"/>
                    <a:stretch>
                      <a:fillRect/>
                    </a:stretch>
                  </pic:blipFill>
                  <pic:spPr>
                    <a:xfrm>
                      <a:off x="0" y="0"/>
                      <a:ext cx="5486400" cy="3878035"/>
                    </a:xfrm>
                    <a:prstGeom prst="rect">
                      <a:avLst/>
                    </a:prstGeom>
                  </pic:spPr>
                </pic:pic>
              </a:graphicData>
            </a:graphic>
          </wp:inline>
        </w:drawing>
      </w:r>
    </w:p>
    <w:p>
      <w:pPr/>
      <w:r>
        <w:t xml:space="preserve">OREVID-bench results.json files · 5 zero-shot seeds (335 diseases), 9 areas (345 diseases)</w:t>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(1.5–2.5%); shared genes with a disease that has many associated genes, where the overlap did not reach p &lt; 10⁻⁶, were correct 0–2.5% of the time. When at least 3 shared genes were specific, shared-genes candidates were correct 32–33% of the time in hidden-treatment tests and 4.8% (95% CI 4.1–5.6%) in the external exam, against 9–11% and 2.7% (1.9–3.8%) otherwise.</w:t>
      </w:r>
    </w:p>
    <w:p>
      <w:pPr/>
      <w:r>
        <w:drawing>
          <wp:inline distT="0" distB="0" distL="0" distR="0">
            <wp:extent cx="5486400" cy="3233057"/>
            <wp:docPr id="4" name="image4" descr="evaluation/evidence.py · top 25 per disease · numbers in Supplementary Table S3"/>
            <a:graphic xmlns:a="http://schemas.openxmlformats.org/drawingml/2006/main">
              <a:graphicData uri="http://schemas.openxmlformats.org/drawingml/2006/picture">
                <pic:pic xmlns:pic="http://schemas.openxmlformats.org/drawingml/2006/picture">
                  <pic:nvPicPr>
                    <pic:cNvPr id="4" name="image4" descr="evaluation/evidence.py · top 25 per disease · numbers in Supplementary Table S3"/>
                    <pic:cNvPicPr/>
                  </pic:nvPicPr>
                  <pic:blipFill>
                    <a:blip r:embed="rId6"/>
                    <a:stretch>
                      <a:fillRect/>
                    </a:stretch>
                  </pic:blipFill>
                  <pic:spPr>
                    <a:xfrm>
                      <a:off x="0" y="0"/>
                      <a:ext cx="5486400" cy="3233057"/>
                    </a:xfrm>
                    <a:prstGeom prst="rect">
                      <a:avLst/>
                    </a:prstGeom>
                  </pic:spPr>
                </pic:pic>
              </a:graphicData>
            </a:graphic>
          </wp:inline>
        </w:drawing>
      </w:r>
    </w:p>
    <w:p>
      <w:pPr/>
      <w:r>
        <w:t xml:space="preserve">evaluation/evidence.py · top 25 per disease · numbers in Supplementary Table S3</w:t>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Wilson intervals ignore the clustering of candidates within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1.7 × 10⁻⁷). Aripiprazole ranked sixth for Tourette syndrome, through autism spectrum disorder (75 shared genes). Pasireotide ranked 12th for acromegaly, through Cushing syndrome (AIP, GNAS and POMC; p = 4.6 × 10⁻⁹).</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1,228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5.2 shared-genes candidates; 38% of diseases show neither (49%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and the prospective test below come closer to new uses. Publishing these rates next to the optimistic hidden-treatment figures, and hiding candidates whose evidence does not beat chance, is meant to let users calibrate their trust.</w:t>
      </w:r>
    </w:p>
    <w:p>
      <w:pPr/>
      <w:r>
        <w:t xml:space="preserve">No knowledge-graph embedding baseline (TransE, ComplEx or RotatE [5–7]) was run. Training and tuning such models on each of the 14 splits was beyond the compute available to this project, in which TxGNN alone took about 22 GPU hours. OREVID-bench provides the splits, tasks and evaluation script so that such models can be added, and submissions are welcome. Until then, the comparison covers one graph neural network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it also uses one training split, so its variability between seeds is unknown. The disease areas were used while designing both the model and the evidence rules, so they are not an untouched test set, and the threshold that defines the hard subset (half of the drugs already in a neighbour) was set by hand. Confidence intervals for hit rates ignore the clustering of candidates within diseases (those for Recall@100 resample whole diseases). Open Targets supplies gene–disease features as well as the external labels; its drug and literature evidence is excluded from the features, but a run without any Open Targets feature has not yet been done. Errors in the sources propagate, including wrong gene–disease associations and comorbidities that read as shared biology.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Competing interests.</w:t>
      </w:r>
      <w:r>
        <w:t xml:space="preserve"> None declared. The work was done in a personal capacity and is independent of the author's employer.</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Relation (source)</w:t>
            </w:r>
          </w:p>
        </w:tc>
        <w:tc>
          <w:tcPr>
            <w:tcW w:w="1872" w:type="dxa"/>
            <w:shd w:val="clear" w:color="auto" w:fill="F2F2F2"/>
          </w:tcPr>
          <w:p>
            <w:pPr/>
            <w:r>
              <w:t xml:space="preserve">Model features</w:t>
            </w:r>
          </w:p>
        </w:tc>
        <w:tc>
          <w:tcPr>
            <w:tcW w:w="1872" w:type="dxa"/>
            <w:shd w:val="clear" w:color="auto" w:fill="F2F2F2"/>
          </w:tcPr>
          <w:p>
            <w:pPr/>
            <w:r>
              <w:t xml:space="preserve">Evidence lines and warnings</w:t>
            </w:r>
          </w:p>
        </w:tc>
        <w:tc>
          <w:tcPr>
            <w:tcW w:w="1872" w:type="dxa"/>
            <w:shd w:val="clear" w:color="auto" w:fill="F2F2F2"/>
          </w:tcPr>
          <w:p>
            <w:pPr/>
            <w:r>
              <w:t xml:space="preserve">Display only</w:t>
            </w:r>
          </w:p>
        </w:tc>
        <w:tc>
          <w:tcPr>
            <w:tcW w:w="1872" w:type="dxa"/>
            <w:shd w:val="clear" w:color="auto" w:fill="F2F2F2"/>
          </w:tcPr>
          <w:p>
            <w:pPr/>
            <w:r>
              <w:t xml:space="preserve">Evaluation labels</w:t>
            </w:r>
          </w:p>
        </w:tc>
      </w:tr>
      <w:tr>
        <w:tc>
          <w:tcPr>
            <w:tcW w:w="1872" w:type="dxa"/>
          </w:tcPr>
          <w:p>
            <w:pPr/>
            <w:r>
              <w:t xml:space="preserve">Indications (PrimeKG)</w:t>
            </w:r>
          </w:p>
        </w:tc>
        <w:tc>
          <w:tcPr>
            <w:tcW w:w="1872" w:type="dxa"/>
          </w:tcPr>
          <w:p>
            <w:pPr/>
            <w:r>
              <w:t xml:space="preserve">yes (training split only)</w:t>
            </w:r>
          </w:p>
        </w:tc>
        <w:tc>
          <w:tcPr>
            <w:tcW w:w="1872" w:type="dxa"/>
          </w:tcPr>
          <w:p>
            <w:pPr/>
            <w:r>
              <w:t xml:space="preserve">direct extension, shared genes</w:t>
            </w:r>
          </w:p>
        </w:tc>
        <w:tc>
          <w:tcPr>
            <w:tcW w:w="1872" w:type="dxa"/>
          </w:tcPr>
          <w:p>
            <w:pPr/>
          </w:p>
        </w:tc>
        <w:tc>
          <w:tcPr>
            <w:tcW w:w="1872" w:type="dxa"/>
          </w:tcPr>
          <w:p>
            <w:pPr/>
            <w:r>
              <w:t xml:space="preserve">yes</w:t>
            </w:r>
          </w:p>
        </w:tc>
      </w:tr>
      <w:tr>
        <w:tc>
          <w:tcPr>
            <w:tcW w:w="1872" w:type="dxa"/>
          </w:tcPr>
          <w:p>
            <w:pPr/>
            <w:r>
              <w:t xml:space="preserve">Contraindications, off-label uses (PrimeKG)</w:t>
            </w:r>
          </w:p>
        </w:tc>
        <w:tc>
          <w:tcPr>
            <w:tcW w:w="1872" w:type="dxa"/>
          </w:tcPr>
          <w:p>
            <w:pPr/>
            <w:r>
              <w:t xml:space="preserve">yes</w:t>
            </w:r>
          </w:p>
        </w:tc>
        <w:tc>
          <w:tcPr>
            <w:tcW w:w="1872" w:type="dxa"/>
          </w:tcPr>
          <w:p>
            <w:pPr/>
            <w:r>
              <w:t xml:space="preserve">risk warning</w:t>
            </w:r>
          </w:p>
        </w:tc>
        <w:tc>
          <w:tcPr>
            <w:tcW w:w="1872" w:type="dxa"/>
          </w:tcPr>
          <w:p>
            <w:pPr/>
          </w:p>
        </w:tc>
        <w:tc>
          <w:tcPr>
            <w:tcW w:w="1872" w:type="dxa"/>
          </w:tcPr>
          <w:p>
            <w:pPr/>
          </w:p>
        </w:tc>
      </w:tr>
      <w:tr>
        <w:tc>
          <w:tcPr>
            <w:tcW w:w="1872" w:type="dxa"/>
          </w:tcPr>
          <w:p>
            <w:pPr/>
            <w:r>
              <w:t xml:space="preserve">Drug targets (DrugBank; ChEMBL mechanisms via Open Targets)</w:t>
            </w:r>
          </w:p>
        </w:tc>
        <w:tc>
          <w:tcPr>
            <w:tcW w:w="1872" w:type="dxa"/>
          </w:tcPr>
          <w:p>
            <w:pPr/>
            <w:r>
              <w:t xml:space="preserve">yes</w:t>
            </w:r>
          </w:p>
        </w:tc>
        <w:tc>
          <w:tcPr>
            <w:tcW w:w="1872" w:type="dxa"/>
          </w:tcPr>
          <w:p>
            <w:pPr/>
          </w:p>
        </w:tc>
        <w:tc>
          <w:tcPr>
            <w:tcW w:w="1872" w:type="dxa"/>
          </w:tcPr>
          <w:p>
            <w:pPr/>
            <w:r>
              <w:t xml:space="preserve">targets on each page</w:t>
            </w:r>
          </w:p>
        </w:tc>
        <w:tc>
          <w:tcPr>
            <w:tcW w:w="1872" w:type="dxa"/>
          </w:tcPr>
          <w:p>
            <w:pPr/>
          </w:p>
        </w:tc>
      </w:tr>
      <w:tr>
        <w:tc>
          <w:tcPr>
            <w:tcW w:w="1872" w:type="dxa"/>
          </w:tcPr>
          <w:p>
            <w:pPr/>
            <w:r>
              <w:t xml:space="preserve">Gene–disease associations (PrimeKG; Open Targets by evidence type)</w:t>
            </w:r>
          </w:p>
        </w:tc>
        <w:tc>
          <w:tcPr>
            <w:tcW w:w="1872" w:type="dxa"/>
          </w:tcPr>
          <w:p>
            <w:pPr/>
            <w:r>
              <w:t xml:space="preserve">yes</w:t>
            </w:r>
          </w:p>
        </w:tc>
        <w:tc>
          <w:tcPr>
            <w:tcW w:w="1872" w:type="dxa"/>
          </w:tcPr>
          <w:p>
            <w:pPr/>
            <w:r>
              <w:t xml:space="preserve">shared genes</w:t>
            </w:r>
          </w:p>
        </w:tc>
        <w:tc>
          <w:tcPr>
            <w:tcW w:w="1872" w:type="dxa"/>
          </w:tcPr>
          <w:p>
            <w:pPr/>
          </w:p>
        </w:tc>
        <w:tc>
          <w:tcPr>
            <w:tcW w:w="1872" w:type="dxa"/>
          </w:tcPr>
          <w:p>
            <w:pPr/>
          </w:p>
        </w:tc>
      </w:tr>
      <w:tr>
        <w:tc>
          <w:tcPr>
            <w:tcW w:w="1872" w:type="dxa"/>
          </w:tcPr>
          <w:p>
            <w:pPr/>
            <w:r>
              <w:t xml:space="preserve">Protein interactions (STRING 12.5, ≥ 700)</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Adverse effects (SIDER), phenotypes (HPO), pathways (Reactome), processes (GO), drug interactions</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Disease ontology (MONDO)</w:t>
            </w:r>
          </w:p>
        </w:tc>
        <w:tc>
          <w:tcPr>
            <w:tcW w:w="1872" w:type="dxa"/>
          </w:tcPr>
          <w:p>
            <w:pPr/>
            <w:r>
              <w:t xml:space="preserve">yes</w:t>
            </w:r>
          </w:p>
        </w:tc>
        <w:tc>
          <w:tcPr>
            <w:tcW w:w="1872" w:type="dxa"/>
          </w:tcPr>
          <w:p>
            <w:pPr/>
            <w:r>
              <w:t xml:space="preserve">direct extension</w:t>
            </w:r>
          </w:p>
        </w:tc>
        <w:tc>
          <w:tcPr>
            <w:tcW w:w="1872" w:type="dxa"/>
          </w:tcPr>
          <w:p>
            <w:pPr/>
          </w:p>
        </w:tc>
        <w:tc>
          <w:tcPr>
            <w:tcW w:w="1872" w:type="dxa"/>
          </w:tcPr>
          <w:p>
            <w:pPr/>
          </w:p>
        </w:tc>
      </w:tr>
      <w:tr>
        <w:tc>
          <w:tcPr>
            <w:tcW w:w="1872" w:type="dxa"/>
          </w:tcPr>
          <w:p>
            <w:pPr/>
            <w:r>
              <w:t xml:space="preserve">Clinical trials and stage (Open Targets)</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Approvals (Open Targets)</w:t>
            </w:r>
          </w:p>
        </w:tc>
        <w:tc>
          <w:tcPr>
            <w:tcW w:w="1872" w:type="dxa"/>
          </w:tcPr>
          <w:p>
            <w:pPr/>
            <w:r>
              <w:t xml:space="preserve">no</w:t>
            </w:r>
          </w:p>
        </w:tc>
        <w:tc>
          <w:tcPr>
            <w:tcW w:w="1872" w:type="dxa"/>
          </w:tcPr>
          <w:p>
            <w:pPr/>
            <w:r>
              <w:t xml:space="preserve">exclusion when confirmed</w:t>
            </w:r>
          </w:p>
        </w:tc>
        <w:tc>
          <w:tcPr>
            <w:tcW w:w="1872" w:type="dxa"/>
          </w:tcPr>
          <w:p>
            <w:pPr/>
            <w:r>
              <w:t xml:space="preserve">yes</w:t>
            </w:r>
          </w:p>
        </w:tc>
        <w:tc>
          <w:tcPr>
            <w:tcW w:w="1872" w:type="dxa"/>
          </w:tcPr>
          <w:p>
            <w:pPr/>
            <w:r>
              <w:t xml:space="preserve">external exam</w:t>
            </w:r>
          </w:p>
        </w:tc>
      </w:tr>
      <w:tr>
        <w:tc>
          <w:tcPr>
            <w:tcW w:w="1872" w:type="dxa"/>
          </w:tcPr>
          <w:p>
            <w:pPr/>
            <w:r>
              <w:t xml:space="preserve">Literature relations (PubTator3)</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Drug–gene effects (CTD)</w:t>
            </w:r>
          </w:p>
        </w:tc>
        <w:tc>
          <w:tcPr>
            <w:tcW w:w="1872" w:type="dxa"/>
          </w:tcPr>
          <w:p>
            <w:pPr/>
            <w:r>
              <w:t xml:space="preserve">no (removed; no effect in an ablation)</w:t>
            </w:r>
          </w:p>
        </w:tc>
        <w:tc>
          <w:tcPr>
            <w:tcW w:w="1872" w:type="dxa"/>
          </w:tcPr>
          <w:p>
            <w:pPr/>
          </w:p>
        </w:tc>
        <w:tc>
          <w:tcPr>
            <w:tcW w:w="1872" w:type="dxa"/>
          </w:tcPr>
          <w:p>
            <w:pPr/>
          </w:p>
        </w:tc>
        <w:tc>
          <w:tcPr>
            <w:tcW w:w="1872"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Metapath</w:t>
            </w:r>
          </w:p>
        </w:tc>
        <w:tc>
          <w:tcPr>
            <w:tcW w:w="3120" w:type="dxa"/>
            <w:shd w:val="clear" w:color="auto" w:fill="F2F2F2"/>
          </w:tcPr>
          <w:p>
            <w:pPr/>
            <w:r>
              <w:t xml:space="preserve">Meaning</w:t>
            </w:r>
          </w:p>
        </w:tc>
      </w:tr>
      <w:tr>
        <w:tc>
          <w:tcPr>
            <w:tcW w:w="3120" w:type="dxa"/>
          </w:tcPr>
          <w:p>
            <w:pPr/>
            <w:r>
              <w:t xml:space="preserve">1</w:t>
            </w:r>
          </w:p>
        </w:tc>
        <w:tc>
          <w:tcPr>
            <w:tcW w:w="3120" w:type="dxa"/>
          </w:tcPr>
          <w:p>
            <w:pPr/>
            <w:r>
              <w:t xml:space="preserve">target</w:t>
            </w:r>
          </w:p>
        </w:tc>
        <w:tc>
          <w:tcPr>
            <w:tcW w:w="3120" w:type="dxa"/>
          </w:tcPr>
          <w:p>
            <w:pPr/>
            <w:r>
              <w:t xml:space="preserve">a DrugBank target of the drug is a disease gene</w:t>
            </w:r>
          </w:p>
        </w:tc>
      </w:tr>
      <w:tr>
        <w:tc>
          <w:tcPr>
            <w:tcW w:w="3120" w:type="dxa"/>
          </w:tcPr>
          <w:p>
            <w:pPr/>
            <w:r>
              <w:t xml:space="preserve">2</w:t>
            </w:r>
          </w:p>
        </w:tc>
        <w:tc>
          <w:tcPr>
            <w:tcW w:w="3120" w:type="dxa"/>
          </w:tcPr>
          <w:p>
            <w:pPr/>
            <w:r>
              <w:t xml:space="preserve">target (all)</w:t>
            </w:r>
          </w:p>
        </w:tc>
        <w:tc>
          <w:tcPr>
            <w:tcW w:w="3120" w:type="dxa"/>
          </w:tcPr>
          <w:p>
            <w:pPr/>
            <w:r>
              <w:t xml:space="preserve">a target, enzyme or transporter of the drug is a disease gene</w:t>
            </w:r>
          </w:p>
        </w:tc>
      </w:tr>
      <w:tr>
        <w:tc>
          <w:tcPr>
            <w:tcW w:w="3120" w:type="dxa"/>
          </w:tcPr>
          <w:p>
            <w:pPr/>
            <w:r>
              <w:t xml:space="preserve">3</w:t>
            </w:r>
          </w:p>
        </w:tc>
        <w:tc>
          <w:tcPr>
            <w:tcW w:w="3120" w:type="dxa"/>
          </w:tcPr>
          <w:p>
            <w:pPr/>
            <w:r>
              <w:t xml:space="preserve">interaction</w:t>
            </w:r>
          </w:p>
        </w:tc>
        <w:tc>
          <w:tcPr>
            <w:tcW w:w="3120" w:type="dxa"/>
          </w:tcPr>
          <w:p>
            <w:pPr/>
            <w:r>
              <w:t xml:space="preserve">a DrugBank target interacts with a disease gene</w:t>
            </w:r>
          </w:p>
        </w:tc>
      </w:tr>
      <w:tr>
        <w:tc>
          <w:tcPr>
            <w:tcW w:w="3120" w:type="dxa"/>
          </w:tcPr>
          <w:p>
            <w:pPr/>
            <w:r>
              <w:t xml:space="preserve">4</w:t>
            </w:r>
          </w:p>
        </w:tc>
        <w:tc>
          <w:tcPr>
            <w:tcW w:w="3120" w:type="dxa"/>
          </w:tcPr>
          <w:p>
            <w:pPr/>
            <w:r>
              <w:t xml:space="preserve">similar</w:t>
            </w:r>
          </w:p>
        </w:tc>
        <w:tc>
          <w:tcPr>
            <w:tcW w:w="3120" w:type="dxa"/>
          </w:tcPr>
          <w:p>
            <w:pPr/>
            <w:r>
              <w:t xml:space="preserve">indicated for a disease that shares genes</w:t>
            </w:r>
          </w:p>
        </w:tc>
      </w:tr>
      <w:tr>
        <w:tc>
          <w:tcPr>
            <w:tcW w:w="3120" w:type="dxa"/>
          </w:tcPr>
          <w:p>
            <w:pPr/>
            <w:r>
              <w:t xml:space="preserve">5</w:t>
            </w:r>
          </w:p>
        </w:tc>
        <w:tc>
          <w:tcPr>
            <w:tcW w:w="3120" w:type="dxa"/>
          </w:tcPr>
          <w:p>
            <w:pPr/>
            <w:r>
              <w:t xml:space="preserve">similar phenotype</w:t>
            </w:r>
          </w:p>
        </w:tc>
        <w:tc>
          <w:tcPr>
            <w:tcW w:w="3120" w:type="dxa"/>
          </w:tcPr>
          <w:p>
            <w:pPr/>
            <w:r>
              <w:t xml:space="preserve">indicated for a disease that shares phenotypes</w:t>
            </w:r>
          </w:p>
        </w:tc>
      </w:tr>
      <w:tr>
        <w:tc>
          <w:tcPr>
            <w:tcW w:w="3120" w:type="dxa"/>
          </w:tcPr>
          <w:p>
            <w:pPr/>
            <w:r>
              <w:t xml:space="preserve">6</w:t>
            </w:r>
          </w:p>
        </w:tc>
        <w:tc>
          <w:tcPr>
            <w:tcW w:w="3120" w:type="dxa"/>
          </w:tcPr>
          <w:p>
            <w:pPr/>
            <w:r>
              <w:t xml:space="preserve">ontology</w:t>
            </w:r>
          </w:p>
        </w:tc>
        <w:tc>
          <w:tcPr>
            <w:tcW w:w="3120" w:type="dxa"/>
          </w:tcPr>
          <w:p>
            <w:pPr/>
            <w:r>
              <w:t xml:space="preserve">indicated for a neighbouring disease in the ontology</w:t>
            </w:r>
          </w:p>
        </w:tc>
      </w:tr>
      <w:tr>
        <w:tc>
          <w:tcPr>
            <w:tcW w:w="3120" w:type="dxa"/>
          </w:tcPr>
          <w:p>
            <w:pPr/>
            <w:r>
              <w:t xml:space="preserve">7</w:t>
            </w:r>
          </w:p>
        </w:tc>
        <w:tc>
          <w:tcPr>
            <w:tcW w:w="3120" w:type="dxa"/>
          </w:tcPr>
          <w:p>
            <w:pPr/>
            <w:r>
              <w:t xml:space="preserve">contra similar</w:t>
            </w:r>
          </w:p>
        </w:tc>
        <w:tc>
          <w:tcPr>
            <w:tcW w:w="3120" w:type="dxa"/>
          </w:tcPr>
          <w:p>
            <w:pPr/>
            <w:r>
              <w:t xml:space="preserve">contraindicated in a disease that shares genes</w:t>
            </w:r>
          </w:p>
        </w:tc>
      </w:tr>
      <w:tr>
        <w:tc>
          <w:tcPr>
            <w:tcW w:w="3120" w:type="dxa"/>
          </w:tcPr>
          <w:p>
            <w:pPr/>
            <w:r>
              <w:t xml:space="preserve">8</w:t>
            </w:r>
          </w:p>
        </w:tc>
        <w:tc>
          <w:tcPr>
            <w:tcW w:w="3120" w:type="dxa"/>
          </w:tcPr>
          <w:p>
            <w:pPr/>
            <w:r>
              <w:t xml:space="preserve">off-label similar</w:t>
            </w:r>
          </w:p>
        </w:tc>
        <w:tc>
          <w:tcPr>
            <w:tcW w:w="3120" w:type="dxa"/>
          </w:tcPr>
          <w:p>
            <w:pPr/>
            <w:r>
              <w:t xml:space="preserve">off-label use in a disease that shares genes</w:t>
            </w:r>
          </w:p>
        </w:tc>
      </w:tr>
      <w:tr>
        <w:tc>
          <w:tcPr>
            <w:tcW w:w="3120" w:type="dxa"/>
          </w:tcPr>
          <w:p>
            <w:pPr/>
            <w:r>
              <w:t xml:space="preserve">9</w:t>
            </w:r>
          </w:p>
        </w:tc>
        <w:tc>
          <w:tcPr>
            <w:tcW w:w="3120" w:type="dxa"/>
          </w:tcPr>
          <w:p>
            <w:pPr/>
            <w:r>
              <w:t xml:space="preserve">off-label ontology</w:t>
            </w:r>
          </w:p>
        </w:tc>
        <w:tc>
          <w:tcPr>
            <w:tcW w:w="3120" w:type="dxa"/>
          </w:tcPr>
          <w:p>
            <w:pPr/>
            <w:r>
              <w:t xml:space="preserve">off-label use in a neighbouring disease</w:t>
            </w:r>
          </w:p>
        </w:tc>
      </w:tr>
      <w:tr>
        <w:tc>
          <w:tcPr>
            <w:tcW w:w="3120" w:type="dxa"/>
          </w:tcPr>
          <w:p>
            <w:pPr/>
            <w:r>
              <w:t xml:space="preserve">10</w:t>
            </w:r>
          </w:p>
        </w:tc>
        <w:tc>
          <w:tcPr>
            <w:tcW w:w="3120" w:type="dxa"/>
          </w:tcPr>
          <w:p>
            <w:pPr/>
            <w:r>
              <w:t xml:space="preserve">effect = phenotype</w:t>
            </w:r>
          </w:p>
        </w:tc>
        <w:tc>
          <w:tcPr>
            <w:tcW w:w="3120" w:type="dxa"/>
          </w:tcPr>
          <w:p>
            <w:pPr/>
            <w:r>
              <w:t xml:space="preserve">the drug's adverse effects are phenotypes of the disease</w:t>
            </w:r>
          </w:p>
        </w:tc>
      </w:tr>
      <w:tr>
        <w:tc>
          <w:tcPr>
            <w:tcW w:w="3120" w:type="dxa"/>
          </w:tcPr>
          <w:p>
            <w:pPr/>
            <w:r>
              <w:t xml:space="preserve">11</w:t>
            </w:r>
          </w:p>
        </w:tc>
        <w:tc>
          <w:tcPr>
            <w:tcW w:w="3120" w:type="dxa"/>
          </w:tcPr>
          <w:p>
            <w:pPr/>
            <w:r>
              <w:t xml:space="preserve">target → phenotype</w:t>
            </w:r>
          </w:p>
        </w:tc>
        <w:tc>
          <w:tcPr>
            <w:tcW w:w="3120" w:type="dxa"/>
          </w:tcPr>
          <w:p>
            <w:pPr/>
            <w:r>
              <w:t xml:space="preserve">a target is associated with a phenotype of the disease</w:t>
            </w:r>
          </w:p>
        </w:tc>
      </w:tr>
      <w:tr>
        <w:tc>
          <w:tcPr>
            <w:tcW w:w="3120" w:type="dxa"/>
          </w:tcPr>
          <w:p>
            <w:pPr/>
            <w:r>
              <w:t xml:space="preserve">12</w:t>
            </w:r>
          </w:p>
        </w:tc>
        <w:tc>
          <w:tcPr>
            <w:tcW w:w="3120" w:type="dxa"/>
          </w:tcPr>
          <w:p>
            <w:pPr/>
            <w:r>
              <w:t xml:space="preserve">target → pathway</w:t>
            </w:r>
          </w:p>
        </w:tc>
        <w:tc>
          <w:tcPr>
            <w:tcW w:w="3120" w:type="dxa"/>
          </w:tcPr>
          <w:p>
            <w:pPr/>
            <w:r>
              <w:t xml:space="preserve">a target is in the same Reactome pathway as a disease gene</w:t>
            </w:r>
          </w:p>
        </w:tc>
      </w:tr>
      <w:tr>
        <w:tc>
          <w:tcPr>
            <w:tcW w:w="3120" w:type="dxa"/>
          </w:tcPr>
          <w:p>
            <w:pPr/>
            <w:r>
              <w:t xml:space="preserve">13</w:t>
            </w:r>
          </w:p>
        </w:tc>
        <w:tc>
          <w:tcPr>
            <w:tcW w:w="3120" w:type="dxa"/>
          </w:tcPr>
          <w:p>
            <w:pPr/>
            <w:r>
              <w:t xml:space="preserve">target → process</w:t>
            </w:r>
          </w:p>
        </w:tc>
        <w:tc>
          <w:tcPr>
            <w:tcW w:w="3120" w:type="dxa"/>
          </w:tcPr>
          <w:p>
            <w:pPr/>
            <w:r>
              <w:t xml:space="preserve">a target is in the same GO biological process as a disease gene</w:t>
            </w:r>
          </w:p>
        </w:tc>
      </w:tr>
      <w:tr>
        <w:tc>
          <w:tcPr>
            <w:tcW w:w="3120" w:type="dxa"/>
          </w:tcPr>
          <w:p>
            <w:pPr/>
            <w:r>
              <w:t xml:space="preserve">14</w:t>
            </w:r>
          </w:p>
        </w:tc>
        <w:tc>
          <w:tcPr>
            <w:tcW w:w="3120" w:type="dxa"/>
          </w:tcPr>
          <w:p>
            <w:pPr/>
            <w:r>
              <w:t xml:space="preserve">ontology 2-step</w:t>
            </w:r>
          </w:p>
        </w:tc>
        <w:tc>
          <w:tcPr>
            <w:tcW w:w="3120" w:type="dxa"/>
          </w:tcPr>
          <w:p>
            <w:pPr/>
            <w:r>
              <w:t xml:space="preserve">indicated for a disease two steps away in the ontology</w:t>
            </w:r>
          </w:p>
        </w:tc>
      </w:tr>
      <w:tr>
        <w:tc>
          <w:tcPr>
            <w:tcW w:w="3120" w:type="dxa"/>
          </w:tcPr>
          <w:p>
            <w:pPr/>
            <w:r>
              <w:t xml:space="preserve">15</w:t>
            </w:r>
          </w:p>
        </w:tc>
        <w:tc>
          <w:tcPr>
            <w:tcW w:w="3120" w:type="dxa"/>
          </w:tcPr>
          <w:p>
            <w:pPr/>
            <w:r>
              <w:t xml:space="preserve">drug (targets) · similar</w:t>
            </w:r>
          </w:p>
        </w:tc>
        <w:tc>
          <w:tcPr>
            <w:tcW w:w="3120" w:type="dxa"/>
          </w:tcPr>
          <w:p>
            <w:pPr/>
            <w:r>
              <w:t xml:space="preserve">shares targets with drugs indicated in diseases that share genes</w:t>
            </w:r>
          </w:p>
        </w:tc>
      </w:tr>
      <w:tr>
        <w:tc>
          <w:tcPr>
            <w:tcW w:w="3120" w:type="dxa"/>
          </w:tcPr>
          <w:p>
            <w:pPr/>
            <w:r>
              <w:t xml:space="preserve">16</w:t>
            </w:r>
          </w:p>
        </w:tc>
        <w:tc>
          <w:tcPr>
            <w:tcW w:w="3120" w:type="dxa"/>
          </w:tcPr>
          <w:p>
            <w:pPr/>
            <w:r>
              <w:t xml:space="preserve">drug (effects) · similar</w:t>
            </w:r>
          </w:p>
        </w:tc>
        <w:tc>
          <w:tcPr>
            <w:tcW w:w="3120" w:type="dxa"/>
          </w:tcPr>
          <w:p>
            <w:pPr/>
            <w:r>
              <w:t xml:space="preserve">shares adverse effects with drugs indicated in diseases that share genes</w:t>
            </w:r>
          </w:p>
        </w:tc>
      </w:tr>
      <w:tr>
        <w:tc>
          <w:tcPr>
            <w:tcW w:w="3120" w:type="dxa"/>
          </w:tcPr>
          <w:p>
            <w:pPr/>
            <w:r>
              <w:t xml:space="preserve">17</w:t>
            </w:r>
          </w:p>
        </w:tc>
        <w:tc>
          <w:tcPr>
            <w:tcW w:w="3120" w:type="dxa"/>
          </w:tcPr>
          <w:p>
            <w:pPr/>
            <w:r>
              <w:t xml:space="preserve">drug (effects) · phenotype</w:t>
            </w:r>
          </w:p>
        </w:tc>
        <w:tc>
          <w:tcPr>
            <w:tcW w:w="3120" w:type="dxa"/>
          </w:tcPr>
          <w:p>
            <w:pPr/>
            <w:r>
              <w:t xml:space="preserve">shares adverse effects with drugs indicated in diseases that share phenotypes</w:t>
            </w:r>
          </w:p>
        </w:tc>
      </w:tr>
      <w:tr>
        <w:tc>
          <w:tcPr>
            <w:tcW w:w="3120" w:type="dxa"/>
          </w:tcPr>
          <w:p>
            <w:pPr/>
            <w:r>
              <w:t xml:space="preserve">18</w:t>
            </w:r>
          </w:p>
        </w:tc>
        <w:tc>
          <w:tcPr>
            <w:tcW w:w="3120" w:type="dxa"/>
          </w:tcPr>
          <w:p>
            <w:pPr/>
            <w:r>
              <w:t xml:space="preserve">drug (interactions) · similar</w:t>
            </w:r>
          </w:p>
        </w:tc>
        <w:tc>
          <w:tcPr>
            <w:tcW w:w="3120" w:type="dxa"/>
          </w:tcPr>
          <w:p>
            <w:pPr/>
            <w:r>
              <w:t xml:space="preserve">interacts with drugs indicated in diseases that share genes</w:t>
            </w:r>
          </w:p>
        </w:tc>
      </w:tr>
      <w:tr>
        <w:tc>
          <w:tcPr>
            <w:tcW w:w="3120" w:type="dxa"/>
          </w:tcPr>
          <w:p>
            <w:pPr/>
            <w:r>
              <w:t xml:space="preserve">19</w:t>
            </w:r>
          </w:p>
        </w:tc>
        <w:tc>
          <w:tcPr>
            <w:tcW w:w="3120" w:type="dxa"/>
          </w:tcPr>
          <w:p>
            <w:pPr/>
            <w:r>
              <w:t xml:space="preserve">drug (targets) · ontology</w:t>
            </w:r>
          </w:p>
        </w:tc>
        <w:tc>
          <w:tcPr>
            <w:tcW w:w="3120" w:type="dxa"/>
          </w:tcPr>
          <w:p>
            <w:pPr/>
            <w:r>
              <w:t xml:space="preserve">shares targets with drugs indicated in neighbouring diseases</w:t>
            </w:r>
          </w:p>
        </w:tc>
      </w:tr>
      <w:tr>
        <w:tc>
          <w:tcPr>
            <w:tcW w:w="3120" w:type="dxa"/>
          </w:tcPr>
          <w:p>
            <w:pPr/>
            <w:r>
              <w:t xml:space="preserve">20</w:t>
            </w:r>
          </w:p>
        </w:tc>
        <w:tc>
          <w:tcPr>
            <w:tcW w:w="3120" w:type="dxa"/>
          </w:tcPr>
          <w:p>
            <w:pPr/>
            <w:r>
              <w:t xml:space="preserve">target+ all</w:t>
            </w:r>
          </w:p>
        </w:tc>
        <w:tc>
          <w:tcPr>
            <w:tcW w:w="3120" w:type="dxa"/>
          </w:tcPr>
          <w:p>
            <w:pPr/>
            <w:r>
              <w:t xml:space="preserve">a target or ChEMBL mechanism target is an associated gene</w:t>
            </w:r>
          </w:p>
        </w:tc>
      </w:tr>
      <w:tr>
        <w:tc>
          <w:tcPr>
            <w:tcW w:w="3120" w:type="dxa"/>
          </w:tcPr>
          <w:p>
            <w:pPr/>
            <w:r>
              <w:t xml:space="preserve">21</w:t>
            </w:r>
          </w:p>
        </w:tc>
        <w:tc>
          <w:tcPr>
            <w:tcW w:w="3120" w:type="dxa"/>
          </w:tcPr>
          <w:p>
            <w:pPr/>
            <w:r>
              <w:t xml:space="preserve">interaction STRING all</w:t>
            </w:r>
          </w:p>
        </w:tc>
        <w:tc>
          <w:tcPr>
            <w:tcW w:w="3120" w:type="dxa"/>
          </w:tcPr>
          <w:p>
            <w:pPr/>
            <w:r>
              <w:t xml:space="preserve">a target interacts (STRING ≥ 700) with an associated gene</w:t>
            </w:r>
          </w:p>
        </w:tc>
      </w:tr>
      <w:tr>
        <w:tc>
          <w:tcPr>
            <w:tcW w:w="3120" w:type="dxa"/>
          </w:tcPr>
          <w:p>
            <w:pPr/>
            <w:r>
              <w:t xml:space="preserve">22</w:t>
            </w:r>
          </w:p>
        </w:tc>
        <w:tc>
          <w:tcPr>
            <w:tcW w:w="3120" w:type="dxa"/>
          </w:tcPr>
          <w:p>
            <w:pPr/>
            <w:r>
              <w:t xml:space="preserve">similar all (OT)</w:t>
            </w:r>
          </w:p>
        </w:tc>
        <w:tc>
          <w:tcPr>
            <w:tcW w:w="3120"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(Wilson 95% CI; number of candidates). In the external exam, shared-genes candidates with at least 3 specific genes: 4.8 (4.1–5.6; 3,007); with generic genes only: 2.7 (1.9–3.8; 1,112).</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Test</w:t>
            </w:r>
          </w:p>
        </w:tc>
        <w:tc>
          <w:tcPr>
            <w:tcW w:w="2340" w:type="dxa"/>
            <w:shd w:val="clear" w:color="auto" w:fill="F2F2F2"/>
          </w:tcPr>
          <w:p>
            <w:pPr/>
            <w:r>
              <w:t xml:space="preserve">Direct extensions</w:t>
            </w:r>
          </w:p>
        </w:tc>
        <w:tc>
          <w:tcPr>
            <w:tcW w:w="2340" w:type="dxa"/>
            <w:shd w:val="clear" w:color="auto" w:fill="F2F2F2"/>
          </w:tcPr>
          <w:p>
            <w:pPr/>
            <w:r>
              <w:t xml:space="preserve">Shared genes</w:t>
            </w:r>
          </w:p>
        </w:tc>
        <w:tc>
          <w:tcPr>
            <w:tcW w:w="2340" w:type="dxa"/>
            <w:shd w:val="clear" w:color="auto" w:fill="F2F2F2"/>
          </w:tcPr>
          <w:p>
            <w:pPr/>
            <w:r>
              <w:t xml:space="preserve">Hidden</w:t>
            </w:r>
          </w:p>
        </w:tc>
      </w:tr>
      <w:tr>
        <w:tc>
          <w:tcPr>
            <w:tcW w:w="2340" w:type="dxa"/>
          </w:tcPr>
          <w:p>
            <w:pPr/>
            <w:r>
              <w:t xml:space="preserve">Benchmark (zero-shot, seeds 1–5)</w:t>
            </w:r>
          </w:p>
        </w:tc>
        <w:tc>
          <w:tcPr>
            <w:tcW w:w="2340" w:type="dxa"/>
          </w:tcPr>
          <w:p>
            <w:pPr/>
            <w:r>
              <w:t xml:space="preserve">49.9 (47.5–52.3; 1,691)</w:t>
            </w:r>
          </w:p>
        </w:tc>
        <w:tc>
          <w:tcPr>
            <w:tcW w:w="2340" w:type="dxa"/>
          </w:tcPr>
          <w:p>
            <w:pPr/>
            <w:r>
              <w:t xml:space="preserve">22.7 (20.9–24.6; 1,992)</w:t>
            </w:r>
          </w:p>
        </w:tc>
        <w:tc>
          <w:tcPr>
            <w:tcW w:w="2340" w:type="dxa"/>
          </w:tcPr>
          <w:p>
            <w:pPr/>
            <w:r>
              <w:t xml:space="preserve">4.2 (3.7–4.8; 4,692)</w:t>
            </w:r>
          </w:p>
        </w:tc>
      </w:tr>
      <w:tr>
        <w:tc>
          <w:tcPr>
            <w:tcW w:w="2340" w:type="dxa"/>
          </w:tcPr>
          <w:p>
            <w:pPr/>
            <w:r>
              <w:t xml:space="preserve">Benchmark, hard</w:t>
            </w:r>
          </w:p>
        </w:tc>
        <w:tc>
          <w:tcPr>
            <w:tcW w:w="2340" w:type="dxa"/>
          </w:tcPr>
          <w:p>
            <w:pPr/>
            <w:r>
              <w:t xml:space="preserve">13.3 (9.9–17.5; 309)</w:t>
            </w:r>
          </w:p>
        </w:tc>
        <w:tc>
          <w:tcPr>
            <w:tcW w:w="2340" w:type="dxa"/>
          </w:tcPr>
          <w:p>
            <w:pPr/>
            <w:r>
              <w:t xml:space="preserve">27.0 (24.1–30.1; 841)</w:t>
            </w:r>
          </w:p>
        </w:tc>
        <w:tc>
          <w:tcPr>
            <w:tcW w:w="2340" w:type="dxa"/>
          </w:tcPr>
          <w:p>
            <w:pPr/>
            <w:r>
              <w:t xml:space="preserve">2.9 (2.3–3.7; 2,075)</w:t>
            </w:r>
          </w:p>
        </w:tc>
      </w:tr>
      <w:tr>
        <w:tc>
          <w:tcPr>
            <w:tcW w:w="2340" w:type="dxa"/>
          </w:tcPr>
          <w:p>
            <w:pPr/>
            <w:r>
              <w:t xml:space="preserve">Areas</w:t>
            </w:r>
          </w:p>
        </w:tc>
        <w:tc>
          <w:tcPr>
            <w:tcW w:w="2340" w:type="dxa"/>
          </w:tcPr>
          <w:p>
            <w:pPr/>
            <w:r>
              <w:t xml:space="preserve">59.4 (55.6–63.2; 641)</w:t>
            </w:r>
          </w:p>
        </w:tc>
        <w:tc>
          <w:tcPr>
            <w:tcW w:w="2340" w:type="dxa"/>
          </w:tcPr>
          <w:p>
            <w:pPr/>
            <w:r>
              <w:t xml:space="preserve">25.2 (23.6–26.9; 2,725)</w:t>
            </w:r>
          </w:p>
        </w:tc>
        <w:tc>
          <w:tcPr>
            <w:tcW w:w="2340" w:type="dxa"/>
          </w:tcPr>
          <w:p>
            <w:pPr/>
            <w:r>
              <w:t xml:space="preserve">1.7 (1.4–2.1; 5,259)</w:t>
            </w:r>
          </w:p>
        </w:tc>
      </w:tr>
      <w:tr>
        <w:tc>
          <w:tcPr>
            <w:tcW w:w="2340" w:type="dxa"/>
          </w:tcPr>
          <w:p>
            <w:pPr/>
            <w:r>
              <w:t xml:space="preserve">Areas, hard</w:t>
            </w:r>
          </w:p>
        </w:tc>
        <w:tc>
          <w:tcPr>
            <w:tcW w:w="2340" w:type="dxa"/>
          </w:tcPr>
          <w:p>
            <w:pPr/>
            <w:r>
              <w:t xml:space="preserve">24.7 (19.4–30.8; 219)</w:t>
            </w:r>
          </w:p>
        </w:tc>
        <w:tc>
          <w:tcPr>
            <w:tcW w:w="2340" w:type="dxa"/>
          </w:tcPr>
          <w:p>
            <w:pPr/>
            <w:r>
              <w:t xml:space="preserve">21.3 (19.5–23.2; 1,823)</w:t>
            </w:r>
          </w:p>
        </w:tc>
        <w:tc>
          <w:tcPr>
            <w:tcW w:w="2340" w:type="dxa"/>
          </w:tcPr>
          <w:p>
            <w:pPr/>
            <w:r>
              <w:t xml:space="preserve">1.6 (1.3–2.1; 3,783)</w:t>
            </w:r>
          </w:p>
        </w:tc>
      </w:tr>
      <w:tr>
        <w:tc>
          <w:tcPr>
            <w:tcW w:w="2340" w:type="dxa"/>
          </w:tcPr>
          <w:p>
            <w:pPr/>
            <w:r>
              <w:t xml:space="preserve">External exam</w:t>
            </w:r>
          </w:p>
        </w:tc>
        <w:tc>
          <w:tcPr>
            <w:tcW w:w="2340" w:type="dxa"/>
          </w:tcPr>
          <w:p>
            <w:pPr/>
            <w:r>
              <w:t xml:space="preserve">12.6 (11.5–13.8; 3,025)</w:t>
            </w:r>
          </w:p>
        </w:tc>
        <w:tc>
          <w:tcPr>
            <w:tcW w:w="2340" w:type="dxa"/>
          </w:tcPr>
          <w:p>
            <w:pPr/>
            <w:r>
              <w:t xml:space="preserve">4.2 (3.6–4.9; 4,119)</w:t>
            </w:r>
          </w:p>
        </w:tc>
        <w:tc>
          <w:tcPr>
            <w:tcW w:w="2340" w:type="dxa"/>
          </w:tcPr>
          <w:p>
            <w:pPr/>
            <w:r>
              <w:t xml:space="preserve">1.4 (1.2–1.7; 8,981)</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Test</w:t>
            </w:r>
          </w:p>
        </w:tc>
        <w:tc>
          <w:tcPr>
            <w:tcW w:w="1337" w:type="dxa"/>
            <w:shd w:val="clear" w:color="auto" w:fill="F2F2F2"/>
          </w:tcPr>
          <w:p>
            <w:pPr/>
            <w:r>
              <w:t xml:space="preserve">Popularity</w:t>
            </w:r>
          </w:p>
        </w:tc>
        <w:tc>
          <w:tcPr>
            <w:tcW w:w="1337" w:type="dxa"/>
            <w:shd w:val="clear" w:color="auto" w:fill="F2F2F2"/>
          </w:tcPr>
          <w:p>
            <w:pPr/>
            <w:r>
              <w:t xml:space="preserve">TxGNN</w:t>
            </w:r>
          </w:p>
        </w:tc>
        <w:tc>
          <w:tcPr>
            <w:tcW w:w="1337" w:type="dxa"/>
            <w:shd w:val="clear" w:color="auto" w:fill="F2F2F2"/>
          </w:tcPr>
          <w:p>
            <w:pPr/>
            <w:r>
              <w:t xml:space="preserve">OREVID</w:t>
            </w:r>
          </w:p>
        </w:tc>
        <w:tc>
          <w:tcPr>
            <w:tcW w:w="1337" w:type="dxa"/>
            <w:shd w:val="clear" w:color="auto" w:fill="F2F2F2"/>
          </w:tcPr>
          <w:p>
            <w:pPr/>
            <w:r>
              <w:t xml:space="preserve">OREVID − TxGNN</w:t>
            </w:r>
          </w:p>
        </w:tc>
        <w:tc>
          <w:tcPr>
            <w:tcW w:w="1337" w:type="dxa"/>
            <w:shd w:val="clear" w:color="auto" w:fill="F2F2F2"/>
          </w:tcPr>
          <w:p>
            <w:pPr/>
            <w:r>
              <w:t xml:space="preserve">Ahead / behind</w:t>
            </w:r>
          </w:p>
        </w:tc>
        <w:tc>
          <w:tcPr>
            <w:tcW w:w="1337" w:type="dxa"/>
            <w:shd w:val="clear" w:color="auto" w:fill="F2F2F2"/>
          </w:tcPr>
          <w:p>
            <w:pPr/>
            <w:r>
              <w:t xml:space="preserve">Holm p</w:t>
            </w:r>
          </w:p>
        </w:tc>
      </w:tr>
      <w:tr>
        <w:tc>
          <w:tcPr>
            <w:tcW w:w="1337" w:type="dxa"/>
          </w:tcPr>
          <w:p>
            <w:pPr/>
            <w:r>
              <w:t xml:space="preserve">Zero-shot</w:t>
            </w:r>
          </w:p>
        </w:tc>
        <w:tc>
          <w:tcPr>
            <w:tcW w:w="1337" w:type="dxa"/>
          </w:tcPr>
          <w:p>
            <w:pPr/>
            <w:r>
              <w:t xml:space="preserve">0.358 (0.314–0.402)</w:t>
            </w:r>
          </w:p>
        </w:tc>
        <w:tc>
          <w:tcPr>
            <w:tcW w:w="1337" w:type="dxa"/>
          </w:tcPr>
          <w:p>
            <w:pPr/>
            <w:r>
              <w:t xml:space="preserve">0.412 (0.369–0.457)</w:t>
            </w:r>
          </w:p>
        </w:tc>
        <w:tc>
          <w:tcPr>
            <w:tcW w:w="1337" w:type="dxa"/>
          </w:tcPr>
          <w:p>
            <w:pPr/>
            <w:r>
              <w:t xml:space="preserve">0.811 (0.772–0.847)</w:t>
            </w:r>
          </w:p>
        </w:tc>
        <w:tc>
          <w:tcPr>
            <w:tcW w:w="1337" w:type="dxa"/>
          </w:tcPr>
          <w:p>
            <w:pPr/>
            <w:r>
              <w:t xml:space="preserve">+0.399 (0.352–0.443)</w:t>
            </w:r>
          </w:p>
        </w:tc>
        <w:tc>
          <w:tcPr>
            <w:tcW w:w="1337" w:type="dxa"/>
          </w:tcPr>
          <w:p>
            <w:pPr/>
            <w:r>
              <w:t xml:space="preserve">63% / 2%</w:t>
            </w:r>
          </w:p>
        </w:tc>
        <w:tc>
          <w:tcPr>
            <w:tcW w:w="1337" w:type="dxa"/>
          </w:tcPr>
          <w:p>
            <w:pPr/>
            <w:r>
              <w:t xml:space="preserve">2 × 10⁻³³</w:t>
            </w:r>
          </w:p>
        </w:tc>
      </w:tr>
      <w:tr>
        <w:tc>
          <w:tcPr>
            <w:tcW w:w="1337" w:type="dxa"/>
          </w:tcPr>
          <w:p>
            <w:pPr/>
            <w:r>
              <w:t xml:space="preserve">Zero-shot, hard</w:t>
            </w:r>
          </w:p>
        </w:tc>
        <w:tc>
          <w:tcPr>
            <w:tcW w:w="1337" w:type="dxa"/>
          </w:tcPr>
          <w:p>
            <w:pPr/>
            <w:r>
              <w:t xml:space="preserve">0.203 (0.150–0.259)</w:t>
            </w:r>
          </w:p>
        </w:tc>
        <w:tc>
          <w:tcPr>
            <w:tcW w:w="1337" w:type="dxa"/>
          </w:tcPr>
          <w:p>
            <w:pPr/>
            <w:r>
              <w:t xml:space="preserve">0.258 (0.197–0.324)</w:t>
            </w:r>
          </w:p>
        </w:tc>
        <w:tc>
          <w:tcPr>
            <w:tcW w:w="1337" w:type="dxa"/>
          </w:tcPr>
          <w:p>
            <w:pPr/>
            <w:r>
              <w:t xml:space="preserve">0.539 (0.465–0.613)</w:t>
            </w:r>
          </w:p>
        </w:tc>
        <w:tc>
          <w:tcPr>
            <w:tcW w:w="1337" w:type="dxa"/>
          </w:tcPr>
          <w:p>
            <w:pPr/>
            <w:r>
              <w:t xml:space="preserve">+0.281 (0.212–0.353)</w:t>
            </w:r>
          </w:p>
        </w:tc>
        <w:tc>
          <w:tcPr>
            <w:tcW w:w="1337" w:type="dxa"/>
          </w:tcPr>
          <w:p>
            <w:pPr/>
            <w:r>
              <w:t xml:space="preserve">50% / 5%</w:t>
            </w:r>
          </w:p>
        </w:tc>
        <w:tc>
          <w:tcPr>
            <w:tcW w:w="1337" w:type="dxa"/>
          </w:tcPr>
          <w:p>
            <w:pPr/>
            <w:r>
              <w:t xml:space="preserve">2 × 10⁻⁹</w:t>
            </w:r>
          </w:p>
        </w:tc>
      </w:tr>
      <w:tr>
        <w:tc>
          <w:tcPr>
            <w:tcW w:w="1337" w:type="dxa"/>
          </w:tcPr>
          <w:p>
            <w:pPr/>
            <w:r>
              <w:t xml:space="preserve">Areas</w:t>
            </w:r>
          </w:p>
        </w:tc>
        <w:tc>
          <w:tcPr>
            <w:tcW w:w="1337" w:type="dxa"/>
          </w:tcPr>
          <w:p>
            <w:pPr/>
            <w:r>
              <w:t xml:space="preserve">0.185 (0.132–0.239)</w:t>
            </w:r>
          </w:p>
        </w:tc>
        <w:tc>
          <w:tcPr>
            <w:tcW w:w="1337" w:type="dxa"/>
          </w:tcPr>
          <w:p>
            <w:pPr/>
            <w:r>
              <w:t xml:space="preserve">0.237 (0.181–0.295)</w:t>
            </w:r>
          </w:p>
        </w:tc>
        <w:tc>
          <w:tcPr>
            <w:tcW w:w="1337" w:type="dxa"/>
          </w:tcPr>
          <w:p>
            <w:pPr/>
            <w:r>
              <w:t xml:space="preserve">0.617 (0.566–0.665)</w:t>
            </w:r>
          </w:p>
        </w:tc>
        <w:tc>
          <w:tcPr>
            <w:tcW w:w="1337" w:type="dxa"/>
          </w:tcPr>
          <w:p>
            <w:pPr/>
            <w:r>
              <w:t xml:space="preserve">+0.380 (0.314–0.447)</w:t>
            </w:r>
          </w:p>
        </w:tc>
        <w:tc>
          <w:tcPr>
            <w:tcW w:w="1337" w:type="dxa"/>
          </w:tcPr>
          <w:p>
            <w:pPr/>
            <w:r>
              <w:t xml:space="preserve">63% / 3%</w:t>
            </w:r>
          </w:p>
        </w:tc>
        <w:tc>
          <w:tcPr>
            <w:tcW w:w="1337" w:type="dxa"/>
          </w:tcPr>
          <w:p>
            <w:pPr/>
            <w:r>
              <w:t xml:space="preserve">2 × 10⁻³⁵</w:t>
            </w:r>
          </w:p>
        </w:tc>
      </w:tr>
      <w:tr>
        <w:tc>
          <w:tcPr>
            <w:tcW w:w="1337" w:type="dxa"/>
          </w:tcPr>
          <w:p>
            <w:pPr/>
            <w:r>
              <w:t xml:space="preserve">Areas, hard</w:t>
            </w:r>
          </w:p>
        </w:tc>
        <w:tc>
          <w:tcPr>
            <w:tcW w:w="1337" w:type="dxa"/>
          </w:tcPr>
          <w:p>
            <w:pPr/>
            <w:r>
              <w:t xml:space="preserve">0.141 (0.078–0.213)</w:t>
            </w:r>
          </w:p>
        </w:tc>
        <w:tc>
          <w:tcPr>
            <w:tcW w:w="1337" w:type="dxa"/>
          </w:tcPr>
          <w:p>
            <w:pPr/>
            <w:r>
              <w:t xml:space="preserve">0.141 (0.086–0.204)</w:t>
            </w:r>
          </w:p>
        </w:tc>
        <w:tc>
          <w:tcPr>
            <w:tcW w:w="1337" w:type="dxa"/>
          </w:tcPr>
          <w:p>
            <w:pPr/>
            <w:r>
              <w:t xml:space="preserve">0.490 (0.414–0.565)</w:t>
            </w:r>
          </w:p>
        </w:tc>
        <w:tc>
          <w:tcPr>
            <w:tcW w:w="1337" w:type="dxa"/>
          </w:tcPr>
          <w:p>
            <w:pPr/>
            <w:r>
              <w:t xml:space="preserve">+0.349 (0.268–0.431)</w:t>
            </w:r>
          </w:p>
        </w:tc>
        <w:tc>
          <w:tcPr>
            <w:tcW w:w="1337" w:type="dxa"/>
          </w:tcPr>
          <w:p>
            <w:pPr/>
            <w:r>
              <w:t xml:space="preserve">56% / 4%</w:t>
            </w:r>
          </w:p>
        </w:tc>
        <w:tc>
          <w:tcPr>
            <w:tcW w:w="1337" w:type="dxa"/>
          </w:tcPr>
          <w:p>
            <w:pPr/>
            <w:r>
              <w:t xml:space="preserve">6 × 10⁻²¹</w:t>
            </w:r>
          </w:p>
        </w:tc>
      </w:tr>
      <w:tr>
        <w:tc>
          <w:tcPr>
            <w:tcW w:w="1337" w:type="dxa"/>
          </w:tcPr>
          <w:p>
            <w:pPr/>
            <w:r>
              <w:t xml:space="preserve">External</w:t>
            </w:r>
          </w:p>
        </w:tc>
        <w:tc>
          <w:tcPr>
            <w:tcW w:w="1337" w:type="dxa"/>
          </w:tcPr>
          <w:p>
            <w:pPr/>
            <w:r>
              <w:t xml:space="preserve">0.130 (0.109–0.152)</w:t>
            </w:r>
          </w:p>
        </w:tc>
        <w:tc>
          <w:tcPr>
            <w:tcW w:w="1337" w:type="dxa"/>
          </w:tcPr>
          <w:p>
            <w:pPr/>
            <w:r>
              <w:t xml:space="preserve">0.121 (0.100–0.143)</w:t>
            </w:r>
          </w:p>
        </w:tc>
        <w:tc>
          <w:tcPr>
            <w:tcW w:w="1337" w:type="dxa"/>
          </w:tcPr>
          <w:p>
            <w:pPr/>
            <w:r>
              <w:t xml:space="preserve">0.359 (0.327–0.390)</w:t>
            </w:r>
          </w:p>
        </w:tc>
        <w:tc>
          <w:tcPr>
            <w:tcW w:w="1337" w:type="dxa"/>
          </w:tcPr>
          <w:p>
            <w:pPr/>
            <w:r>
              <w:t xml:space="preserve">+0.238 (0.206–0.270)</w:t>
            </w:r>
          </w:p>
        </w:tc>
        <w:tc>
          <w:tcPr>
            <w:tcW w:w="1337" w:type="dxa"/>
          </w:tcPr>
          <w:p>
            <w:pPr/>
            <w:r>
              <w:t xml:space="preserve">43% / 5%</w:t>
            </w:r>
          </w:p>
        </w:tc>
        <w:tc>
          <w:tcPr>
            <w:tcW w:w="1337" w:type="dxa"/>
          </w:tcPr>
          <w:p>
            <w:pPr/>
            <w:r>
              <w:t xml:space="preserve">1 × 10⁻³⁴</w:t>
            </w:r>
          </w:p>
        </w:tc>
      </w:tr>
      <w:tr>
        <w:tc>
          <w:tcPr>
            <w:tcW w:w="1337" w:type="dxa"/>
          </w:tcPr>
          <w:p>
            <w:pPr/>
            <w:r>
              <w:t xml:space="preserve">External, non-obvious</w:t>
            </w:r>
          </w:p>
        </w:tc>
        <w:tc>
          <w:tcPr>
            <w:tcW w:w="1337" w:type="dxa"/>
          </w:tcPr>
          <w:p>
            <w:pPr/>
            <w:r>
              <w:t xml:space="preserve">0.075 (0.058–0.094)</w:t>
            </w:r>
          </w:p>
        </w:tc>
        <w:tc>
          <w:tcPr>
            <w:tcW w:w="1337" w:type="dxa"/>
          </w:tcPr>
          <w:p>
            <w:pPr/>
            <w:r>
              <w:t xml:space="preserve">0.085 (0.066–0.105)</w:t>
            </w:r>
          </w:p>
        </w:tc>
        <w:tc>
          <w:tcPr>
            <w:tcW w:w="1337" w:type="dxa"/>
          </w:tcPr>
          <w:p>
            <w:pPr/>
            <w:r>
              <w:t xml:space="preserve">0.178 (0.152–0.206)</w:t>
            </w:r>
          </w:p>
        </w:tc>
        <w:tc>
          <w:tcPr>
            <w:tcW w:w="1337" w:type="dxa"/>
          </w:tcPr>
          <w:p>
            <w:pPr/>
            <w:r>
              <w:t xml:space="preserve">+0.094 (0.064–0.123)</w:t>
            </w:r>
          </w:p>
        </w:tc>
        <w:tc>
          <w:tcPr>
            <w:tcW w:w="1337" w:type="dxa"/>
          </w:tcPr>
          <w:p>
            <w:pPr/>
            <w:r>
              <w:t xml:space="preserve">24% / 9%</w:t>
            </w:r>
          </w:p>
        </w:tc>
        <w:tc>
          <w:tcPr>
            <w:tcW w:w="1337" w:type="dxa"/>
          </w:tcPr>
          <w:p>
            <w:pPr/>
            <w:r>
              <w:t xml:space="preserve">2 × 10⁻⁹</w:t>
            </w:r>
          </w:p>
        </w:tc>
      </w:tr>
      <w:tr>
        <w:tc>
          <w:tcPr>
            <w:tcW w:w="1337" w:type="dxa"/>
          </w:tcPr>
          <w:p>
            <w:pPr/>
            <w:r>
              <w:t xml:space="preserve">External, recent</w:t>
            </w:r>
          </w:p>
        </w:tc>
        <w:tc>
          <w:tcPr>
            <w:tcW w:w="1337" w:type="dxa"/>
          </w:tcPr>
          <w:p>
            <w:pPr/>
            <w:r>
              <w:t xml:space="preserve">0.097 (0.045–0.154)</w:t>
            </w:r>
          </w:p>
        </w:tc>
        <w:tc>
          <w:tcPr>
            <w:tcW w:w="1337" w:type="dxa"/>
          </w:tcPr>
          <w:p>
            <w:pPr/>
            <w:r>
              <w:t xml:space="preserve">0.119 (0.061–0.184)</w:t>
            </w:r>
          </w:p>
        </w:tc>
        <w:tc>
          <w:tcPr>
            <w:tcW w:w="1337" w:type="dxa"/>
          </w:tcPr>
          <w:p>
            <w:pPr/>
            <w:r>
              <w:t xml:space="preserve">0.355 (0.266–0.448)</w:t>
            </w:r>
          </w:p>
        </w:tc>
        <w:tc>
          <w:tcPr>
            <w:tcW w:w="1337" w:type="dxa"/>
          </w:tcPr>
          <w:p>
            <w:pPr/>
            <w:r>
              <w:t xml:space="preserve">+0.236 (0.141–0.332)</w:t>
            </w:r>
          </w:p>
        </w:tc>
        <w:tc>
          <w:tcPr>
            <w:tcW w:w="1337" w:type="dxa"/>
          </w:tcPr>
          <w:p>
            <w:pPr/>
            <w:r>
              <w:t xml:space="preserve">30% / 4%</w:t>
            </w:r>
          </w:p>
        </w:tc>
        <w:tc>
          <w:tcPr>
            <w:tcW w:w="1337" w:type="dxa"/>
          </w:tcPr>
          <w:p>
            <w:pPr/>
            <w:r>
              <w:t xml:space="preserve">2 × 10⁻⁴</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node/5705ebe6-3020@65 docx-w6</dc:description>
  <cp:revision>65</cp:revision>
</cp:coreProperties>
</file>