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4.3% (3.1–5.6%)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4"/>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19,735 genes with at least one associated disease («shared genes»).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5"/>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 ± 0.010</w:t>
            </w:r>
          </w:p>
        </w:tc>
        <w:tc>
          <w:tcPr>
            <w:tcW w:w="1337" w:type="dxa"/>
          </w:tcPr>
          <w:p>
            <w:pPr/>
            <w:r>
              <w:t xml:space="preserve">0.076 ± 0.006</w:t>
            </w:r>
          </w:p>
        </w:tc>
        <w:tc>
          <w:tcPr>
            <w:tcW w:w="1337" w:type="dxa"/>
          </w:tcPr>
          <w:p>
            <w:pPr/>
            <w:r>
              <w:t xml:space="preserve">0.098 ± 0.012</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0.126 ± 0.004</w:t>
            </w:r>
          </w:p>
        </w:tc>
        <w:tc>
          <w:tcPr>
            <w:tcW w:w="1337" w:type="dxa"/>
          </w:tcPr>
          <w:p>
            <w:pPr/>
            <w:r>
              <w:t xml:space="preserve">0.086 ± 0.004</w:t>
            </w:r>
          </w:p>
        </w:tc>
        <w:tc>
          <w:tcPr>
            <w:tcW w:w="1337" w:type="dxa"/>
          </w:tcPr>
          <w:p>
            <w:pPr/>
            <w:r>
              <w:t xml:space="preserve">0.138 ± 0.024</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0.367 ± 0.008</w:t>
            </w:r>
          </w:p>
        </w:tc>
        <w:tc>
          <w:tcPr>
            <w:tcW w:w="1337" w:type="dxa"/>
          </w:tcPr>
          <w:p>
            <w:pPr/>
            <w:r>
              <w:t xml:space="preserve">0.184 ± 0.007</w:t>
            </w:r>
          </w:p>
        </w:tc>
        <w:tc>
          <w:tcPr>
            <w:tcW w:w="1337" w:type="dxa"/>
          </w:tcPr>
          <w:p>
            <w:pPr/>
            <w:r>
              <w:t xml:space="preserve">0.365 ± 0.021</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0.363 ± 0.010</w:t>
            </w:r>
          </w:p>
        </w:tc>
        <w:tc>
          <w:tcPr>
            <w:tcW w:w="1337" w:type="dxa"/>
          </w:tcPr>
          <w:p>
            <w:pPr/>
            <w:r>
              <w:t xml:space="preserve">0.183 ± 0.013</w:t>
            </w:r>
          </w:p>
        </w:tc>
        <w:tc>
          <w:tcPr>
            <w:tcW w:w="1337" w:type="dxa"/>
          </w:tcPr>
          <w:p>
            <w:pPr/>
            <w:r>
              <w:t xml:space="preserve">0.339 ± 0.016</w:t>
            </w:r>
          </w:p>
        </w:tc>
      </w:tr>
      <w:tr>
        <w:tc>
          <w:tcPr>
            <w:tcW w:w="1337" w:type="dxa"/>
          </w:tcPr>
          <w:p>
            <w:pPr/>
            <w:r>
              <w:t xml:space="preserve">OREVID without Open Targets features</w:t>
            </w:r>
          </w:p>
        </w:tc>
        <w:tc>
          <w:tcPr>
            <w:tcW w:w="1337" w:type="dxa"/>
          </w:tcPr>
          <w:p>
            <w:pPr/>
            <w:r>
              <w:t xml:space="preserve">0.802 ± 0.048</w:t>
            </w:r>
          </w:p>
        </w:tc>
        <w:tc>
          <w:tcPr>
            <w:tcW w:w="1337" w:type="dxa"/>
          </w:tcPr>
          <w:p>
            <w:pPr/>
            <w:r>
              <w:t xml:space="preserve">0.522</w:t>
            </w:r>
          </w:p>
        </w:tc>
        <w:tc>
          <w:tcPr>
            <w:tcW w:w="1337" w:type="dxa"/>
          </w:tcPr>
          <w:p>
            <w:pPr/>
            <w:r>
              <w:t xml:space="preserve">0.628</w:t>
            </w:r>
          </w:p>
        </w:tc>
        <w:tc>
          <w:tcPr>
            <w:tcW w:w="1337" w:type="dxa"/>
          </w:tcPr>
          <w:p>
            <w:pPr/>
            <w:r>
              <w:t xml:space="preserve">0.348 (split 1)</w:t>
            </w:r>
          </w:p>
        </w:tc>
        <w:tc>
          <w:tcPr>
            <w:tcW w:w="1337" w:type="dxa"/>
          </w:tcPr>
          <w:p>
            <w:pPr/>
            <w:r>
              <w:t xml:space="preserve">–</w:t>
            </w:r>
          </w:p>
        </w:tc>
        <w:tc>
          <w:tcPr>
            <w:tcW w:w="1337"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6"/>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30–33% of the time in hidden-treatment tests and 4.8% (95% CI 3.3–6.5%) in the external exam, against 9–11% and 2.8% (1.6–4.2%)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7"/>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(2,253 on average, against 3,936) that were right 4.9% of the time on the external exam (99th percentile 5.3%), against 4.3% for the real shared genes, so the criterion fixed in advance was not met. In further, exploratory comparisons the same held within each range of gene-set size (fewer than 100 genes: 2.7% against a null of 2.1%; 100–499: 5.9% against 5.9%; 500 or more: 4.6% against 4.6%), when at least 3 specific genes were required (4.8% against 5.3%), and on the benchmark in every range of gene-set size (for diseases with fewer than 100 genes, 15.0% against a null of 11.9% and a 99th percentile of 15.6%). The threshold itself was not a sharp optimum: from 2 to 5 genes and p from 10⁻³ to 10⁻⁷, the external hit rate ranged from 3.9% to 4.7%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5.1 shared-genes candidates; 39%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Competing interests.</w:t>
      </w:r>
      <w:r>
        <w:t xml:space="preserve"> None declared. The work was done in a personal capacity and is independent of the author's employer.</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(3.3–6.5; 2,875); with generic genes only: 2.8 (1.6–4.2; 1,061).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(42.2–57.8; 1,691)</w:t>
            </w:r>
          </w:p>
        </w:tc>
        <w:tc>
          <w:tcPr>
            <w:tcW w:w="2340" w:type="dxa"/>
          </w:tcPr>
          <w:p>
            <w:pPr/>
            <w:r>
              <w:t xml:space="preserve">23.0 (17.4–28.7; 1,970)</w:t>
            </w:r>
          </w:p>
        </w:tc>
        <w:tc>
          <w:tcPr>
            <w:tcW w:w="2340" w:type="dxa"/>
          </w:tcPr>
          <w:p>
            <w:pPr/>
            <w:r>
              <w:t xml:space="preserve">4.2 (2.9–5.8; 4,714)</w:t>
            </w:r>
          </w:p>
        </w:tc>
      </w:tr>
      <w:tr>
        <w:tc>
          <w:tcPr>
            <w:tcW w:w="2340" w:type="dxa"/>
          </w:tcPr>
          <w:p>
            <w:pPr/>
            <w:r>
              <w:t xml:space="preserve">Benchmark, hard</w:t>
            </w:r>
          </w:p>
        </w:tc>
        <w:tc>
          <w:tcPr>
            <w:tcW w:w="2340" w:type="dxa"/>
          </w:tcPr>
          <w:p>
            <w:pPr/>
            <w:r>
              <w:t xml:space="preserve">13.3 (7.0–20.6; 309)</w:t>
            </w:r>
          </w:p>
        </w:tc>
        <w:tc>
          <w:tcPr>
            <w:tcW w:w="2340" w:type="dxa"/>
          </w:tcPr>
          <w:p>
            <w:pPr/>
            <w:r>
              <w:t xml:space="preserve">27.4 (18.6–36.8; 828)</w:t>
            </w:r>
          </w:p>
        </w:tc>
        <w:tc>
          <w:tcPr>
            <w:tcW w:w="2340" w:type="dxa"/>
          </w:tcPr>
          <w:p>
            <w:pPr/>
            <w:r>
              <w:t xml:space="preserve">2.9 (1.8–4.1; 2,088)</w:t>
            </w:r>
          </w:p>
        </w:tc>
      </w:tr>
      <w:tr>
        <w:tc>
          <w:tcPr>
            <w:tcW w:w="2340" w:type="dxa"/>
          </w:tcPr>
          <w:p>
            <w:pPr/>
            <w:r>
              <w:t xml:space="preserve">Areas</w:t>
            </w:r>
          </w:p>
        </w:tc>
        <w:tc>
          <w:tcPr>
            <w:tcW w:w="2340" w:type="dxa"/>
          </w:tcPr>
          <w:p>
            <w:pPr/>
            <w:r>
              <w:t xml:space="preserve">59.4 (48.5–69.4; 641)</w:t>
            </w:r>
          </w:p>
        </w:tc>
        <w:tc>
          <w:tcPr>
            <w:tcW w:w="2340" w:type="dxa"/>
          </w:tcPr>
          <w:p>
            <w:pPr/>
            <w:r>
              <w:t xml:space="preserve">26.3 (21.8–31.1; 2,608)</w:t>
            </w:r>
          </w:p>
        </w:tc>
        <w:tc>
          <w:tcPr>
            <w:tcW w:w="2340" w:type="dxa"/>
          </w:tcPr>
          <w:p>
            <w:pPr/>
            <w:r>
              <w:t xml:space="preserve">1.7 (1.1–2.3; 5,376)</w:t>
            </w:r>
          </w:p>
        </w:tc>
      </w:tr>
      <w:tr>
        <w:tc>
          <w:tcPr>
            <w:tcW w:w="2340" w:type="dxa"/>
          </w:tcPr>
          <w:p>
            <w:pPr/>
            <w:r>
              <w:t xml:space="preserve">Areas, hard</w:t>
            </w:r>
          </w:p>
        </w:tc>
        <w:tc>
          <w:tcPr>
            <w:tcW w:w="2340" w:type="dxa"/>
          </w:tcPr>
          <w:p>
            <w:pPr/>
            <w:r>
              <w:t xml:space="preserve">24.7 (11.8–39.7; 219)</w:t>
            </w:r>
          </w:p>
        </w:tc>
        <w:tc>
          <w:tcPr>
            <w:tcW w:w="2340" w:type="dxa"/>
          </w:tcPr>
          <w:p>
            <w:pPr/>
            <w:r>
              <w:t xml:space="preserve">22.5 (17.7–27.5; 1,726)</w:t>
            </w:r>
          </w:p>
        </w:tc>
        <w:tc>
          <w:tcPr>
            <w:tcW w:w="2340" w:type="dxa"/>
          </w:tcPr>
          <w:p>
            <w:pPr/>
            <w:r>
              <w:t xml:space="preserve">1.6 (0.9–2.3; 3,880)</w:t>
            </w:r>
          </w:p>
        </w:tc>
      </w:tr>
      <w:tr>
        <w:tc>
          <w:tcPr>
            <w:tcW w:w="2340" w:type="dxa"/>
          </w:tcPr>
          <w:p>
            <w:pPr/>
            <w:r>
              <w:t xml:space="preserve">External exam</w:t>
            </w:r>
          </w:p>
        </w:tc>
        <w:tc>
          <w:tcPr>
            <w:tcW w:w="2340" w:type="dxa"/>
          </w:tcPr>
          <w:p>
            <w:pPr/>
            <w:r>
              <w:t xml:space="preserve">12.6 (9.8–15.6; 3,025)</w:t>
            </w:r>
          </w:p>
        </w:tc>
        <w:tc>
          <w:tcPr>
            <w:tcW w:w="2340" w:type="dxa"/>
          </w:tcPr>
          <w:p>
            <w:pPr/>
            <w:r>
              <w:t xml:space="preserve">4.3 (3.1–5.6; 3,936)</w:t>
            </w:r>
          </w:p>
        </w:tc>
        <w:tc>
          <w:tcPr>
            <w:tcW w:w="2340" w:type="dxa"/>
          </w:tcPr>
          <w:p>
            <w:pPr/>
            <w:r>
              <w:t xml:space="preserve">1.5 (1.1–1.9; 9,164)</w:t>
            </w:r>
          </w:p>
        </w:tc>
      </w:tr>
      <w:tr>
        <w:tc>
          <w:tcPr>
            <w:tcW w:w="2340" w:type="dxa"/>
          </w:tcPr>
          <w:p>
            <w:pPr/>
            <w:r>
              <w:t xml:space="preserve">External exam, website rules</w:t>
            </w:r>
          </w:p>
        </w:tc>
        <w:tc>
          <w:tcPr>
            <w:tcW w:w="2340" w:type="dxa"/>
          </w:tcPr>
          <w:p>
            <w:pPr/>
            <w:r>
              <w:t xml:space="preserve">12.4 (9.7–15.6; 2,965)</w:t>
            </w:r>
          </w:p>
        </w:tc>
        <w:tc>
          <w:tcPr>
            <w:tcW w:w="2340" w:type="dxa"/>
          </w:tcPr>
          <w:p>
            <w:pPr/>
            <w:r>
              <w:t xml:space="preserve">4.3 (3.1–5.7; 3,749)</w:t>
            </w:r>
          </w:p>
        </w:tc>
        <w:tc>
          <w:tcPr>
            <w:tcW w:w="2340" w:type="dxa"/>
          </w:tcPr>
          <w:p>
            <w:pPr/>
            <w:r>
              <w:t xml:space="preserve">1.5 (1.1–1.9; 9,411)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19,735 genes with at least one associated disease). Production: 3 genes, p &lt; 10⁻⁵. Permutation null on the external exam (100 random gene sets of the same size, genes drawn in proportion to their number of diseases): 4.9% on average, 99th percentile 5.3%.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Shared genes, p</w:t>
            </w:r>
          </w:p>
        </w:tc>
        <w:tc>
          <w:tcPr>
            <w:tcW w:w="2340" w:type="dxa"/>
            <w:shd w:val="clear" w:color="auto" w:fill="F2F2F2"/>
          </w:tcPr>
          <w:p>
            <w:pPr/>
            <w:r>
              <w:t xml:space="preserve">Benchmark</w:t>
            </w:r>
          </w:p>
        </w:tc>
        <w:tc>
          <w:tcPr>
            <w:tcW w:w="2340" w:type="dxa"/>
            <w:shd w:val="clear" w:color="auto" w:fill="F2F2F2"/>
          </w:tcPr>
          <w:p>
            <w:pPr/>
            <w:r>
              <w:t xml:space="preserve">Areas</w:t>
            </w:r>
          </w:p>
        </w:tc>
        <w:tc>
          <w:tcPr>
            <w:tcW w:w="2340" w:type="dxa"/>
            <w:shd w:val="clear" w:color="auto" w:fill="F2F2F2"/>
          </w:tcPr>
          <w:p>
            <w:pPr/>
            <w:r>
              <w:t xml:space="preserve">External</w:t>
            </w:r>
          </w:p>
        </w:tc>
      </w:tr>
      <w:tr>
        <w:tc>
          <w:tcPr>
            <w:tcW w:w="2340" w:type="dxa"/>
          </w:tcPr>
          <w:p>
            <w:pPr/>
            <w:r>
              <w:t xml:space="preserve">≥ 2, &lt; 10⁻³</w:t>
            </w:r>
          </w:p>
        </w:tc>
        <w:tc>
          <w:tcPr>
            <w:tcW w:w="2340" w:type="dxa"/>
          </w:tcPr>
          <w:p>
            <w:pPr/>
            <w:r>
              <w:t xml:space="preserve">20.6 (15.7–25.6; 2,306)</w:t>
            </w:r>
          </w:p>
        </w:tc>
        <w:tc>
          <w:tcPr>
            <w:tcW w:w="2340" w:type="dxa"/>
          </w:tcPr>
          <w:p>
            <w:pPr/>
            <w:r>
              <w:t xml:space="preserve">22.5 (18.6–26.6; 3,168)</w:t>
            </w:r>
          </w:p>
        </w:tc>
        <w:tc>
          <w:tcPr>
            <w:tcW w:w="2340" w:type="dxa"/>
          </w:tcPr>
          <w:p>
            <w:pPr/>
            <w:r>
              <w:t xml:space="preserve">3.9 (2.9–5.0; 4,898)</w:t>
            </w:r>
          </w:p>
        </w:tc>
      </w:tr>
      <w:tr>
        <w:tc>
          <w:tcPr>
            <w:tcW w:w="2340" w:type="dxa"/>
          </w:tcPr>
          <w:p>
            <w:pPr/>
            <w:r>
              <w:t xml:space="preserve">≥ 2, &lt; 10⁻⁵</w:t>
            </w:r>
          </w:p>
        </w:tc>
        <w:tc>
          <w:tcPr>
            <w:tcW w:w="2340" w:type="dxa"/>
          </w:tcPr>
          <w:p>
            <w:pPr/>
            <w:r>
              <w:t xml:space="preserve">23.0 (17.7–28.6; 2,036)</w:t>
            </w:r>
          </w:p>
        </w:tc>
        <w:tc>
          <w:tcPr>
            <w:tcW w:w="2340" w:type="dxa"/>
          </w:tcPr>
          <w:p>
            <w:pPr/>
            <w:r>
              <w:t xml:space="preserve">26.5 (22.1–31.0; 2,646)</w:t>
            </w:r>
          </w:p>
        </w:tc>
        <w:tc>
          <w:tcPr>
            <w:tcW w:w="2340" w:type="dxa"/>
          </w:tcPr>
          <w:p>
            <w:pPr/>
            <w:r>
              <w:t xml:space="preserve">4.3 (3.2–5.6; 3,996)</w:t>
            </w:r>
          </w:p>
        </w:tc>
      </w:tr>
      <w:tr>
        <w:tc>
          <w:tcPr>
            <w:tcW w:w="2340" w:type="dxa"/>
          </w:tcPr>
          <w:p>
            <w:pPr/>
            <w:r>
              <w:t xml:space="preserve">≥ 2, &lt; 10⁻⁷</w:t>
            </w:r>
          </w:p>
        </w:tc>
        <w:tc>
          <w:tcPr>
            <w:tcW w:w="2340" w:type="dxa"/>
          </w:tcPr>
          <w:p>
            <w:pPr/>
            <w:r>
              <w:t xml:space="preserve">25.7 (19.6–32.0; 1,774)</w:t>
            </w:r>
          </w:p>
        </w:tc>
        <w:tc>
          <w:tcPr>
            <w:tcW w:w="2340" w:type="dxa"/>
          </w:tcPr>
          <w:p>
            <w:pPr/>
            <w:r>
              <w:t xml:space="preserve">29.5 (24.7–34.7; 2,315)</w:t>
            </w:r>
          </w:p>
        </w:tc>
        <w:tc>
          <w:tcPr>
            <w:tcW w:w="2340" w:type="dxa"/>
          </w:tcPr>
          <w:p>
            <w:pPr/>
            <w:r>
              <w:t xml:space="preserve">4.7 (3.4–6.1; 3,411)</w:t>
            </w:r>
          </w:p>
        </w:tc>
      </w:tr>
      <w:tr>
        <w:tc>
          <w:tcPr>
            <w:tcW w:w="2340" w:type="dxa"/>
          </w:tcPr>
          <w:p>
            <w:pPr/>
            <w:r>
              <w:t xml:space="preserve">≥ 3, &lt; 10⁻³</w:t>
            </w:r>
          </w:p>
        </w:tc>
        <w:tc>
          <w:tcPr>
            <w:tcW w:w="2340" w:type="dxa"/>
          </w:tcPr>
          <w:p>
            <w:pPr/>
            <w:r>
              <w:t xml:space="preserve">21.3 (16.3–26.9; 2,132)</w:t>
            </w:r>
          </w:p>
        </w:tc>
        <w:tc>
          <w:tcPr>
            <w:tcW w:w="2340" w:type="dxa"/>
          </w:tcPr>
          <w:p>
            <w:pPr/>
            <w:r>
              <w:t xml:space="preserve">23.3 (19.3–27.4; 2,979)</w:t>
            </w:r>
          </w:p>
        </w:tc>
        <w:tc>
          <w:tcPr>
            <w:tcW w:w="2340" w:type="dxa"/>
          </w:tcPr>
          <w:p>
            <w:pPr/>
            <w:r>
              <w:t xml:space="preserve">3.9 (2.9–5.0; 4,549)</w:t>
            </w:r>
          </w:p>
        </w:tc>
      </w:tr>
      <w:tr>
        <w:tc>
          <w:tcPr>
            <w:tcW w:w="2340" w:type="dxa"/>
          </w:tcPr>
          <w:p>
            <w:pPr/>
            <w:r>
              <w:rPr>
                <w:b/>
              </w:rPr>
              <w:t xml:space="preserve">≥ 3, &lt; 10⁻⁵ (production)</w:t>
            </w:r>
          </w:p>
        </w:tc>
        <w:tc>
          <w:tcPr>
            <w:tcW w:w="2340" w:type="dxa"/>
          </w:tcPr>
          <w:p>
            <w:pPr/>
            <w:r>
              <w:t xml:space="preserve">23.0 (17.4–28.7; 1,970)</w:t>
            </w:r>
          </w:p>
        </w:tc>
        <w:tc>
          <w:tcPr>
            <w:tcW w:w="2340" w:type="dxa"/>
          </w:tcPr>
          <w:p>
            <w:pPr/>
            <w:r>
              <w:t xml:space="preserve">26.3 (21.8–31.1; 2,608)</w:t>
            </w:r>
          </w:p>
        </w:tc>
        <w:tc>
          <w:tcPr>
            <w:tcW w:w="2340" w:type="dxa"/>
          </w:tcPr>
          <w:p>
            <w:pPr/>
            <w:r>
              <w:t xml:space="preserve">4.3 (3.1–5.6; 3,936)</w:t>
            </w:r>
          </w:p>
        </w:tc>
      </w:tr>
      <w:tr>
        <w:tc>
          <w:tcPr>
            <w:tcW w:w="2340" w:type="dxa"/>
          </w:tcPr>
          <w:p>
            <w:pPr/>
            <w:r>
              <w:t xml:space="preserve">≥ 3, &lt; 10⁻⁷</w:t>
            </w:r>
          </w:p>
        </w:tc>
        <w:tc>
          <w:tcPr>
            <w:tcW w:w="2340" w:type="dxa"/>
          </w:tcPr>
          <w:p>
            <w:pPr/>
            <w:r>
              <w:t xml:space="preserve">25.2 (19.1–31.5; 1,761)</w:t>
            </w:r>
          </w:p>
        </w:tc>
        <w:tc>
          <w:tcPr>
            <w:tcW w:w="2340" w:type="dxa"/>
          </w:tcPr>
          <w:p>
            <w:pPr/>
            <w:r>
              <w:t xml:space="preserve">29.4 (24.5–34.5; 2,307)</w:t>
            </w:r>
          </w:p>
        </w:tc>
        <w:tc>
          <w:tcPr>
            <w:tcW w:w="2340" w:type="dxa"/>
          </w:tcPr>
          <w:p>
            <w:pPr/>
            <w:r>
              <w:t xml:space="preserve">4.6 (3.3–6.1; 3,403)</w:t>
            </w:r>
          </w:p>
        </w:tc>
      </w:tr>
      <w:tr>
        <w:tc>
          <w:tcPr>
            <w:tcW w:w="2340" w:type="dxa"/>
          </w:tcPr>
          <w:p>
            <w:pPr/>
            <w:r>
              <w:t xml:space="preserve">≥ 4, &lt; 10⁻³</w:t>
            </w:r>
          </w:p>
        </w:tc>
        <w:tc>
          <w:tcPr>
            <w:tcW w:w="2340" w:type="dxa"/>
          </w:tcPr>
          <w:p>
            <w:pPr/>
            <w:r>
              <w:t xml:space="preserve">22.1 (16.5–27.9; 1,994)</w:t>
            </w:r>
          </w:p>
        </w:tc>
        <w:tc>
          <w:tcPr>
            <w:tcW w:w="2340" w:type="dxa"/>
          </w:tcPr>
          <w:p>
            <w:pPr/>
            <w:r>
              <w:t xml:space="preserve">24.0 (19.7–28.6; 2,785)</w:t>
            </w:r>
          </w:p>
        </w:tc>
        <w:tc>
          <w:tcPr>
            <w:tcW w:w="2340" w:type="dxa"/>
          </w:tcPr>
          <w:p>
            <w:pPr/>
            <w:r>
              <w:t xml:space="preserve">4.0 (2.9–5.2; 4,271)</w:t>
            </w:r>
          </w:p>
        </w:tc>
      </w:tr>
      <w:tr>
        <w:tc>
          <w:tcPr>
            <w:tcW w:w="2340" w:type="dxa"/>
          </w:tcPr>
          <w:p>
            <w:pPr/>
            <w:r>
              <w:t xml:space="preserve">≥ 4, &lt; 10⁻⁵</w:t>
            </w:r>
          </w:p>
        </w:tc>
        <w:tc>
          <w:tcPr>
            <w:tcW w:w="2340" w:type="dxa"/>
          </w:tcPr>
          <w:p>
            <w:pPr/>
            <w:r>
              <w:t xml:space="preserve">23.0 (17.4–29.0; 1,901)</w:t>
            </w:r>
          </w:p>
        </w:tc>
        <w:tc>
          <w:tcPr>
            <w:tcW w:w="2340" w:type="dxa"/>
          </w:tcPr>
          <w:p>
            <w:pPr/>
            <w:r>
              <w:t xml:space="preserve">26.3 (21.7–31.0; 2,522)</w:t>
            </w:r>
          </w:p>
        </w:tc>
        <w:tc>
          <w:tcPr>
            <w:tcW w:w="2340" w:type="dxa"/>
          </w:tcPr>
          <w:p>
            <w:pPr/>
            <w:r>
              <w:t xml:space="preserve">4.3 (3.1–5.6; 3,829)</w:t>
            </w:r>
          </w:p>
        </w:tc>
      </w:tr>
      <w:tr>
        <w:tc>
          <w:tcPr>
            <w:tcW w:w="2340" w:type="dxa"/>
          </w:tcPr>
          <w:p>
            <w:pPr/>
            <w:r>
              <w:t xml:space="preserve">≥ 4, &lt; 10⁻⁷</w:t>
            </w:r>
          </w:p>
        </w:tc>
        <w:tc>
          <w:tcPr>
            <w:tcW w:w="2340" w:type="dxa"/>
          </w:tcPr>
          <w:p>
            <w:pPr/>
            <w:r>
              <w:t xml:space="preserve">24.8 (18.8–31.2; 1,730)</w:t>
            </w:r>
          </w:p>
        </w:tc>
        <w:tc>
          <w:tcPr>
            <w:tcW w:w="2340" w:type="dxa"/>
          </w:tcPr>
          <w:p>
            <w:pPr/>
            <w:r>
              <w:t xml:space="preserve">29.1 (24.1–34.3; 2,275)</w:t>
            </w:r>
          </w:p>
        </w:tc>
        <w:tc>
          <w:tcPr>
            <w:tcW w:w="2340" w:type="dxa"/>
          </w:tcPr>
          <w:p>
            <w:pPr/>
            <w:r>
              <w:t xml:space="preserve">4.6 (3.2–6.1; 3,376)</w:t>
            </w:r>
          </w:p>
        </w:tc>
      </w:tr>
      <w:tr>
        <w:tc>
          <w:tcPr>
            <w:tcW w:w="2340" w:type="dxa"/>
          </w:tcPr>
          <w:p>
            <w:pPr/>
            <w:r>
              <w:t xml:space="preserve">≥ 5, &lt; 10⁻³</w:t>
            </w:r>
          </w:p>
        </w:tc>
        <w:tc>
          <w:tcPr>
            <w:tcW w:w="2340" w:type="dxa"/>
          </w:tcPr>
          <w:p>
            <w:pPr/>
            <w:r>
              <w:t xml:space="preserve">22.1 (16.3–28.1; 1,858)</w:t>
            </w:r>
          </w:p>
        </w:tc>
        <w:tc>
          <w:tcPr>
            <w:tcW w:w="2340" w:type="dxa"/>
          </w:tcPr>
          <w:p>
            <w:pPr/>
            <w:r>
              <w:t xml:space="preserve">24.7 (20.3–29.5; 2,647)</w:t>
            </w:r>
          </w:p>
        </w:tc>
        <w:tc>
          <w:tcPr>
            <w:tcW w:w="2340" w:type="dxa"/>
          </w:tcPr>
          <w:p>
            <w:pPr/>
            <w:r>
              <w:t xml:space="preserve">4.0 (2.8–5.2; 3,996)</w:t>
            </w:r>
          </w:p>
        </w:tc>
      </w:tr>
      <w:tr>
        <w:tc>
          <w:tcPr>
            <w:tcW w:w="2340" w:type="dxa"/>
          </w:tcPr>
          <w:p>
            <w:pPr/>
            <w:r>
              <w:t xml:space="preserve">≥ 5, &lt; 10⁻⁵</w:t>
            </w:r>
          </w:p>
        </w:tc>
        <w:tc>
          <w:tcPr>
            <w:tcW w:w="2340" w:type="dxa"/>
          </w:tcPr>
          <w:p>
            <w:pPr/>
            <w:r>
              <w:t xml:space="preserve">22.8 (16.8–28.7; 1,796)</w:t>
            </w:r>
          </w:p>
        </w:tc>
        <w:tc>
          <w:tcPr>
            <w:tcW w:w="2340" w:type="dxa"/>
          </w:tcPr>
          <w:p>
            <w:pPr/>
            <w:r>
              <w:t xml:space="preserve">26.8 (22.1–31.8; 2,422)</w:t>
            </w:r>
          </w:p>
        </w:tc>
        <w:tc>
          <w:tcPr>
            <w:tcW w:w="2340" w:type="dxa"/>
          </w:tcPr>
          <w:p>
            <w:pPr/>
            <w:r>
              <w:t xml:space="preserve">4.2 (3.0–5.6; 3,651)</w:t>
            </w:r>
          </w:p>
        </w:tc>
      </w:tr>
      <w:tr>
        <w:tc>
          <w:tcPr>
            <w:tcW w:w="2340" w:type="dxa"/>
          </w:tcPr>
          <w:p>
            <w:pPr/>
            <w:r>
              <w:t xml:space="preserve">≥ 5, &lt; 10⁻⁷</w:t>
            </w:r>
          </w:p>
        </w:tc>
        <w:tc>
          <w:tcPr>
            <w:tcW w:w="2340" w:type="dxa"/>
          </w:tcPr>
          <w:p>
            <w:pPr/>
            <w:r>
              <w:t xml:space="preserve">24.3 (18.1–30.7; 1,679)</w:t>
            </w:r>
          </w:p>
        </w:tc>
        <w:tc>
          <w:tcPr>
            <w:tcW w:w="2340" w:type="dxa"/>
          </w:tcPr>
          <w:p>
            <w:pPr/>
            <w:r>
              <w:t xml:space="preserve">29.0 (23.9–34.2; 2,231)</w:t>
            </w:r>
          </w:p>
        </w:tc>
        <w:tc>
          <w:tcPr>
            <w:tcW w:w="2340" w:type="dxa"/>
          </w:tcPr>
          <w:p>
            <w:pPr/>
            <w:r>
              <w:t xml:space="preserve">4.4 (3.1–5.9; 3,285)</w:t>
            </w:r>
          </w:p>
        </w:tc>
      </w:tr>
      <w:tr>
        <w:tc>
          <w:tcPr>
            <w:tcW w:w="2340" w:type="dxa"/>
          </w:tcPr>
          <w:p>
            <w:pPr/>
            <w:r>
              <w:t xml:space="preserve">≥ 3, &lt; 10⁻⁵, ≥ 3 specific genes</w:t>
            </w:r>
          </w:p>
        </w:tc>
        <w:tc>
          <w:tcPr>
            <w:tcW w:w="2340" w:type="dxa"/>
          </w:tcPr>
          <w:p>
            <w:pPr/>
            <w:r>
              <w:t xml:space="preserve">30.3 (22.7–37.9; 1,282)</w:t>
            </w:r>
          </w:p>
        </w:tc>
        <w:tc>
          <w:tcPr>
            <w:tcW w:w="2340" w:type="dxa"/>
          </w:tcPr>
          <w:p>
            <w:pPr/>
            <w:r>
              <w:t xml:space="preserve">33.2 (27.5–39.0; 1,817)</w:t>
            </w:r>
          </w:p>
        </w:tc>
        <w:tc>
          <w:tcPr>
            <w:tcW w:w="2340" w:type="dxa"/>
          </w:tcPr>
          <w:p>
            <w:pPr/>
            <w:r>
              <w:t xml:space="preserve">4.8 (3.4–6.5; 2,875)</w:t>
            </w:r>
          </w:p>
        </w:tc>
      </w:tr>
      <w:tr>
        <w:tc>
          <w:tcPr>
            <w:tcW w:w="2340" w:type="dxa"/>
          </w:tcPr>
          <w:p>
            <w:pPr/>
            <w:r>
              <w:t xml:space="preserve">Before the correction: ≥ 3, &lt; 10⁻⁶, population counting diseases too</w:t>
            </w:r>
          </w:p>
        </w:tc>
        <w:tc>
          <w:tcPr>
            <w:tcW w:w="2340" w:type="dxa"/>
          </w:tcPr>
          <w:p>
            <w:pPr/>
            <w:r>
              <w:t xml:space="preserve">22.7 (17.3–28.6; 1,992)</w:t>
            </w:r>
          </w:p>
        </w:tc>
        <w:tc>
          <w:tcPr>
            <w:tcW w:w="2340" w:type="dxa"/>
          </w:tcPr>
          <w:p>
            <w:pPr/>
            <w:r>
              <w:t xml:space="preserve">25.2 (20.8–29.6; 2,725)</w:t>
            </w:r>
          </w:p>
        </w:tc>
        <w:tc>
          <w:tcPr>
            <w:tcW w:w="2340"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node/5705ebe6-3020@104 docx-w6</dc:description>
  <cp:revision>104</cp:revision>
</cp:coreProperties>
</file>