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 Jané</w:t>
      </w:r>
      <w:r>
        <w:t xml:space="preserve"> (ORCID </w:t>
      </w:r>
      <w:hyperlink r:id="rId3" w:history="1">
        <w:r>
          <w:rPr>
            <w:rStyle w:val="Hyperlink"/>
          </w:rPr>
          <w:t xml:space="preserve">0009-0000-9624-332X</w:t>
        </w:r>
      </w:hyperlink>
      <w:r>
        <w:t xml:space="preserve">), independent researcher, Barcelona, Spain. Correspondence: contact@orevid.org</w:t>
      </w:r>
    </w:p>
    <w:p>
      <w:pPr/>
      <w:r>
        <w:rPr>
          <w:b/>
        </w:rPr>
        <w:t xml:space="preserve">Keywords:</w:t>
      </w:r>
      <w:r>
        <w:t xml:space="preserve"> drug repurposing; knowledge graph; learning to rank; benchmark; evidence; TxGNN; PrimeKG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10⁻⁵ over the genes with at least one associated disease).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(0.367 ± 0.008 against 0.126 ± 0.004 over five training splits), and 0.178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9.8–15.6%, resampling diseases) of direct extensions and 4.4% (3.2–5.8%) of shared-genes candidates were among the unseen approvals, against about 0.07% by chance; random gene sets of the same size selected candidates that were right as often, so the shared genes are not evidence of a shared mechanism, although they contained a protein of the curated mechanism (DrugMechDB) more often than random genes of the same disease (25% against 17%). A drug acting on a disease gene, with no other evidence, was right 1.8–3.4% of the time, no better than candidates with no evidence line at all. With the graph and the model rebuilt as known in 2015, the uses that later reached phase 3 or approval had a Recall@100 of 0.322 against 0.174 for popularity (paired difference 0.148, 95% CI 0.123–0.173), a pre-registered test.</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112410"/>
            <wp:docPr id="1" name="image1" descr="Figure 1: OREVID pipeline, from the sources to what a disease page shows"/>
            <a:graphic xmlns:a="http://schemas.openxmlformats.org/drawingml/2006/main">
              <a:graphicData uri="http://schemas.openxmlformats.org/drawingml/2006/picture">
                <pic:pic xmlns:pic="http://schemas.openxmlformats.org/drawingml/2006/picture">
                  <pic:nvPicPr>
                    <pic:cNvPr id="1" name="image1" descr="Figure 1: OREVID pipeline, from the sources to what a disease page shows"/>
                    <pic:cNvPicPr/>
                  </pic:nvPicPr>
                  <pic:blipFill>
                    <a:blip r:embed="rId4"/>
                    <a:stretch>
                      <a:fillRect/>
                    </a:stretch>
                  </pic:blipFill>
                  <pic:spPr>
                    <a:xfrm>
                      <a:off x="0" y="0"/>
                      <a:ext cx="5486400" cy="3112410"/>
                    </a:xfrm>
                    <a:prstGeom prst="rect">
                      <a:avLst/>
                    </a:prstGeom>
                  </pic:spPr>
                </pic:pic>
              </a:graphicData>
            </a:graphic>
          </wp:inline>
        </w:drawing>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10⁻⁵, the population being the genes with at least one associated disease (19,735) except the 55 associated with 500 or more diseases («shared genes»). These hub genes, mostly developmental genes of rare syndromes such as FGFR3, GLI3 and TP53, count neither in the number of shared genes nor in the test; the rule was pre-registered and adopted after the first version, because the candidates they alone brought were right 1–3% of the time, like hidden ones. Every other candidate is hidden. An earlier version also counted the diseases in that population, which made p-values too small; when this was corrected, the threshold was re-matched from 10⁻⁶ to 10⁻⁵ to keep the validated selection (97% agreement on the benchmark and areas; on the external exam 4.3% against 4.2% of candidates correct, with 4% fewer candidates), and all figures here use the corrected test.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9–11%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r>
        <w:rPr>
          <w:b/>
        </w:rPr>
        <w:t xml:space="preserve">Temporal validation.</w:t>
      </w:r>
      <w:r>
        <w:t xml:space="preserve"> To test the prediction of later uses, the graph was rebuilt as it was known at a cutoff year: PrimeKG drug–disease edges whose first trial in Open Targets started at or after the cutoff, and Open Targets gene–disease associations first reported after it, were removed, and the model, the popularity baseline and the logistic regression were retrained on that graph. Positives were drug–disease pairs whose first trial started at or after the cutoff and that reached phase 3 or approval by Open Targets 26.06, excluding pairs already linked in the cutoff graph. The 2012 cutoff was used for development and 2015 for confirmation. The decision rule (claim an advantage only if the paired OREVID − popularity difference in Recall@100 at 2015 had a 95% interval excluding 0) and the secondary analyses were registered before running (docs/IMPROVEMENT_PLAN.md).</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 AI assistance (Claude, Anthropic) was used to write and review code, to support the data analysis and for language editing; the reviews by AI agents and how their suggestions were checked are described under Use of AI in the Declarations. Figures 1–4 are drawn with matplotlib by the script evaluation/figures.py in the repository, which reads the result files (benchmark/predictions/*/results.json and docs/EVIDENCE_CI.md), so every plotted number comes from those files.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3059330"/>
            <wp:docPr id="2" name="image2" descr="Figure 2: Recall@100 of the popularity baseline, TxGNN and OREVID on four tests"/>
            <a:graphic xmlns:a="http://schemas.openxmlformats.org/drawingml/2006/main">
              <a:graphicData uri="http://schemas.openxmlformats.org/drawingml/2006/picture">
                <pic:pic xmlns:pic="http://schemas.openxmlformats.org/drawingml/2006/picture">
                  <pic:nvPicPr>
                    <pic:cNvPr id="2" name="image2" descr="Figure 2: Recall@100 of the popularity baseline, TxGNN and OREVID on four tests"/>
                    <pic:cNvPicPr/>
                  </pic:nvPicPr>
                  <pic:blipFill>
                    <a:blip r:embed="rId5"/>
                    <a:stretch>
                      <a:fillRect/>
                    </a:stretch>
                  </pic:blipFill>
                  <pic:spPr>
                    <a:xfrm>
                      <a:off x="0" y="0"/>
                      <a:ext cx="5486400" cy="3059330"/>
                    </a:xfrm>
                    <a:prstGeom prst="rect">
                      <a:avLst/>
                    </a:prstGeom>
                  </pic:spPr>
                </pic:pic>
              </a:graphicData>
            </a:graphic>
          </wp:inline>
        </w:drawing>
      </w:r>
    </w:p>
    <w:p>
      <w:pPr/>
      <w:r>
        <w:rPr>
          <w:b/>
        </w:rPr>
        <w:t xml:space="preserve">Figure 2.</w:t>
      </w:r>
      <w:r>
        <w:t xml:space="preserve"> Recall@100 of the popularity baseline, TxGNN and OREVID on four tests. Zero-shot: mean of five seeds; areas: mean of nine areas; external exam: first training split (over five splits, OREVID 0.367 ± 0.008, TxGNN 0.126 ± 0.004).</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 A knowledge-graph embedding baseline, RotatE [7] (the best of TransE, ComplEx and RotatE in a pre-registered grid on zero-shot seed 1), reached 0.289 ± 0.058 on zero-shot, below the popularity baseline, 0.219 on the areas and 0.156 on the external exam, where it was above TxGNN (non-obvious approvals 0.127 against 0.085). An ensemble of OREVID and RotatE, chosen on two seeds, did not improve the confirmation tests (seeds 3–5 and the areas).</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0.359, TxGNN 0.121). The training-labels-only variant was not run on the external exam. RotatE: PyKEEN knowledge-graph embedding trained on each split's training edges, with its settings chosen on zero-shot seed 1; external exam on the first split only.</w:t>
      </w:r>
    </w:p>
    <w:tbl>
      <w:tblPr>
        <w:tblStyle w:val="TableGrid"/>
        <w:tblW w:w="0" w:type="auto"/>
        <w:tblLayout w:type="fixed"/>
        <w:tblLook w:val="04A0" w:firstRow="1" w:lastRow="0" w:firstColumn="0" w:lastColumn="0" w:noHBand="0" w:noVBand="1"/>
      </w:tblPr>
      <w:tblGrid>
        <w:gridCol w:w="2171"/>
        <w:gridCol w:w="1377"/>
        <w:gridCol w:w="1344"/>
        <w:gridCol w:w="829"/>
        <w:gridCol w:w="1224"/>
        <w:gridCol w:w="1228"/>
        <w:gridCol w:w="1186"/>
      </w:tblGrid>
      <w:tr>
        <w:trPr>
          <w:tblHeader/>
        </w:trPr>
        <w:tc>
          <w:tcPr>
            <w:tcW w:w="2171" w:type="dxa"/>
            <w:shd w:val="clear" w:color="auto" w:fill="F2F2F2"/>
          </w:tcPr>
          <w:p>
            <w:pPr/>
            <w:r>
              <w:t xml:space="preserve">Model</w:t>
            </w:r>
          </w:p>
        </w:tc>
        <w:tc>
          <w:tcPr>
            <w:tcW w:w="1377" w:type="dxa"/>
            <w:shd w:val="clear" w:color="auto" w:fill="F2F2F2"/>
          </w:tcPr>
          <w:p>
            <w:pPr/>
            <w:r>
              <w:t xml:space="preserve">Zero-shot</w:t>
            </w:r>
          </w:p>
        </w:tc>
        <w:tc>
          <w:tcPr>
            <w:tcW w:w="1344" w:type="dxa"/>
            <w:shd w:val="clear" w:color="auto" w:fill="F2F2F2"/>
          </w:tcPr>
          <w:p>
            <w:pPr/>
            <w:r>
              <w:t xml:space="preserve">Zero-shot, hard</w:t>
            </w:r>
          </w:p>
        </w:tc>
        <w:tc>
          <w:tcPr>
            <w:tcW w:w="829" w:type="dxa"/>
            <w:shd w:val="clear" w:color="auto" w:fill="F2F2F2"/>
          </w:tcPr>
          <w:p>
            <w:pPr/>
            <w:r>
              <w:t xml:space="preserve">Areas</w:t>
            </w:r>
          </w:p>
        </w:tc>
        <w:tc>
          <w:tcPr>
            <w:tcW w:w="1224" w:type="dxa"/>
            <w:shd w:val="clear" w:color="auto" w:fill="F2F2F2"/>
          </w:tcPr>
          <w:p>
            <w:pPr/>
            <w:r>
              <w:t xml:space="preserve">External</w:t>
            </w:r>
          </w:p>
        </w:tc>
        <w:tc>
          <w:tcPr>
            <w:tcW w:w="1228" w:type="dxa"/>
            <w:shd w:val="clear" w:color="auto" w:fill="F2F2F2"/>
          </w:tcPr>
          <w:p>
            <w:pPr/>
            <w:r>
              <w:t xml:space="preserve">External, non-obvious</w:t>
            </w:r>
          </w:p>
        </w:tc>
        <w:tc>
          <w:tcPr>
            <w:tcW w:w="1186" w:type="dxa"/>
            <w:shd w:val="clear" w:color="auto" w:fill="F2F2F2"/>
          </w:tcPr>
          <w:p>
            <w:pPr/>
            <w:r>
              <w:t xml:space="preserve">External, recent</w:t>
            </w:r>
          </w:p>
        </w:tc>
      </w:tr>
      <w:tr>
        <w:tc>
          <w:tcPr>
            <w:tcW w:w="2171" w:type="dxa"/>
          </w:tcPr>
          <w:p>
            <w:pPr/>
            <w:r>
              <w:t xml:space="preserve">Popularity baseline</w:t>
            </w:r>
          </w:p>
        </w:tc>
        <w:tc>
          <w:tcPr>
            <w:tcW w:w="1377" w:type="dxa"/>
          </w:tcPr>
          <w:p>
            <w:pPr/>
            <w:r>
              <w:t xml:space="preserve">0.358 ± 0.040</w:t>
            </w:r>
          </w:p>
        </w:tc>
        <w:tc>
          <w:tcPr>
            <w:tcW w:w="1344" w:type="dxa"/>
          </w:tcPr>
          <w:p>
            <w:pPr/>
            <w:r>
              <w:t xml:space="preserve">0.203 ± 0.031</w:t>
            </w:r>
          </w:p>
        </w:tc>
        <w:tc>
          <w:tcPr>
            <w:tcW w:w="829" w:type="dxa"/>
          </w:tcPr>
          <w:p>
            <w:pPr/>
            <w:r>
              <w:t xml:space="preserve">0.185</w:t>
            </w:r>
          </w:p>
        </w:tc>
        <w:tc>
          <w:tcPr>
            <w:tcW w:w="1224" w:type="dxa"/>
          </w:tcPr>
          <w:p>
            <w:pPr/>
            <w:r>
              <w:t xml:space="preserve">0.130 ± 0.010</w:t>
            </w:r>
          </w:p>
        </w:tc>
        <w:tc>
          <w:tcPr>
            <w:tcW w:w="1228" w:type="dxa"/>
          </w:tcPr>
          <w:p>
            <w:pPr/>
            <w:r>
              <w:t xml:space="preserve">0.076 ± 0.006</w:t>
            </w:r>
          </w:p>
        </w:tc>
        <w:tc>
          <w:tcPr>
            <w:tcW w:w="1186" w:type="dxa"/>
          </w:tcPr>
          <w:p>
            <w:pPr/>
            <w:r>
              <w:t xml:space="preserve">0.098 ± 0.012</w:t>
            </w:r>
          </w:p>
        </w:tc>
      </w:tr>
      <w:tr>
        <w:tc>
          <w:tcPr>
            <w:tcW w:w="2171" w:type="dxa"/>
          </w:tcPr>
          <w:p>
            <w:pPr/>
            <w:r>
              <w:t xml:space="preserve">TxGNN</w:t>
            </w:r>
          </w:p>
        </w:tc>
        <w:tc>
          <w:tcPr>
            <w:tcW w:w="1377" w:type="dxa"/>
          </w:tcPr>
          <w:p>
            <w:pPr/>
            <w:r>
              <w:t xml:space="preserve">0.412 ± 0.042</w:t>
            </w:r>
          </w:p>
        </w:tc>
        <w:tc>
          <w:tcPr>
            <w:tcW w:w="1344" w:type="dxa"/>
          </w:tcPr>
          <w:p>
            <w:pPr/>
            <w:r>
              <w:t xml:space="preserve">0.258 ± 0.067</w:t>
            </w:r>
          </w:p>
        </w:tc>
        <w:tc>
          <w:tcPr>
            <w:tcW w:w="829" w:type="dxa"/>
          </w:tcPr>
          <w:p>
            <w:pPr/>
            <w:r>
              <w:t xml:space="preserve">0.237</w:t>
            </w:r>
          </w:p>
        </w:tc>
        <w:tc>
          <w:tcPr>
            <w:tcW w:w="1224" w:type="dxa"/>
          </w:tcPr>
          <w:p>
            <w:pPr/>
            <w:r>
              <w:t xml:space="preserve">0.126 ± 0.004</w:t>
            </w:r>
          </w:p>
        </w:tc>
        <w:tc>
          <w:tcPr>
            <w:tcW w:w="1228" w:type="dxa"/>
          </w:tcPr>
          <w:p>
            <w:pPr/>
            <w:r>
              <w:t xml:space="preserve">0.086 ± 0.004</w:t>
            </w:r>
          </w:p>
        </w:tc>
        <w:tc>
          <w:tcPr>
            <w:tcW w:w="1186" w:type="dxa"/>
          </w:tcPr>
          <w:p>
            <w:pPr/>
            <w:r>
              <w:t xml:space="preserve">0.138 ± 0.024</w:t>
            </w:r>
          </w:p>
        </w:tc>
      </w:tr>
      <w:tr>
        <w:tc>
          <w:tcPr>
            <w:tcW w:w="2171" w:type="dxa"/>
          </w:tcPr>
          <w:p>
            <w:pPr/>
            <w:r>
              <w:t xml:space="preserve">RotatE (knowledge-graph embedding)</w:t>
            </w:r>
          </w:p>
        </w:tc>
        <w:tc>
          <w:tcPr>
            <w:tcW w:w="1377" w:type="dxa"/>
          </w:tcPr>
          <w:p>
            <w:pPr/>
            <w:r>
              <w:t xml:space="preserve">0.289 ± 0.058</w:t>
            </w:r>
          </w:p>
        </w:tc>
        <w:tc>
          <w:tcPr>
            <w:tcW w:w="1344" w:type="dxa"/>
          </w:tcPr>
          <w:p>
            <w:pPr/>
            <w:r>
              <w:t xml:space="preserve">0.162 ± 0.048</w:t>
            </w:r>
          </w:p>
        </w:tc>
        <w:tc>
          <w:tcPr>
            <w:tcW w:w="829" w:type="dxa"/>
          </w:tcPr>
          <w:p>
            <w:pPr/>
            <w:r>
              <w:t xml:space="preserve">0.219</w:t>
            </w:r>
          </w:p>
        </w:tc>
        <w:tc>
          <w:tcPr>
            <w:tcW w:w="1224" w:type="dxa"/>
          </w:tcPr>
          <w:p>
            <w:pPr/>
            <w:r>
              <w:t xml:space="preserve">0.156 (split 1)</w:t>
            </w:r>
          </w:p>
        </w:tc>
        <w:tc>
          <w:tcPr>
            <w:tcW w:w="1228" w:type="dxa"/>
          </w:tcPr>
          <w:p>
            <w:pPr/>
            <w:r>
              <w:t xml:space="preserve">0.127 (split 1)</w:t>
            </w:r>
          </w:p>
        </w:tc>
        <w:tc>
          <w:tcPr>
            <w:tcW w:w="1186" w:type="dxa"/>
          </w:tcPr>
          <w:p>
            <w:pPr/>
            <w:r>
              <w:t xml:space="preserve">0.149 (split 1)</w:t>
            </w:r>
          </w:p>
        </w:tc>
      </w:tr>
      <w:tr>
        <w:tc>
          <w:tcPr>
            <w:tcW w:w="2171" w:type="dxa"/>
          </w:tcPr>
          <w:p>
            <w:pPr/>
            <w:r>
              <w:t xml:space="preserve">OREVID</w:t>
            </w:r>
          </w:p>
        </w:tc>
        <w:tc>
          <w:tcPr>
            <w:tcW w:w="1377" w:type="dxa"/>
          </w:tcPr>
          <w:p>
            <w:pPr/>
            <w:r>
              <w:t xml:space="preserve">0.811 ± 0.042</w:t>
            </w:r>
          </w:p>
        </w:tc>
        <w:tc>
          <w:tcPr>
            <w:tcW w:w="1344" w:type="dxa"/>
          </w:tcPr>
          <w:p>
            <w:pPr/>
            <w:r>
              <w:t xml:space="preserve">0.539 ± 0.090</w:t>
            </w:r>
          </w:p>
        </w:tc>
        <w:tc>
          <w:tcPr>
            <w:tcW w:w="829" w:type="dxa"/>
          </w:tcPr>
          <w:p>
            <w:pPr/>
            <w:r>
              <w:t xml:space="preserve">0.617</w:t>
            </w:r>
          </w:p>
        </w:tc>
        <w:tc>
          <w:tcPr>
            <w:tcW w:w="1224" w:type="dxa"/>
          </w:tcPr>
          <w:p>
            <w:pPr/>
            <w:r>
              <w:t xml:space="preserve">0.367 ± 0.008</w:t>
            </w:r>
          </w:p>
        </w:tc>
        <w:tc>
          <w:tcPr>
            <w:tcW w:w="1228" w:type="dxa"/>
          </w:tcPr>
          <w:p>
            <w:pPr/>
            <w:r>
              <w:t xml:space="preserve">0.184 ± 0.007</w:t>
            </w:r>
          </w:p>
        </w:tc>
        <w:tc>
          <w:tcPr>
            <w:tcW w:w="1186" w:type="dxa"/>
          </w:tcPr>
          <w:p>
            <w:pPr/>
            <w:r>
              <w:t xml:space="preserve">0.365 ± 0.021</w:t>
            </w:r>
          </w:p>
        </w:tc>
      </w:tr>
      <w:tr>
        <w:tc>
          <w:tcPr>
            <w:tcW w:w="2171" w:type="dxa"/>
          </w:tcPr>
          <w:p>
            <w:pPr/>
            <w:r>
              <w:t xml:space="preserve">OREVID, training labels only</w:t>
            </w:r>
          </w:p>
        </w:tc>
        <w:tc>
          <w:tcPr>
            <w:tcW w:w="1377" w:type="dxa"/>
          </w:tcPr>
          <w:p>
            <w:pPr/>
            <w:r>
              <w:t xml:space="preserve">0.803 ± 0.035</w:t>
            </w:r>
          </w:p>
        </w:tc>
        <w:tc>
          <w:tcPr>
            <w:tcW w:w="1344" w:type="dxa"/>
          </w:tcPr>
          <w:p>
            <w:pPr/>
            <w:r>
              <w:t xml:space="preserve">0.530 ± 0.073</w:t>
            </w:r>
          </w:p>
        </w:tc>
        <w:tc>
          <w:tcPr>
            <w:tcW w:w="829" w:type="dxa"/>
          </w:tcPr>
          <w:p>
            <w:pPr/>
            <w:r>
              <w:t xml:space="preserve">0.619</w:t>
            </w:r>
          </w:p>
        </w:tc>
        <w:tc>
          <w:tcPr>
            <w:tcW w:w="1224" w:type="dxa"/>
          </w:tcPr>
          <w:p>
            <w:pPr/>
            <w:r>
              <w:t xml:space="preserve">–</w:t>
            </w:r>
          </w:p>
        </w:tc>
        <w:tc>
          <w:tcPr>
            <w:tcW w:w="1228" w:type="dxa"/>
          </w:tcPr>
          <w:p>
            <w:pPr/>
            <w:r>
              <w:t xml:space="preserve">–</w:t>
            </w:r>
          </w:p>
        </w:tc>
        <w:tc>
          <w:tcPr>
            <w:tcW w:w="1186" w:type="dxa"/>
          </w:tcPr>
          <w:p>
            <w:pPr/>
            <w:r>
              <w:t xml:space="preserve">–</w:t>
            </w:r>
          </w:p>
        </w:tc>
      </w:tr>
      <w:tr>
        <w:tc>
          <w:tcPr>
            <w:tcW w:w="2171" w:type="dxa"/>
          </w:tcPr>
          <w:p>
            <w:pPr/>
            <w:r>
              <w:t xml:space="preserve">Logistic regression without popularity</w:t>
            </w:r>
          </w:p>
        </w:tc>
        <w:tc>
          <w:tcPr>
            <w:tcW w:w="1377" w:type="dxa"/>
          </w:tcPr>
          <w:p>
            <w:pPr/>
            <w:r>
              <w:t xml:space="preserve">0.781 ± 0.044</w:t>
            </w:r>
          </w:p>
        </w:tc>
        <w:tc>
          <w:tcPr>
            <w:tcW w:w="1344" w:type="dxa"/>
          </w:tcPr>
          <w:p>
            <w:pPr/>
            <w:r>
              <w:t xml:space="preserve">0.501 ± 0.088</w:t>
            </w:r>
          </w:p>
        </w:tc>
        <w:tc>
          <w:tcPr>
            <w:tcW w:w="829" w:type="dxa"/>
          </w:tcPr>
          <w:p>
            <w:pPr/>
            <w:r>
              <w:t xml:space="preserve">0.591</w:t>
            </w:r>
          </w:p>
        </w:tc>
        <w:tc>
          <w:tcPr>
            <w:tcW w:w="1224" w:type="dxa"/>
          </w:tcPr>
          <w:p>
            <w:pPr/>
            <w:r>
              <w:t xml:space="preserve">0.363 ± 0.010</w:t>
            </w:r>
          </w:p>
        </w:tc>
        <w:tc>
          <w:tcPr>
            <w:tcW w:w="1228" w:type="dxa"/>
          </w:tcPr>
          <w:p>
            <w:pPr/>
            <w:r>
              <w:t xml:space="preserve">0.183 ± 0.013</w:t>
            </w:r>
          </w:p>
        </w:tc>
        <w:tc>
          <w:tcPr>
            <w:tcW w:w="1186" w:type="dxa"/>
          </w:tcPr>
          <w:p>
            <w:pPr/>
            <w:r>
              <w:t xml:space="preserve">0.339 ± 0.016</w:t>
            </w:r>
          </w:p>
        </w:tc>
      </w:tr>
      <w:tr>
        <w:tc>
          <w:tcPr>
            <w:tcW w:w="2171" w:type="dxa"/>
          </w:tcPr>
          <w:p>
            <w:pPr/>
            <w:r>
              <w:t xml:space="preserve">OREVID without Open Targets features</w:t>
            </w:r>
          </w:p>
        </w:tc>
        <w:tc>
          <w:tcPr>
            <w:tcW w:w="1377" w:type="dxa"/>
          </w:tcPr>
          <w:p>
            <w:pPr/>
            <w:r>
              <w:t xml:space="preserve">0.802 ± 0.048</w:t>
            </w:r>
          </w:p>
        </w:tc>
        <w:tc>
          <w:tcPr>
            <w:tcW w:w="1344" w:type="dxa"/>
          </w:tcPr>
          <w:p>
            <w:pPr/>
            <w:r>
              <w:t xml:space="preserve">0.522</w:t>
            </w:r>
          </w:p>
        </w:tc>
        <w:tc>
          <w:tcPr>
            <w:tcW w:w="829" w:type="dxa"/>
          </w:tcPr>
          <w:p>
            <w:pPr/>
            <w:r>
              <w:t xml:space="preserve">0.628</w:t>
            </w:r>
          </w:p>
        </w:tc>
        <w:tc>
          <w:tcPr>
            <w:tcW w:w="1224" w:type="dxa"/>
          </w:tcPr>
          <w:p>
            <w:pPr/>
            <w:r>
              <w:t xml:space="preserve">0.348 (split 1)</w:t>
            </w:r>
          </w:p>
        </w:tc>
        <w:tc>
          <w:tcPr>
            <w:tcW w:w="1228" w:type="dxa"/>
          </w:tcPr>
          <w:p>
            <w:pPr/>
            <w:r>
              <w:t xml:space="preserve">–</w:t>
            </w:r>
          </w:p>
        </w:tc>
        <w:tc>
          <w:tcPr>
            <w:tcW w:w="1186" w:type="dxa"/>
          </w:tcPr>
          <w:p>
            <w:pPr/>
            <w:r>
              <w:t xml:space="preserve">–</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639"/>
        <w:gridCol w:w="1170"/>
        <w:gridCol w:w="1170"/>
        <w:gridCol w:w="1170"/>
        <w:gridCol w:w="984"/>
        <w:gridCol w:w="1102"/>
        <w:gridCol w:w="1023"/>
        <w:gridCol w:w="1102"/>
      </w:tblGrid>
      <w:tr>
        <w:trPr>
          <w:tblHeader/>
        </w:trPr>
        <w:tc>
          <w:tcPr>
            <w:tcW w:w="1639"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984" w:type="dxa"/>
            <w:shd w:val="clear" w:color="auto" w:fill="F2F2F2"/>
          </w:tcPr>
          <w:p>
            <w:pPr/>
            <w:r>
              <w:t xml:space="preserve">Hard TxGNN</w:t>
            </w:r>
          </w:p>
        </w:tc>
        <w:tc>
          <w:tcPr>
            <w:tcW w:w="1102" w:type="dxa"/>
            <w:shd w:val="clear" w:color="auto" w:fill="F2F2F2"/>
          </w:tcPr>
          <w:p>
            <w:pPr/>
            <w:r>
              <w:t xml:space="preserve">Hard OREVID</w:t>
            </w:r>
          </w:p>
        </w:tc>
        <w:tc>
          <w:tcPr>
            <w:tcW w:w="1023" w:type="dxa"/>
            <w:shd w:val="clear" w:color="auto" w:fill="F2F2F2"/>
          </w:tcPr>
          <w:p>
            <w:pPr/>
            <w:r>
              <w:t xml:space="preserve">AUPRC TxGNN</w:t>
            </w:r>
          </w:p>
        </w:tc>
        <w:tc>
          <w:tcPr>
            <w:tcW w:w="1102" w:type="dxa"/>
            <w:shd w:val="clear" w:color="auto" w:fill="F2F2F2"/>
          </w:tcPr>
          <w:p>
            <w:pPr/>
            <w:r>
              <w:t xml:space="preserve">AUPRC OREVID</w:t>
            </w:r>
          </w:p>
        </w:tc>
      </w:tr>
      <w:tr>
        <w:tc>
          <w:tcPr>
            <w:tcW w:w="1639"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984" w:type="dxa"/>
          </w:tcPr>
          <w:p>
            <w:pPr/>
            <w:r>
              <w:t xml:space="preserve">0.225</w:t>
            </w:r>
          </w:p>
        </w:tc>
        <w:tc>
          <w:tcPr>
            <w:tcW w:w="1102" w:type="dxa"/>
          </w:tcPr>
          <w:p>
            <w:pPr/>
            <w:r>
              <w:t xml:space="preserve">0.892</w:t>
            </w:r>
          </w:p>
        </w:tc>
        <w:tc>
          <w:tcPr>
            <w:tcW w:w="1023" w:type="dxa"/>
          </w:tcPr>
          <w:p>
            <w:pPr/>
            <w:r>
              <w:t xml:space="preserve">0.980</w:t>
            </w:r>
          </w:p>
        </w:tc>
        <w:tc>
          <w:tcPr>
            <w:tcW w:w="1102" w:type="dxa"/>
          </w:tcPr>
          <w:p>
            <w:pPr/>
            <w:r>
              <w:t xml:space="preserve">0.995</w:t>
            </w:r>
          </w:p>
        </w:tc>
      </w:tr>
      <w:tr>
        <w:tc>
          <w:tcPr>
            <w:tcW w:w="1639"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984" w:type="dxa"/>
          </w:tcPr>
          <w:p>
            <w:pPr/>
            <w:r>
              <w:t xml:space="preserve">0.000</w:t>
            </w:r>
          </w:p>
        </w:tc>
        <w:tc>
          <w:tcPr>
            <w:tcW w:w="1102" w:type="dxa"/>
          </w:tcPr>
          <w:p>
            <w:pPr/>
            <w:r>
              <w:t xml:space="preserve">0.468</w:t>
            </w:r>
          </w:p>
        </w:tc>
        <w:tc>
          <w:tcPr>
            <w:tcW w:w="1023" w:type="dxa"/>
          </w:tcPr>
          <w:p>
            <w:pPr/>
            <w:r>
              <w:t xml:space="preserve">0.655</w:t>
            </w:r>
          </w:p>
        </w:tc>
        <w:tc>
          <w:tcPr>
            <w:tcW w:w="1102" w:type="dxa"/>
          </w:tcPr>
          <w:p>
            <w:pPr/>
            <w:r>
              <w:t xml:space="preserve">0.968</w:t>
            </w:r>
          </w:p>
        </w:tc>
      </w:tr>
      <w:tr>
        <w:tc>
          <w:tcPr>
            <w:tcW w:w="1639"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984" w:type="dxa"/>
          </w:tcPr>
          <w:p>
            <w:pPr/>
            <w:r>
              <w:t xml:space="preserve">0.288</w:t>
            </w:r>
          </w:p>
        </w:tc>
        <w:tc>
          <w:tcPr>
            <w:tcW w:w="1102" w:type="dxa"/>
          </w:tcPr>
          <w:p>
            <w:pPr/>
            <w:r>
              <w:t xml:space="preserve">0.449</w:t>
            </w:r>
          </w:p>
        </w:tc>
        <w:tc>
          <w:tcPr>
            <w:tcW w:w="1023" w:type="dxa"/>
          </w:tcPr>
          <w:p>
            <w:pPr/>
            <w:r>
              <w:t xml:space="preserve">0.914</w:t>
            </w:r>
          </w:p>
        </w:tc>
        <w:tc>
          <w:tcPr>
            <w:tcW w:w="1102" w:type="dxa"/>
          </w:tcPr>
          <w:p>
            <w:pPr/>
            <w:r>
              <w:t xml:space="preserve">0.909</w:t>
            </w:r>
          </w:p>
        </w:tc>
      </w:tr>
      <w:tr>
        <w:tc>
          <w:tcPr>
            <w:tcW w:w="1639"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984" w:type="dxa"/>
          </w:tcPr>
          <w:p>
            <w:pPr/>
            <w:r>
              <w:t xml:space="preserve">0.090</w:t>
            </w:r>
          </w:p>
        </w:tc>
        <w:tc>
          <w:tcPr>
            <w:tcW w:w="1102" w:type="dxa"/>
          </w:tcPr>
          <w:p>
            <w:pPr/>
            <w:r>
              <w:t xml:space="preserve">0.335</w:t>
            </w:r>
          </w:p>
        </w:tc>
        <w:tc>
          <w:tcPr>
            <w:tcW w:w="1023" w:type="dxa"/>
          </w:tcPr>
          <w:p>
            <w:pPr/>
            <w:r>
              <w:t xml:space="preserve">0.772</w:t>
            </w:r>
          </w:p>
        </w:tc>
        <w:tc>
          <w:tcPr>
            <w:tcW w:w="1102" w:type="dxa"/>
          </w:tcPr>
          <w:p>
            <w:pPr/>
            <w:r>
              <w:t xml:space="preserve">0.783</w:t>
            </w:r>
          </w:p>
        </w:tc>
      </w:tr>
      <w:tr>
        <w:tc>
          <w:tcPr>
            <w:tcW w:w="1639"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984" w:type="dxa"/>
          </w:tcPr>
          <w:p>
            <w:pPr/>
            <w:r>
              <w:t xml:space="preserve">0.233</w:t>
            </w:r>
          </w:p>
        </w:tc>
        <w:tc>
          <w:tcPr>
            <w:tcW w:w="1102" w:type="dxa"/>
          </w:tcPr>
          <w:p>
            <w:pPr/>
            <w:r>
              <w:t xml:space="preserve">0.576</w:t>
            </w:r>
          </w:p>
        </w:tc>
        <w:tc>
          <w:tcPr>
            <w:tcW w:w="1023" w:type="dxa"/>
          </w:tcPr>
          <w:p>
            <w:pPr/>
            <w:r>
              <w:t xml:space="preserve">0.951</w:t>
            </w:r>
          </w:p>
        </w:tc>
        <w:tc>
          <w:tcPr>
            <w:tcW w:w="1102" w:type="dxa"/>
          </w:tcPr>
          <w:p>
            <w:pPr/>
            <w:r>
              <w:t xml:space="preserve">0.949</w:t>
            </w:r>
          </w:p>
        </w:tc>
      </w:tr>
      <w:tr>
        <w:tc>
          <w:tcPr>
            <w:tcW w:w="1639"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984" w:type="dxa"/>
          </w:tcPr>
          <w:p>
            <w:pPr/>
            <w:r>
              <w:t xml:space="preserve">0.028</w:t>
            </w:r>
          </w:p>
        </w:tc>
        <w:tc>
          <w:tcPr>
            <w:tcW w:w="1102" w:type="dxa"/>
          </w:tcPr>
          <w:p>
            <w:pPr/>
            <w:r>
              <w:t xml:space="preserve">0.236</w:t>
            </w:r>
          </w:p>
        </w:tc>
        <w:tc>
          <w:tcPr>
            <w:tcW w:w="1023" w:type="dxa"/>
          </w:tcPr>
          <w:p>
            <w:pPr/>
            <w:r>
              <w:t xml:space="preserve">0.690</w:t>
            </w:r>
          </w:p>
        </w:tc>
        <w:tc>
          <w:tcPr>
            <w:tcW w:w="1102" w:type="dxa"/>
          </w:tcPr>
          <w:p>
            <w:pPr/>
            <w:r>
              <w:t xml:space="preserve">0.727</w:t>
            </w:r>
          </w:p>
        </w:tc>
      </w:tr>
      <w:tr>
        <w:tc>
          <w:tcPr>
            <w:tcW w:w="1639"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984" w:type="dxa"/>
          </w:tcPr>
          <w:p>
            <w:pPr/>
            <w:r>
              <w:t xml:space="preserve">0.202</w:t>
            </w:r>
          </w:p>
        </w:tc>
        <w:tc>
          <w:tcPr>
            <w:tcW w:w="1102" w:type="dxa"/>
          </w:tcPr>
          <w:p>
            <w:pPr/>
            <w:r>
              <w:t xml:space="preserve">0.349</w:t>
            </w:r>
          </w:p>
        </w:tc>
        <w:tc>
          <w:tcPr>
            <w:tcW w:w="1023" w:type="dxa"/>
          </w:tcPr>
          <w:p>
            <w:pPr/>
            <w:r>
              <w:t xml:space="preserve">0.924</w:t>
            </w:r>
          </w:p>
        </w:tc>
        <w:tc>
          <w:tcPr>
            <w:tcW w:w="1102" w:type="dxa"/>
          </w:tcPr>
          <w:p>
            <w:pPr/>
            <w:r>
              <w:t xml:space="preserve">0.871</w:t>
            </w:r>
          </w:p>
        </w:tc>
      </w:tr>
      <w:tr>
        <w:tc>
          <w:tcPr>
            <w:tcW w:w="1639"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984" w:type="dxa"/>
          </w:tcPr>
          <w:p>
            <w:pPr/>
            <w:r>
              <w:t xml:space="preserve">0.011</w:t>
            </w:r>
          </w:p>
        </w:tc>
        <w:tc>
          <w:tcPr>
            <w:tcW w:w="1102" w:type="dxa"/>
          </w:tcPr>
          <w:p>
            <w:pPr/>
            <w:r>
              <w:t xml:space="preserve">0.409</w:t>
            </w:r>
          </w:p>
        </w:tc>
        <w:tc>
          <w:tcPr>
            <w:tcW w:w="1023" w:type="dxa"/>
          </w:tcPr>
          <w:p>
            <w:pPr/>
            <w:r>
              <w:t xml:space="preserve">0.925</w:t>
            </w:r>
          </w:p>
        </w:tc>
        <w:tc>
          <w:tcPr>
            <w:tcW w:w="1102" w:type="dxa"/>
          </w:tcPr>
          <w:p>
            <w:pPr/>
            <w:r>
              <w:t xml:space="preserve">0.915</w:t>
            </w:r>
          </w:p>
        </w:tc>
      </w:tr>
      <w:tr>
        <w:tc>
          <w:tcPr>
            <w:tcW w:w="1639"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984" w:type="dxa"/>
          </w:tcPr>
          <w:p>
            <w:pPr/>
            <w:r>
              <w:t xml:space="preserve">0.192</w:t>
            </w:r>
          </w:p>
        </w:tc>
        <w:tc>
          <w:tcPr>
            <w:tcW w:w="1102" w:type="dxa"/>
          </w:tcPr>
          <w:p>
            <w:pPr/>
            <w:r>
              <w:t xml:space="preserve">0.699</w:t>
            </w:r>
          </w:p>
        </w:tc>
        <w:tc>
          <w:tcPr>
            <w:tcW w:w="1023" w:type="dxa"/>
          </w:tcPr>
          <w:p>
            <w:pPr/>
            <w:r>
              <w:t xml:space="preserve">0.984</w:t>
            </w:r>
          </w:p>
        </w:tc>
        <w:tc>
          <w:tcPr>
            <w:tcW w:w="1102" w:type="dxa"/>
          </w:tcPr>
          <w:p>
            <w:pPr/>
            <w:r>
              <w:t xml:space="preserve">0.952</w:t>
            </w:r>
          </w:p>
        </w:tc>
      </w:tr>
      <w:tr>
        <w:tc>
          <w:tcPr>
            <w:tcW w:w="1639"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984" w:type="dxa"/>
          </w:tcPr>
          <w:p>
            <w:pPr/>
            <w:r>
              <w:t xml:space="preserve">0.141</w:t>
            </w:r>
          </w:p>
        </w:tc>
        <w:tc>
          <w:tcPr>
            <w:tcW w:w="1102" w:type="dxa"/>
          </w:tcPr>
          <w:p>
            <w:pPr/>
            <w:r>
              <w:t xml:space="preserve">0.490</w:t>
            </w:r>
          </w:p>
        </w:tc>
        <w:tc>
          <w:tcPr>
            <w:tcW w:w="1023" w:type="dxa"/>
          </w:tcPr>
          <w:p>
            <w:pPr/>
            <w:r>
              <w:t xml:space="preserve">0.866</w:t>
            </w:r>
          </w:p>
        </w:tc>
        <w:tc>
          <w:tcPr>
            <w:tcW w:w="1102" w:type="dxa"/>
          </w:tcPr>
          <w:p>
            <w:pPr/>
            <w:r>
              <w:t xml:space="preserve">0.897</w:t>
            </w:r>
          </w:p>
        </w:tc>
      </w:tr>
      <w:tr>
        <w:tc>
          <w:tcPr>
            <w:tcW w:w="1639"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984" w:type="dxa"/>
          </w:tcPr>
          <w:p>
            <w:pPr/>
            <w:r>
              <w:t xml:space="preserve">0.173</w:t>
            </w:r>
          </w:p>
        </w:tc>
        <w:tc>
          <w:tcPr>
            <w:tcW w:w="1102" w:type="dxa"/>
          </w:tcPr>
          <w:p>
            <w:pPr/>
            <w:r>
              <w:t xml:space="preserve">0.479</w:t>
            </w:r>
          </w:p>
        </w:tc>
        <w:tc>
          <w:tcPr>
            <w:tcW w:w="1023" w:type="dxa"/>
          </w:tcPr>
          <w:p>
            <w:pPr/>
            <w:r>
              <w:t xml:space="preserve">–</w:t>
            </w:r>
          </w:p>
        </w:tc>
        <w:tc>
          <w:tcPr>
            <w:tcW w:w="1102" w:type="dxa"/>
          </w:tcPr>
          <w:p>
            <w:pPr/>
            <w:r>
              <w:t xml:space="preserve">–</w:t>
            </w:r>
          </w:p>
        </w:tc>
      </w:tr>
    </w:tbl>
    <w:p>
      <w:pPr/>
      <w:r>
        <w:drawing>
          <wp:inline distT="0" distB="0" distL="0" distR="0">
            <wp:extent cx="5486400" cy="4101079"/>
            <wp:docPr id="3" name="image3" descr="Figure 3: Recall@100 per zero-shot seed and per disease area"/>
            <a:graphic xmlns:a="http://schemas.openxmlformats.org/drawingml/2006/main">
              <a:graphicData uri="http://schemas.openxmlformats.org/drawingml/2006/picture">
                <pic:pic xmlns:pic="http://schemas.openxmlformats.org/drawingml/2006/picture">
                  <pic:nvPicPr>
                    <pic:cNvPr id="3" name="image3" descr="Figure 3: Recall@100 per zero-shot seed and per disease area"/>
                    <pic:cNvPicPr/>
                  </pic:nvPicPr>
                  <pic:blipFill>
                    <a:blip r:embed="rId6"/>
                    <a:stretch>
                      <a:fillRect/>
                    </a:stretch>
                  </pic:blipFill>
                  <pic:spPr>
                    <a:xfrm>
                      <a:off x="0" y="0"/>
                      <a:ext cx="5486400" cy="4101079"/>
                    </a:xfrm>
                    <a:prstGeom prst="rect">
                      <a:avLst/>
                    </a:prstGeom>
                  </pic:spPr>
                </pic:pic>
              </a:graphicData>
            </a:graphic>
          </wp:inline>
        </w:drawing>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(1.4–2.4%); shared genes with a disease that has many associated genes, where the overlap did not reach the significance threshold, were correct 0–2.5% of the time. When at least 3 shared genes were specific, shared-genes candidates were correct 31–34% of the time in hidden-treatment tests and 4.9% (95% CI 3.4–6.6%) in the external exam, against 10–11% and 3.0% otherwise.</w:t>
      </w:r>
    </w:p>
    <w:p>
      <w:pPr/>
      <w:r>
        <w:drawing>
          <wp:inline distT="0" distB="0" distL="0" distR="0">
            <wp:extent cx="5486400" cy="3330435"/>
            <wp:docPr id="4" name="image4" descr="Figure 4: Hit rate among the top 25 candidates, by website section"/>
            <a:graphic xmlns:a="http://schemas.openxmlformats.org/drawingml/2006/main">
              <a:graphicData uri="http://schemas.openxmlformats.org/drawingml/2006/picture">
                <pic:pic xmlns:pic="http://schemas.openxmlformats.org/drawingml/2006/picture">
                  <pic:nvPicPr>
                    <pic:cNvPr id="4" name="image4" descr="Figure 4: Hit rate among the top 25 candidates, by website section"/>
                    <pic:cNvPicPr/>
                  </pic:nvPicPr>
                  <pic:blipFill>
                    <a:blip r:embed="rId7"/>
                    <a:stretch>
                      <a:fillRect/>
                    </a:stretch>
                  </pic:blipFill>
                  <pic:spPr>
                    <a:xfrm>
                      <a:off x="0" y="0"/>
                      <a:ext cx="5486400" cy="3330435"/>
                    </a:xfrm>
                    <a:prstGeom prst="rect">
                      <a:avLst/>
                    </a:prstGeom>
                  </pic:spPr>
                </pic:pic>
              </a:graphicData>
            </a:graphic>
          </wp:inline>
        </w:drawing>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(1,996 on average, against 3,791) that were right 5.2% of the time on the external exam (99th percentile 5.6%), against 4.4% for the real shared genes, so the criterion fixed in advance was not met. In further, exploratory comparisons the same held within each range of gene-set size (fewer than 100 genes: 2.9% against a null of 2.5%; 100–499: 6.0% against 6.2%; 500 or more: 4.6% against 4.6%), when at least 3 specific genes were required (4.9% against 5.4%), and on the benchmark in every range of gene-set size (for diseases with fewer than 100 genes, 16.0% against a null of 11.9% and a 99th percentile of 18.0%). The threshold itself was not a sharp optimum: from 2 to 5 genes and p from 10⁻³ to 10⁻⁷, the external hit rate ranged from 3.9% to 4.8% (Supplementary Table S5). The line therefore selects drugs already used in diseases of similar size and research intensity; the genes it lists are context, not evidence of a shared mechanism. They are not unrelated to mechanism, however: in a pre-registered comparison with DrugMechDB [21], curated paths from drug to disease, the shared genes of 447 indicated drug–disease pairs contained a protein of the curated mechanism beyond the drug's direct targets in 25.1% of pairs, against 16.9% for as many genes drawn at random from the same disease (99th percentile 19.2%), although the sets are large (median 76 genes, of which a page shows 6).</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Temporal validation</w:t>
      </w:r>
    </w:p>
    <w:p>
      <w:pPr/>
      <w:r>
        <w:t xml:space="preserve">Rebuilt as known in 2015, OREVID ranked the uses that later reached phase 3 or approval well above popularity (813 test diseases, 2,832 pairs; Recall@100 0.322 against 0.174, paired difference 0.148, 95% CI 0.123–0.173), meeting the pre-registered rule; the development cutoff (2012) gave the same result (0.324 against 0.175). The difference held for pairs with no PrimeKG drug–disease edge of any kind (0.117, 0.093–0.142), for confirmed approvals (0.525 against 0.226) and for a model without any Open Targets feature (0.135), but it was small for non-obvious uses (0.043, 0.022–0.066). Among the 25 highest-ranked drugs per disease, 5.4% of direct extensions, 3.1% of shared-genes candidates and 0.8% of hidden drugs later reached phase 3 or approval, the same ordering as in the external exam. A logistic model that turned section, rank and gene-set size into a calibrated probability improved the Brier score over the section rates by only 2.5% (pre-registered threshold 5%) and is not used.</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3.5 × 10⁻⁶). Aripiprazole ranked sixth for Tourette syndrome, through autism spectrum disorder (75 shared genes). Pasireotide ranked 12th for acromegaly, through Cushing syndrome (AIP, GNAS and POMC; p = 3.0 × 10⁻⁸).</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1,218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4.3 shared-genes candidates; 44% of diseases show neither (55%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 For information only, each candidate also shows whether a generic or biosimilar is marketed in the United States (FDA Orange Book and Purple Book) or authorised centrally in the European Union (EMA), and how many trials and articles already cover the pair; those with no trial and at most two articles are marked as underexplored.</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the temporal test and the prospective test below come closer to new uses. Publishing these rates next to the optimistic hidden-treatment figures, and hiding candidates whose evidence does not beat chance, is meant to let users calibrate their trust.</w:t>
      </w:r>
    </w:p>
    <w:p>
      <w:pPr/>
      <w:r>
        <w:t xml:space="preserve">Knowledge-graph embeddings were weaker than both TxGNN and the metapath model on the zero-shot split, where a test disease has lost every drug edge and an embedding has little to place it with, but RotatE ranked approvals missing from PrimeKG better than TxGNN, especially non-obvious ones. Only one embedding family was carried beyond the tuning seed (TransE and ComplEx were dominated by RotatE there), and the grid was small, so better-tuned embeddings may do better; OREVID-bench provides the splits, tasks and evaluation script so that other models can be added, and submissions are welcome. The comparison still covers one graph neural network, one embedding model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temporal test removes later trials and associations from the graph, but 80% of PrimeKG indications carry no date and stay in the training graph, so some later knowledge may leak, and its advantage on non-obvious uses was small.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0.011.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(4.6% against 1.5%),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a pre-registered test of expression-signature reversal (LINCS L1000 consensus signatures against GEO disease signatures, 2,410 drugs and 239 diseases) ranked them at chance at the 2015 cutoff. Three pre-registered replacements for the shared-genes line (shared enriched Reactome pathways, specificity-weighted genes, genetic evidence only) did not beat the permutation null on the external exam either, although pathway overlap selected fewer candidates with a higher hit rate in every test (5.0% against 4.3% on the external exam). Network proximity between drug targets and disease genes [23] ranked drugs with no prior use above random at the 2015 cutoff (Recall@100 0.061 against 0.018) but below OREVID's own ranking of the same drugs (0.133), and as an added feature it did not pass its pre-registered rule. Restricting the shared genes to curated gene–disease validity (GenCC [22]) raised the external hit rate to 4.8% but removed correct candidates on the benchmark, and covers few diseases. An audit of drug status against current FDA and EMA labels is not yet shown on the website: its first version failed a manual check.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r>
        <w:rPr>
          <w:b/>
        </w:rPr>
        <w:t xml:space="preserve">Conflicts of Interest.</w:t>
      </w:r>
      <w:r>
        <w:t xml:space="preserve"> The author of this article declares no financial conflict of interest with the content of this article, in compliance with the PCI rule, and no non-financial conflict of interest. The work was done in a personal capacity and is independent of the author's employer.</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ListParagraph"/>
        <w:numPr>
          <w:ilvl w:val="0"/>
          <w:numId w:val="2"/>
        </w:numPr>
      </w:pPr>
      <w:r>
        <w:t xml:space="preserve">Gonzalez-Cavazos AC, Tanska A, Mayers M, Carvalho-Silva D, Sridharan B, Rewers PA, Sankarlal U, Jagannathan L, Su AI. DrugMechDB: a curated database of drug mechanisms. Sci Data. 2023;10:632. doi:10.1038/s41597-023-02534-z</w:t>
      </w:r>
    </w:p>
    <w:p>
      <w:pPr>
        <w:pStyle w:val="ListParagraph"/>
        <w:numPr>
          <w:ilvl w:val="0"/>
          <w:numId w:val="2"/>
        </w:numPr>
      </w:pPr>
      <w:r>
        <w:t xml:space="preserve">DiStefano MT, et al. The Gene Curation Coalition: a global effort to harmonize gene-disease evidence resources. Genet Med. 2022;24:1732–1742. doi:10.1016/j.gim.2022.04.017</w:t>
      </w:r>
    </w:p>
    <w:p>
      <w:pPr>
        <w:pStyle w:val="ListParagraph"/>
        <w:numPr>
          <w:ilvl w:val="0"/>
          <w:numId w:val="2"/>
        </w:numPr>
      </w:pPr>
      <w:r>
        <w:t xml:space="preserve">Guney E, Menche J, Vidal M, Barabási AL. Network-based in silico drug efficacy screening. Nat Commun. 2016;7:10331. doi:10.1038/ncomms10331</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4410"/>
        <w:gridCol w:w="1273"/>
        <w:gridCol w:w="1306"/>
        <w:gridCol w:w="1027"/>
        <w:gridCol w:w="1344"/>
      </w:tblGrid>
      <w:tr>
        <w:trPr>
          <w:tblHeader/>
        </w:trPr>
        <w:tc>
          <w:tcPr>
            <w:tcW w:w="4410" w:type="dxa"/>
            <w:shd w:val="clear" w:color="auto" w:fill="F2F2F2"/>
          </w:tcPr>
          <w:p>
            <w:pPr/>
            <w:r>
              <w:t xml:space="preserve">Relation (source)</w:t>
            </w:r>
          </w:p>
        </w:tc>
        <w:tc>
          <w:tcPr>
            <w:tcW w:w="1273" w:type="dxa"/>
            <w:shd w:val="clear" w:color="auto" w:fill="F2F2F2"/>
          </w:tcPr>
          <w:p>
            <w:pPr/>
            <w:r>
              <w:t xml:space="preserve">Model features</w:t>
            </w:r>
          </w:p>
        </w:tc>
        <w:tc>
          <w:tcPr>
            <w:tcW w:w="1306" w:type="dxa"/>
            <w:shd w:val="clear" w:color="auto" w:fill="F2F2F2"/>
          </w:tcPr>
          <w:p>
            <w:pPr/>
            <w:r>
              <w:t xml:space="preserve">Evidence lines and warnings</w:t>
            </w:r>
          </w:p>
        </w:tc>
        <w:tc>
          <w:tcPr>
            <w:tcW w:w="1027" w:type="dxa"/>
            <w:shd w:val="clear" w:color="auto" w:fill="F2F2F2"/>
          </w:tcPr>
          <w:p>
            <w:pPr/>
            <w:r>
              <w:t xml:space="preserve">Display only</w:t>
            </w:r>
          </w:p>
        </w:tc>
        <w:tc>
          <w:tcPr>
            <w:tcW w:w="1344" w:type="dxa"/>
            <w:shd w:val="clear" w:color="auto" w:fill="F2F2F2"/>
          </w:tcPr>
          <w:p>
            <w:pPr/>
            <w:r>
              <w:t xml:space="preserve">Evaluation labels</w:t>
            </w:r>
          </w:p>
        </w:tc>
      </w:tr>
      <w:tr>
        <w:tc>
          <w:tcPr>
            <w:tcW w:w="4410" w:type="dxa"/>
          </w:tcPr>
          <w:p>
            <w:pPr/>
            <w:r>
              <w:t xml:space="preserve">Indications (PrimeKG)</w:t>
            </w:r>
          </w:p>
        </w:tc>
        <w:tc>
          <w:tcPr>
            <w:tcW w:w="1273" w:type="dxa"/>
          </w:tcPr>
          <w:p>
            <w:pPr/>
            <w:r>
              <w:t xml:space="preserve">yes (training split only)</w:t>
            </w:r>
          </w:p>
        </w:tc>
        <w:tc>
          <w:tcPr>
            <w:tcW w:w="1306" w:type="dxa"/>
          </w:tcPr>
          <w:p>
            <w:pPr/>
            <w:r>
              <w:t xml:space="preserve">direct extension, shared genes</w:t>
            </w:r>
          </w:p>
        </w:tc>
        <w:tc>
          <w:tcPr>
            <w:tcW w:w="1027" w:type="dxa"/>
          </w:tcPr>
          <w:p>
            <w:pPr/>
          </w:p>
        </w:tc>
        <w:tc>
          <w:tcPr>
            <w:tcW w:w="1344" w:type="dxa"/>
          </w:tcPr>
          <w:p>
            <w:pPr/>
            <w:r>
              <w:t xml:space="preserve">yes</w:t>
            </w:r>
          </w:p>
        </w:tc>
      </w:tr>
      <w:tr>
        <w:tc>
          <w:tcPr>
            <w:tcW w:w="4410" w:type="dxa"/>
          </w:tcPr>
          <w:p>
            <w:pPr/>
            <w:r>
              <w:t xml:space="preserve">Contraindications, off-label uses (PrimeKG)</w:t>
            </w:r>
          </w:p>
        </w:tc>
        <w:tc>
          <w:tcPr>
            <w:tcW w:w="1273" w:type="dxa"/>
          </w:tcPr>
          <w:p>
            <w:pPr/>
            <w:r>
              <w:t xml:space="preserve">yes</w:t>
            </w:r>
          </w:p>
        </w:tc>
        <w:tc>
          <w:tcPr>
            <w:tcW w:w="1306" w:type="dxa"/>
          </w:tcPr>
          <w:p>
            <w:pPr/>
            <w:r>
              <w:t xml:space="preserve">risk warning</w:t>
            </w:r>
          </w:p>
        </w:tc>
        <w:tc>
          <w:tcPr>
            <w:tcW w:w="1027" w:type="dxa"/>
          </w:tcPr>
          <w:p>
            <w:pPr/>
          </w:p>
        </w:tc>
        <w:tc>
          <w:tcPr>
            <w:tcW w:w="1344" w:type="dxa"/>
          </w:tcPr>
          <w:p>
            <w:pPr/>
          </w:p>
        </w:tc>
      </w:tr>
      <w:tr>
        <w:tc>
          <w:tcPr>
            <w:tcW w:w="4410" w:type="dxa"/>
          </w:tcPr>
          <w:p>
            <w:pPr/>
            <w:r>
              <w:t xml:space="preserve">Drug targets (DrugBank; ChEMBL mechanisms via Open Targets)</w:t>
            </w:r>
          </w:p>
        </w:tc>
        <w:tc>
          <w:tcPr>
            <w:tcW w:w="1273" w:type="dxa"/>
          </w:tcPr>
          <w:p>
            <w:pPr/>
            <w:r>
              <w:t xml:space="preserve">yes</w:t>
            </w:r>
          </w:p>
        </w:tc>
        <w:tc>
          <w:tcPr>
            <w:tcW w:w="1306" w:type="dxa"/>
          </w:tcPr>
          <w:p>
            <w:pPr/>
          </w:p>
        </w:tc>
        <w:tc>
          <w:tcPr>
            <w:tcW w:w="1027" w:type="dxa"/>
          </w:tcPr>
          <w:p>
            <w:pPr/>
            <w:r>
              <w:t xml:space="preserve">targets on each page</w:t>
            </w:r>
          </w:p>
        </w:tc>
        <w:tc>
          <w:tcPr>
            <w:tcW w:w="1344" w:type="dxa"/>
          </w:tcPr>
          <w:p>
            <w:pPr/>
          </w:p>
        </w:tc>
      </w:tr>
      <w:tr>
        <w:tc>
          <w:tcPr>
            <w:tcW w:w="4410" w:type="dxa"/>
          </w:tcPr>
          <w:p>
            <w:pPr/>
            <w:r>
              <w:t xml:space="preserve">Gene–disease associations (PrimeKG; Open Targets by evidence type)</w:t>
            </w:r>
          </w:p>
        </w:tc>
        <w:tc>
          <w:tcPr>
            <w:tcW w:w="1273" w:type="dxa"/>
          </w:tcPr>
          <w:p>
            <w:pPr/>
            <w:r>
              <w:t xml:space="preserve">yes</w:t>
            </w:r>
          </w:p>
        </w:tc>
        <w:tc>
          <w:tcPr>
            <w:tcW w:w="1306" w:type="dxa"/>
          </w:tcPr>
          <w:p>
            <w:pPr/>
            <w:r>
              <w:t xml:space="preserve">shared genes</w:t>
            </w:r>
          </w:p>
        </w:tc>
        <w:tc>
          <w:tcPr>
            <w:tcW w:w="1027" w:type="dxa"/>
          </w:tcPr>
          <w:p>
            <w:pPr/>
          </w:p>
        </w:tc>
        <w:tc>
          <w:tcPr>
            <w:tcW w:w="1344" w:type="dxa"/>
          </w:tcPr>
          <w:p>
            <w:pPr/>
          </w:p>
        </w:tc>
      </w:tr>
      <w:tr>
        <w:tc>
          <w:tcPr>
            <w:tcW w:w="4410" w:type="dxa"/>
          </w:tcPr>
          <w:p>
            <w:pPr/>
            <w:r>
              <w:t xml:space="preserve">Protein interactions (STRING 12.5, ≥ 700)</w:t>
            </w:r>
          </w:p>
        </w:tc>
        <w:tc>
          <w:tcPr>
            <w:tcW w:w="1273" w:type="dxa"/>
          </w:tcPr>
          <w:p>
            <w:pPr/>
            <w:r>
              <w:t xml:space="preserve">yes</w:t>
            </w:r>
          </w:p>
        </w:tc>
        <w:tc>
          <w:tcPr>
            <w:tcW w:w="1306" w:type="dxa"/>
          </w:tcPr>
          <w:p>
            <w:pPr/>
          </w:p>
        </w:tc>
        <w:tc>
          <w:tcPr>
            <w:tcW w:w="1027" w:type="dxa"/>
          </w:tcPr>
          <w:p>
            <w:pPr/>
          </w:p>
        </w:tc>
        <w:tc>
          <w:tcPr>
            <w:tcW w:w="1344" w:type="dxa"/>
          </w:tcPr>
          <w:p>
            <w:pPr/>
          </w:p>
        </w:tc>
      </w:tr>
      <w:tr>
        <w:tc>
          <w:tcPr>
            <w:tcW w:w="4410" w:type="dxa"/>
          </w:tcPr>
          <w:p>
            <w:pPr/>
            <w:r>
              <w:t xml:space="preserve">Adverse effects (SIDER), phenotypes (HPO), pathways (Reactome), processes (GO), drug interactions</w:t>
            </w:r>
          </w:p>
        </w:tc>
        <w:tc>
          <w:tcPr>
            <w:tcW w:w="1273" w:type="dxa"/>
          </w:tcPr>
          <w:p>
            <w:pPr/>
            <w:r>
              <w:t xml:space="preserve">yes</w:t>
            </w:r>
          </w:p>
        </w:tc>
        <w:tc>
          <w:tcPr>
            <w:tcW w:w="1306" w:type="dxa"/>
          </w:tcPr>
          <w:p>
            <w:pPr/>
          </w:p>
        </w:tc>
        <w:tc>
          <w:tcPr>
            <w:tcW w:w="1027" w:type="dxa"/>
          </w:tcPr>
          <w:p>
            <w:pPr/>
          </w:p>
        </w:tc>
        <w:tc>
          <w:tcPr>
            <w:tcW w:w="1344" w:type="dxa"/>
          </w:tcPr>
          <w:p>
            <w:pPr/>
          </w:p>
        </w:tc>
      </w:tr>
      <w:tr>
        <w:tc>
          <w:tcPr>
            <w:tcW w:w="4410" w:type="dxa"/>
          </w:tcPr>
          <w:p>
            <w:pPr/>
            <w:r>
              <w:t xml:space="preserve">Disease ontology (MONDO)</w:t>
            </w:r>
          </w:p>
        </w:tc>
        <w:tc>
          <w:tcPr>
            <w:tcW w:w="1273" w:type="dxa"/>
          </w:tcPr>
          <w:p>
            <w:pPr/>
            <w:r>
              <w:t xml:space="preserve">yes</w:t>
            </w:r>
          </w:p>
        </w:tc>
        <w:tc>
          <w:tcPr>
            <w:tcW w:w="1306" w:type="dxa"/>
          </w:tcPr>
          <w:p>
            <w:pPr/>
            <w:r>
              <w:t xml:space="preserve">direct extension</w:t>
            </w:r>
          </w:p>
        </w:tc>
        <w:tc>
          <w:tcPr>
            <w:tcW w:w="1027" w:type="dxa"/>
          </w:tcPr>
          <w:p>
            <w:pPr/>
          </w:p>
        </w:tc>
        <w:tc>
          <w:tcPr>
            <w:tcW w:w="1344" w:type="dxa"/>
          </w:tcPr>
          <w:p>
            <w:pPr/>
          </w:p>
        </w:tc>
      </w:tr>
      <w:tr>
        <w:tc>
          <w:tcPr>
            <w:tcW w:w="4410" w:type="dxa"/>
          </w:tcPr>
          <w:p>
            <w:pPr/>
            <w:r>
              <w:t xml:space="preserve">Clinical trials and stage (Open Targets)</w:t>
            </w:r>
          </w:p>
        </w:tc>
        <w:tc>
          <w:tcPr>
            <w:tcW w:w="1273" w:type="dxa"/>
          </w:tcPr>
          <w:p>
            <w:pPr/>
            <w:r>
              <w:t xml:space="preserve">no</w:t>
            </w:r>
          </w:p>
        </w:tc>
        <w:tc>
          <w:tcPr>
            <w:tcW w:w="1306" w:type="dxa"/>
          </w:tcPr>
          <w:p>
            <w:pPr/>
          </w:p>
        </w:tc>
        <w:tc>
          <w:tcPr>
            <w:tcW w:w="1027" w:type="dxa"/>
          </w:tcPr>
          <w:p>
            <w:pPr/>
            <w:r>
              <w:t xml:space="preserve">yes</w:t>
            </w:r>
          </w:p>
        </w:tc>
        <w:tc>
          <w:tcPr>
            <w:tcW w:w="1344" w:type="dxa"/>
          </w:tcPr>
          <w:p>
            <w:pPr/>
          </w:p>
        </w:tc>
      </w:tr>
      <w:tr>
        <w:tc>
          <w:tcPr>
            <w:tcW w:w="4410" w:type="dxa"/>
          </w:tcPr>
          <w:p>
            <w:pPr/>
            <w:r>
              <w:t xml:space="preserve">Approvals (Open Targets)</w:t>
            </w:r>
          </w:p>
        </w:tc>
        <w:tc>
          <w:tcPr>
            <w:tcW w:w="1273" w:type="dxa"/>
          </w:tcPr>
          <w:p>
            <w:pPr/>
            <w:r>
              <w:t xml:space="preserve">no</w:t>
            </w:r>
          </w:p>
        </w:tc>
        <w:tc>
          <w:tcPr>
            <w:tcW w:w="1306" w:type="dxa"/>
          </w:tcPr>
          <w:p>
            <w:pPr/>
            <w:r>
              <w:t xml:space="preserve">exclusion when confirmed</w:t>
            </w:r>
          </w:p>
        </w:tc>
        <w:tc>
          <w:tcPr>
            <w:tcW w:w="1027" w:type="dxa"/>
          </w:tcPr>
          <w:p>
            <w:pPr/>
            <w:r>
              <w:t xml:space="preserve">yes</w:t>
            </w:r>
          </w:p>
        </w:tc>
        <w:tc>
          <w:tcPr>
            <w:tcW w:w="1344" w:type="dxa"/>
          </w:tcPr>
          <w:p>
            <w:pPr/>
            <w:r>
              <w:t xml:space="preserve">external exam</w:t>
            </w:r>
          </w:p>
        </w:tc>
      </w:tr>
      <w:tr>
        <w:tc>
          <w:tcPr>
            <w:tcW w:w="4410" w:type="dxa"/>
          </w:tcPr>
          <w:p>
            <w:pPr/>
            <w:r>
              <w:t xml:space="preserve">Literature relations (PubTator3)</w:t>
            </w:r>
          </w:p>
        </w:tc>
        <w:tc>
          <w:tcPr>
            <w:tcW w:w="1273" w:type="dxa"/>
          </w:tcPr>
          <w:p>
            <w:pPr/>
            <w:r>
              <w:t xml:space="preserve">no</w:t>
            </w:r>
          </w:p>
        </w:tc>
        <w:tc>
          <w:tcPr>
            <w:tcW w:w="1306" w:type="dxa"/>
          </w:tcPr>
          <w:p>
            <w:pPr/>
          </w:p>
        </w:tc>
        <w:tc>
          <w:tcPr>
            <w:tcW w:w="1027" w:type="dxa"/>
          </w:tcPr>
          <w:p>
            <w:pPr/>
            <w:r>
              <w:t xml:space="preserve">yes</w:t>
            </w:r>
          </w:p>
        </w:tc>
        <w:tc>
          <w:tcPr>
            <w:tcW w:w="1344" w:type="dxa"/>
          </w:tcPr>
          <w:p>
            <w:pPr/>
          </w:p>
        </w:tc>
      </w:tr>
      <w:tr>
        <w:tc>
          <w:tcPr>
            <w:tcW w:w="4410" w:type="dxa"/>
          </w:tcPr>
          <w:p>
            <w:pPr/>
            <w:r>
              <w:t xml:space="preserve">Drug–gene effects (CTD)</w:t>
            </w:r>
          </w:p>
        </w:tc>
        <w:tc>
          <w:tcPr>
            <w:tcW w:w="1273" w:type="dxa"/>
          </w:tcPr>
          <w:p>
            <w:pPr/>
            <w:r>
              <w:t xml:space="preserve">no (removed; no effect in an ablation)</w:t>
            </w:r>
          </w:p>
        </w:tc>
        <w:tc>
          <w:tcPr>
            <w:tcW w:w="1306" w:type="dxa"/>
          </w:tcPr>
          <w:p>
            <w:pPr/>
          </w:p>
        </w:tc>
        <w:tc>
          <w:tcPr>
            <w:tcW w:w="1027" w:type="dxa"/>
          </w:tcPr>
          <w:p>
            <w:pPr/>
          </w:p>
        </w:tc>
        <w:tc>
          <w:tcPr>
            <w:tcW w:w="1344"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755"/>
        <w:gridCol w:w="3438"/>
        <w:gridCol w:w="5165"/>
      </w:tblGrid>
      <w:tr>
        <w:trPr>
          <w:tblHeader/>
        </w:trPr>
        <w:tc>
          <w:tcPr>
            <w:tcW w:w="755" w:type="dxa"/>
            <w:shd w:val="clear" w:color="auto" w:fill="F2F2F2"/>
          </w:tcPr>
          <w:p>
            <w:pPr/>
            <w:r>
              <w:t xml:space="preserve">#</w:t>
            </w:r>
          </w:p>
        </w:tc>
        <w:tc>
          <w:tcPr>
            <w:tcW w:w="3438" w:type="dxa"/>
            <w:shd w:val="clear" w:color="auto" w:fill="F2F2F2"/>
          </w:tcPr>
          <w:p>
            <w:pPr/>
            <w:r>
              <w:t xml:space="preserve">Metapath</w:t>
            </w:r>
          </w:p>
        </w:tc>
        <w:tc>
          <w:tcPr>
            <w:tcW w:w="5165" w:type="dxa"/>
            <w:shd w:val="clear" w:color="auto" w:fill="F2F2F2"/>
          </w:tcPr>
          <w:p>
            <w:pPr/>
            <w:r>
              <w:t xml:space="preserve">Meaning</w:t>
            </w:r>
          </w:p>
        </w:tc>
      </w:tr>
      <w:tr>
        <w:tc>
          <w:tcPr>
            <w:tcW w:w="755" w:type="dxa"/>
          </w:tcPr>
          <w:p>
            <w:pPr/>
            <w:r>
              <w:t xml:space="preserve">1</w:t>
            </w:r>
          </w:p>
        </w:tc>
        <w:tc>
          <w:tcPr>
            <w:tcW w:w="3438" w:type="dxa"/>
          </w:tcPr>
          <w:p>
            <w:pPr/>
            <w:r>
              <w:t xml:space="preserve">target</w:t>
            </w:r>
          </w:p>
        </w:tc>
        <w:tc>
          <w:tcPr>
            <w:tcW w:w="5165" w:type="dxa"/>
          </w:tcPr>
          <w:p>
            <w:pPr/>
            <w:r>
              <w:t xml:space="preserve">a DrugBank target of the drug is a disease gene</w:t>
            </w:r>
          </w:p>
        </w:tc>
      </w:tr>
      <w:tr>
        <w:tc>
          <w:tcPr>
            <w:tcW w:w="755" w:type="dxa"/>
          </w:tcPr>
          <w:p>
            <w:pPr/>
            <w:r>
              <w:t xml:space="preserve">2</w:t>
            </w:r>
          </w:p>
        </w:tc>
        <w:tc>
          <w:tcPr>
            <w:tcW w:w="3438" w:type="dxa"/>
          </w:tcPr>
          <w:p>
            <w:pPr/>
            <w:r>
              <w:t xml:space="preserve">target (all)</w:t>
            </w:r>
          </w:p>
        </w:tc>
        <w:tc>
          <w:tcPr>
            <w:tcW w:w="5165" w:type="dxa"/>
          </w:tcPr>
          <w:p>
            <w:pPr/>
            <w:r>
              <w:t xml:space="preserve">a target, enzyme or transporter of the drug is a disease gene</w:t>
            </w:r>
          </w:p>
        </w:tc>
      </w:tr>
      <w:tr>
        <w:tc>
          <w:tcPr>
            <w:tcW w:w="755" w:type="dxa"/>
          </w:tcPr>
          <w:p>
            <w:pPr/>
            <w:r>
              <w:t xml:space="preserve">3</w:t>
            </w:r>
          </w:p>
        </w:tc>
        <w:tc>
          <w:tcPr>
            <w:tcW w:w="3438" w:type="dxa"/>
          </w:tcPr>
          <w:p>
            <w:pPr/>
            <w:r>
              <w:t xml:space="preserve">interaction</w:t>
            </w:r>
          </w:p>
        </w:tc>
        <w:tc>
          <w:tcPr>
            <w:tcW w:w="5165" w:type="dxa"/>
          </w:tcPr>
          <w:p>
            <w:pPr/>
            <w:r>
              <w:t xml:space="preserve">a DrugBank target interacts with a disease gene</w:t>
            </w:r>
          </w:p>
        </w:tc>
      </w:tr>
      <w:tr>
        <w:tc>
          <w:tcPr>
            <w:tcW w:w="755" w:type="dxa"/>
          </w:tcPr>
          <w:p>
            <w:pPr/>
            <w:r>
              <w:t xml:space="preserve">4</w:t>
            </w:r>
          </w:p>
        </w:tc>
        <w:tc>
          <w:tcPr>
            <w:tcW w:w="3438" w:type="dxa"/>
          </w:tcPr>
          <w:p>
            <w:pPr/>
            <w:r>
              <w:t xml:space="preserve">similar</w:t>
            </w:r>
          </w:p>
        </w:tc>
        <w:tc>
          <w:tcPr>
            <w:tcW w:w="5165" w:type="dxa"/>
          </w:tcPr>
          <w:p>
            <w:pPr/>
            <w:r>
              <w:t xml:space="preserve">indicated for a disease that shares genes</w:t>
            </w:r>
          </w:p>
        </w:tc>
      </w:tr>
      <w:tr>
        <w:tc>
          <w:tcPr>
            <w:tcW w:w="755" w:type="dxa"/>
          </w:tcPr>
          <w:p>
            <w:pPr/>
            <w:r>
              <w:t xml:space="preserve">5</w:t>
            </w:r>
          </w:p>
        </w:tc>
        <w:tc>
          <w:tcPr>
            <w:tcW w:w="3438" w:type="dxa"/>
          </w:tcPr>
          <w:p>
            <w:pPr/>
            <w:r>
              <w:t xml:space="preserve">similar phenotype</w:t>
            </w:r>
          </w:p>
        </w:tc>
        <w:tc>
          <w:tcPr>
            <w:tcW w:w="5165" w:type="dxa"/>
          </w:tcPr>
          <w:p>
            <w:pPr/>
            <w:r>
              <w:t xml:space="preserve">indicated for a disease that shares phenotypes</w:t>
            </w:r>
          </w:p>
        </w:tc>
      </w:tr>
      <w:tr>
        <w:tc>
          <w:tcPr>
            <w:tcW w:w="755" w:type="dxa"/>
          </w:tcPr>
          <w:p>
            <w:pPr/>
            <w:r>
              <w:t xml:space="preserve">6</w:t>
            </w:r>
          </w:p>
        </w:tc>
        <w:tc>
          <w:tcPr>
            <w:tcW w:w="3438" w:type="dxa"/>
          </w:tcPr>
          <w:p>
            <w:pPr/>
            <w:r>
              <w:t xml:space="preserve">ontology</w:t>
            </w:r>
          </w:p>
        </w:tc>
        <w:tc>
          <w:tcPr>
            <w:tcW w:w="5165" w:type="dxa"/>
          </w:tcPr>
          <w:p>
            <w:pPr/>
            <w:r>
              <w:t xml:space="preserve">indicated for a neighbouring disease in the ontology</w:t>
            </w:r>
          </w:p>
        </w:tc>
      </w:tr>
      <w:tr>
        <w:tc>
          <w:tcPr>
            <w:tcW w:w="755" w:type="dxa"/>
          </w:tcPr>
          <w:p>
            <w:pPr/>
            <w:r>
              <w:t xml:space="preserve">7</w:t>
            </w:r>
          </w:p>
        </w:tc>
        <w:tc>
          <w:tcPr>
            <w:tcW w:w="3438" w:type="dxa"/>
          </w:tcPr>
          <w:p>
            <w:pPr/>
            <w:r>
              <w:t xml:space="preserve">contra similar</w:t>
            </w:r>
          </w:p>
        </w:tc>
        <w:tc>
          <w:tcPr>
            <w:tcW w:w="5165" w:type="dxa"/>
          </w:tcPr>
          <w:p>
            <w:pPr/>
            <w:r>
              <w:t xml:space="preserve">contraindicated in a disease that shares genes</w:t>
            </w:r>
          </w:p>
        </w:tc>
      </w:tr>
      <w:tr>
        <w:tc>
          <w:tcPr>
            <w:tcW w:w="755" w:type="dxa"/>
          </w:tcPr>
          <w:p>
            <w:pPr/>
            <w:r>
              <w:t xml:space="preserve">8</w:t>
            </w:r>
          </w:p>
        </w:tc>
        <w:tc>
          <w:tcPr>
            <w:tcW w:w="3438" w:type="dxa"/>
          </w:tcPr>
          <w:p>
            <w:pPr/>
            <w:r>
              <w:t xml:space="preserve">off-label similar</w:t>
            </w:r>
          </w:p>
        </w:tc>
        <w:tc>
          <w:tcPr>
            <w:tcW w:w="5165" w:type="dxa"/>
          </w:tcPr>
          <w:p>
            <w:pPr/>
            <w:r>
              <w:t xml:space="preserve">off-label use in a disease that shares genes</w:t>
            </w:r>
          </w:p>
        </w:tc>
      </w:tr>
      <w:tr>
        <w:tc>
          <w:tcPr>
            <w:tcW w:w="755" w:type="dxa"/>
          </w:tcPr>
          <w:p>
            <w:pPr/>
            <w:r>
              <w:t xml:space="preserve">9</w:t>
            </w:r>
          </w:p>
        </w:tc>
        <w:tc>
          <w:tcPr>
            <w:tcW w:w="3438" w:type="dxa"/>
          </w:tcPr>
          <w:p>
            <w:pPr/>
            <w:r>
              <w:t xml:space="preserve">off-label ontology</w:t>
            </w:r>
          </w:p>
        </w:tc>
        <w:tc>
          <w:tcPr>
            <w:tcW w:w="5165" w:type="dxa"/>
          </w:tcPr>
          <w:p>
            <w:pPr/>
            <w:r>
              <w:t xml:space="preserve">off-label use in a neighbouring disease</w:t>
            </w:r>
          </w:p>
        </w:tc>
      </w:tr>
      <w:tr>
        <w:tc>
          <w:tcPr>
            <w:tcW w:w="755" w:type="dxa"/>
          </w:tcPr>
          <w:p>
            <w:pPr/>
            <w:r>
              <w:t xml:space="preserve">10</w:t>
            </w:r>
          </w:p>
        </w:tc>
        <w:tc>
          <w:tcPr>
            <w:tcW w:w="3438" w:type="dxa"/>
          </w:tcPr>
          <w:p>
            <w:pPr/>
            <w:r>
              <w:t xml:space="preserve">effect = phenotype</w:t>
            </w:r>
          </w:p>
        </w:tc>
        <w:tc>
          <w:tcPr>
            <w:tcW w:w="5165" w:type="dxa"/>
          </w:tcPr>
          <w:p>
            <w:pPr/>
            <w:r>
              <w:t xml:space="preserve">the drug's adverse effects are phenotypes of the disease</w:t>
            </w:r>
          </w:p>
        </w:tc>
      </w:tr>
      <w:tr>
        <w:tc>
          <w:tcPr>
            <w:tcW w:w="755" w:type="dxa"/>
          </w:tcPr>
          <w:p>
            <w:pPr/>
            <w:r>
              <w:t xml:space="preserve">11</w:t>
            </w:r>
          </w:p>
        </w:tc>
        <w:tc>
          <w:tcPr>
            <w:tcW w:w="3438" w:type="dxa"/>
          </w:tcPr>
          <w:p>
            <w:pPr/>
            <w:r>
              <w:t xml:space="preserve">target → phenotype</w:t>
            </w:r>
          </w:p>
        </w:tc>
        <w:tc>
          <w:tcPr>
            <w:tcW w:w="5165" w:type="dxa"/>
          </w:tcPr>
          <w:p>
            <w:pPr/>
            <w:r>
              <w:t xml:space="preserve">a target is associated with a phenotype of the disease</w:t>
            </w:r>
          </w:p>
        </w:tc>
      </w:tr>
      <w:tr>
        <w:tc>
          <w:tcPr>
            <w:tcW w:w="755" w:type="dxa"/>
          </w:tcPr>
          <w:p>
            <w:pPr/>
            <w:r>
              <w:t xml:space="preserve">12</w:t>
            </w:r>
          </w:p>
        </w:tc>
        <w:tc>
          <w:tcPr>
            <w:tcW w:w="3438" w:type="dxa"/>
          </w:tcPr>
          <w:p>
            <w:pPr/>
            <w:r>
              <w:t xml:space="preserve">target → pathway</w:t>
            </w:r>
          </w:p>
        </w:tc>
        <w:tc>
          <w:tcPr>
            <w:tcW w:w="5165" w:type="dxa"/>
          </w:tcPr>
          <w:p>
            <w:pPr/>
            <w:r>
              <w:t xml:space="preserve">a target is in the same Reactome pathway as a disease gene</w:t>
            </w:r>
          </w:p>
        </w:tc>
      </w:tr>
      <w:tr>
        <w:tc>
          <w:tcPr>
            <w:tcW w:w="755" w:type="dxa"/>
          </w:tcPr>
          <w:p>
            <w:pPr/>
            <w:r>
              <w:t xml:space="preserve">13</w:t>
            </w:r>
          </w:p>
        </w:tc>
        <w:tc>
          <w:tcPr>
            <w:tcW w:w="3438" w:type="dxa"/>
          </w:tcPr>
          <w:p>
            <w:pPr/>
            <w:r>
              <w:t xml:space="preserve">target → process</w:t>
            </w:r>
          </w:p>
        </w:tc>
        <w:tc>
          <w:tcPr>
            <w:tcW w:w="5165" w:type="dxa"/>
          </w:tcPr>
          <w:p>
            <w:pPr/>
            <w:r>
              <w:t xml:space="preserve">a target is in the same GO biological process as a disease gene</w:t>
            </w:r>
          </w:p>
        </w:tc>
      </w:tr>
      <w:tr>
        <w:tc>
          <w:tcPr>
            <w:tcW w:w="755" w:type="dxa"/>
          </w:tcPr>
          <w:p>
            <w:pPr/>
            <w:r>
              <w:t xml:space="preserve">14</w:t>
            </w:r>
          </w:p>
        </w:tc>
        <w:tc>
          <w:tcPr>
            <w:tcW w:w="3438" w:type="dxa"/>
          </w:tcPr>
          <w:p>
            <w:pPr/>
            <w:r>
              <w:t xml:space="preserve">ontology 2-step</w:t>
            </w:r>
          </w:p>
        </w:tc>
        <w:tc>
          <w:tcPr>
            <w:tcW w:w="5165" w:type="dxa"/>
          </w:tcPr>
          <w:p>
            <w:pPr/>
            <w:r>
              <w:t xml:space="preserve">indicated for a disease two steps away in the ontology</w:t>
            </w:r>
          </w:p>
        </w:tc>
      </w:tr>
      <w:tr>
        <w:tc>
          <w:tcPr>
            <w:tcW w:w="755" w:type="dxa"/>
          </w:tcPr>
          <w:p>
            <w:pPr/>
            <w:r>
              <w:t xml:space="preserve">15</w:t>
            </w:r>
          </w:p>
        </w:tc>
        <w:tc>
          <w:tcPr>
            <w:tcW w:w="3438" w:type="dxa"/>
          </w:tcPr>
          <w:p>
            <w:pPr/>
            <w:r>
              <w:t xml:space="preserve">drug (targets) · similar</w:t>
            </w:r>
          </w:p>
        </w:tc>
        <w:tc>
          <w:tcPr>
            <w:tcW w:w="5165" w:type="dxa"/>
          </w:tcPr>
          <w:p>
            <w:pPr/>
            <w:r>
              <w:t xml:space="preserve">shares targets with drugs indicated in diseases that share genes</w:t>
            </w:r>
          </w:p>
        </w:tc>
      </w:tr>
      <w:tr>
        <w:tc>
          <w:tcPr>
            <w:tcW w:w="755" w:type="dxa"/>
          </w:tcPr>
          <w:p>
            <w:pPr/>
            <w:r>
              <w:t xml:space="preserve">16</w:t>
            </w:r>
          </w:p>
        </w:tc>
        <w:tc>
          <w:tcPr>
            <w:tcW w:w="3438" w:type="dxa"/>
          </w:tcPr>
          <w:p>
            <w:pPr/>
            <w:r>
              <w:t xml:space="preserve">drug (effects) · similar</w:t>
            </w:r>
          </w:p>
        </w:tc>
        <w:tc>
          <w:tcPr>
            <w:tcW w:w="5165" w:type="dxa"/>
          </w:tcPr>
          <w:p>
            <w:pPr/>
            <w:r>
              <w:t xml:space="preserve">shares adverse effects with drugs indicated in diseases that share genes</w:t>
            </w:r>
          </w:p>
        </w:tc>
      </w:tr>
      <w:tr>
        <w:tc>
          <w:tcPr>
            <w:tcW w:w="755" w:type="dxa"/>
          </w:tcPr>
          <w:p>
            <w:pPr/>
            <w:r>
              <w:t xml:space="preserve">17</w:t>
            </w:r>
          </w:p>
        </w:tc>
        <w:tc>
          <w:tcPr>
            <w:tcW w:w="3438" w:type="dxa"/>
          </w:tcPr>
          <w:p>
            <w:pPr/>
            <w:r>
              <w:t xml:space="preserve">drug (effects) · phenotype</w:t>
            </w:r>
          </w:p>
        </w:tc>
        <w:tc>
          <w:tcPr>
            <w:tcW w:w="5165" w:type="dxa"/>
          </w:tcPr>
          <w:p>
            <w:pPr/>
            <w:r>
              <w:t xml:space="preserve">shares adverse effects with drugs indicated in diseases that share phenotypes</w:t>
            </w:r>
          </w:p>
        </w:tc>
      </w:tr>
      <w:tr>
        <w:tc>
          <w:tcPr>
            <w:tcW w:w="755" w:type="dxa"/>
          </w:tcPr>
          <w:p>
            <w:pPr/>
            <w:r>
              <w:t xml:space="preserve">18</w:t>
            </w:r>
          </w:p>
        </w:tc>
        <w:tc>
          <w:tcPr>
            <w:tcW w:w="3438" w:type="dxa"/>
          </w:tcPr>
          <w:p>
            <w:pPr/>
            <w:r>
              <w:t xml:space="preserve">drug (interactions) · similar</w:t>
            </w:r>
          </w:p>
        </w:tc>
        <w:tc>
          <w:tcPr>
            <w:tcW w:w="5165" w:type="dxa"/>
          </w:tcPr>
          <w:p>
            <w:pPr/>
            <w:r>
              <w:t xml:space="preserve">interacts with drugs indicated in diseases that share genes</w:t>
            </w:r>
          </w:p>
        </w:tc>
      </w:tr>
      <w:tr>
        <w:tc>
          <w:tcPr>
            <w:tcW w:w="755" w:type="dxa"/>
          </w:tcPr>
          <w:p>
            <w:pPr/>
            <w:r>
              <w:t xml:space="preserve">19</w:t>
            </w:r>
          </w:p>
        </w:tc>
        <w:tc>
          <w:tcPr>
            <w:tcW w:w="3438" w:type="dxa"/>
          </w:tcPr>
          <w:p>
            <w:pPr/>
            <w:r>
              <w:t xml:space="preserve">drug (targets) · ontology</w:t>
            </w:r>
          </w:p>
        </w:tc>
        <w:tc>
          <w:tcPr>
            <w:tcW w:w="5165" w:type="dxa"/>
          </w:tcPr>
          <w:p>
            <w:pPr/>
            <w:r>
              <w:t xml:space="preserve">shares targets with drugs indicated in neighbouring diseases</w:t>
            </w:r>
          </w:p>
        </w:tc>
      </w:tr>
      <w:tr>
        <w:tc>
          <w:tcPr>
            <w:tcW w:w="755" w:type="dxa"/>
          </w:tcPr>
          <w:p>
            <w:pPr/>
            <w:r>
              <w:t xml:space="preserve">20</w:t>
            </w:r>
          </w:p>
        </w:tc>
        <w:tc>
          <w:tcPr>
            <w:tcW w:w="3438" w:type="dxa"/>
          </w:tcPr>
          <w:p>
            <w:pPr/>
            <w:r>
              <w:t xml:space="preserve">target+ all</w:t>
            </w:r>
          </w:p>
        </w:tc>
        <w:tc>
          <w:tcPr>
            <w:tcW w:w="5165" w:type="dxa"/>
          </w:tcPr>
          <w:p>
            <w:pPr/>
            <w:r>
              <w:t xml:space="preserve">a target or ChEMBL mechanism target is an associated gene</w:t>
            </w:r>
          </w:p>
        </w:tc>
      </w:tr>
      <w:tr>
        <w:tc>
          <w:tcPr>
            <w:tcW w:w="755" w:type="dxa"/>
          </w:tcPr>
          <w:p>
            <w:pPr/>
            <w:r>
              <w:t xml:space="preserve">21</w:t>
            </w:r>
          </w:p>
        </w:tc>
        <w:tc>
          <w:tcPr>
            <w:tcW w:w="3438" w:type="dxa"/>
          </w:tcPr>
          <w:p>
            <w:pPr/>
            <w:r>
              <w:t xml:space="preserve">interaction STRING all</w:t>
            </w:r>
          </w:p>
        </w:tc>
        <w:tc>
          <w:tcPr>
            <w:tcW w:w="5165" w:type="dxa"/>
          </w:tcPr>
          <w:p>
            <w:pPr/>
            <w:r>
              <w:t xml:space="preserve">a target interacts (STRING ≥ 700) with an associated gene</w:t>
            </w:r>
          </w:p>
        </w:tc>
      </w:tr>
      <w:tr>
        <w:tc>
          <w:tcPr>
            <w:tcW w:w="755" w:type="dxa"/>
          </w:tcPr>
          <w:p>
            <w:pPr/>
            <w:r>
              <w:t xml:space="preserve">22</w:t>
            </w:r>
          </w:p>
        </w:tc>
        <w:tc>
          <w:tcPr>
            <w:tcW w:w="3438" w:type="dxa"/>
          </w:tcPr>
          <w:p>
            <w:pPr/>
            <w:r>
              <w:t xml:space="preserve">similar all (OT)</w:t>
            </w:r>
          </w:p>
        </w:tc>
        <w:tc>
          <w:tcPr>
            <w:tcW w:w="5165"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4.9 (3.4–6.6; 2,845); with generic genes only: 3.0 (946). Genes associated with 500 or more diseases do not count.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085"/>
        <w:gridCol w:w="2540"/>
        <w:gridCol w:w="2479"/>
        <w:gridCol w:w="2256"/>
      </w:tblGrid>
      <w:tr>
        <w:trPr>
          <w:tblHeader/>
        </w:trPr>
        <w:tc>
          <w:tcPr>
            <w:tcW w:w="2085" w:type="dxa"/>
            <w:shd w:val="clear" w:color="auto" w:fill="F2F2F2"/>
          </w:tcPr>
          <w:p>
            <w:pPr/>
            <w:r>
              <w:t xml:space="preserve">Test</w:t>
            </w:r>
          </w:p>
        </w:tc>
        <w:tc>
          <w:tcPr>
            <w:tcW w:w="2540" w:type="dxa"/>
            <w:shd w:val="clear" w:color="auto" w:fill="F2F2F2"/>
          </w:tcPr>
          <w:p>
            <w:pPr/>
            <w:r>
              <w:t xml:space="preserve">Direct extensions</w:t>
            </w:r>
          </w:p>
        </w:tc>
        <w:tc>
          <w:tcPr>
            <w:tcW w:w="2479" w:type="dxa"/>
            <w:shd w:val="clear" w:color="auto" w:fill="F2F2F2"/>
          </w:tcPr>
          <w:p>
            <w:pPr/>
            <w:r>
              <w:t xml:space="preserve">Shared genes</w:t>
            </w:r>
          </w:p>
        </w:tc>
        <w:tc>
          <w:tcPr>
            <w:tcW w:w="2256" w:type="dxa"/>
            <w:shd w:val="clear" w:color="auto" w:fill="F2F2F2"/>
          </w:tcPr>
          <w:p>
            <w:pPr/>
            <w:r>
              <w:t xml:space="preserve">Hidden</w:t>
            </w:r>
          </w:p>
        </w:tc>
      </w:tr>
      <w:tr>
        <w:tc>
          <w:tcPr>
            <w:tcW w:w="2085" w:type="dxa"/>
          </w:tcPr>
          <w:p>
            <w:pPr/>
            <w:r>
              <w:t xml:space="preserve">Benchmark (zero-shot, seeds 1–5)</w:t>
            </w:r>
          </w:p>
        </w:tc>
        <w:tc>
          <w:tcPr>
            <w:tcW w:w="2540" w:type="dxa"/>
          </w:tcPr>
          <w:p>
            <w:pPr/>
            <w:r>
              <w:t xml:space="preserve">49.9 (42.2–57.8; 1,691)</w:t>
            </w:r>
          </w:p>
        </w:tc>
        <w:tc>
          <w:tcPr>
            <w:tcW w:w="2479" w:type="dxa"/>
          </w:tcPr>
          <w:p>
            <w:pPr/>
            <w:r>
              <w:t xml:space="preserve">24.2 (18.3–30.1; 1,861)</w:t>
            </w:r>
          </w:p>
        </w:tc>
        <w:tc>
          <w:tcPr>
            <w:tcW w:w="2256" w:type="dxa"/>
          </w:tcPr>
          <w:p>
            <w:pPr/>
            <w:r>
              <w:t xml:space="preserve">4.2 (2.9–5.8; 4,823)</w:t>
            </w:r>
          </w:p>
        </w:tc>
      </w:tr>
      <w:tr>
        <w:tc>
          <w:tcPr>
            <w:tcW w:w="2085" w:type="dxa"/>
          </w:tcPr>
          <w:p>
            <w:pPr/>
            <w:r>
              <w:t xml:space="preserve">Benchmark, hard</w:t>
            </w:r>
          </w:p>
        </w:tc>
        <w:tc>
          <w:tcPr>
            <w:tcW w:w="2540" w:type="dxa"/>
          </w:tcPr>
          <w:p>
            <w:pPr/>
            <w:r>
              <w:t xml:space="preserve">13.3 (7.0–20.6; 309)</w:t>
            </w:r>
          </w:p>
        </w:tc>
        <w:tc>
          <w:tcPr>
            <w:tcW w:w="2479" w:type="dxa"/>
          </w:tcPr>
          <w:p>
            <w:pPr/>
            <w:r>
              <w:t xml:space="preserve">28.4 (19.2–38.1; 790)</w:t>
            </w:r>
          </w:p>
        </w:tc>
        <w:tc>
          <w:tcPr>
            <w:tcW w:w="2256" w:type="dxa"/>
          </w:tcPr>
          <w:p>
            <w:pPr/>
            <w:r>
              <w:t xml:space="preserve">3.0 (1.9–4.1; 2,126)</w:t>
            </w:r>
          </w:p>
        </w:tc>
      </w:tr>
      <w:tr>
        <w:tc>
          <w:tcPr>
            <w:tcW w:w="2085" w:type="dxa"/>
          </w:tcPr>
          <w:p>
            <w:pPr/>
            <w:r>
              <w:t xml:space="preserve">Areas</w:t>
            </w:r>
          </w:p>
        </w:tc>
        <w:tc>
          <w:tcPr>
            <w:tcW w:w="2540" w:type="dxa"/>
          </w:tcPr>
          <w:p>
            <w:pPr/>
            <w:r>
              <w:t xml:space="preserve">59.4 (48.5–69.4; 641)</w:t>
            </w:r>
          </w:p>
        </w:tc>
        <w:tc>
          <w:tcPr>
            <w:tcW w:w="2479" w:type="dxa"/>
          </w:tcPr>
          <w:p>
            <w:pPr/>
            <w:r>
              <w:t xml:space="preserve">27.6 (22.8–32.4; 2,475)</w:t>
            </w:r>
          </w:p>
        </w:tc>
        <w:tc>
          <w:tcPr>
            <w:tcW w:w="2256" w:type="dxa"/>
          </w:tcPr>
          <w:p>
            <w:pPr/>
            <w:r>
              <w:t xml:space="preserve">1.7 (1.2–2.4; 5,509)</w:t>
            </w:r>
          </w:p>
        </w:tc>
      </w:tr>
      <w:tr>
        <w:tc>
          <w:tcPr>
            <w:tcW w:w="2085" w:type="dxa"/>
          </w:tcPr>
          <w:p>
            <w:pPr/>
            <w:r>
              <w:t xml:space="preserve">Areas, hard</w:t>
            </w:r>
          </w:p>
        </w:tc>
        <w:tc>
          <w:tcPr>
            <w:tcW w:w="2540" w:type="dxa"/>
          </w:tcPr>
          <w:p>
            <w:pPr/>
            <w:r>
              <w:t xml:space="preserve">24.7 (11.5–39.2; 219)</w:t>
            </w:r>
          </w:p>
        </w:tc>
        <w:tc>
          <w:tcPr>
            <w:tcW w:w="2479" w:type="dxa"/>
          </w:tcPr>
          <w:p>
            <w:pPr/>
            <w:r>
              <w:t xml:space="preserve">23.6 (18.6–28.9; 1,629)</w:t>
            </w:r>
          </w:p>
        </w:tc>
        <w:tc>
          <w:tcPr>
            <w:tcW w:w="2256" w:type="dxa"/>
          </w:tcPr>
          <w:p>
            <w:pPr/>
            <w:r>
              <w:t xml:space="preserve">1.6 (1.0–2.3; 3,977)</w:t>
            </w:r>
          </w:p>
        </w:tc>
      </w:tr>
      <w:tr>
        <w:tc>
          <w:tcPr>
            <w:tcW w:w="2085" w:type="dxa"/>
          </w:tcPr>
          <w:p>
            <w:pPr/>
            <w:r>
              <w:t xml:space="preserve">External exam</w:t>
            </w:r>
          </w:p>
        </w:tc>
        <w:tc>
          <w:tcPr>
            <w:tcW w:w="2540" w:type="dxa"/>
          </w:tcPr>
          <w:p>
            <w:pPr/>
            <w:r>
              <w:t xml:space="preserve">12.6 (9.8–15.6; 3,025)</w:t>
            </w:r>
          </w:p>
        </w:tc>
        <w:tc>
          <w:tcPr>
            <w:tcW w:w="2479" w:type="dxa"/>
          </w:tcPr>
          <w:p>
            <w:pPr/>
            <w:r>
              <w:t xml:space="preserve">4.4 (3.2–5.8; 3,791)</w:t>
            </w:r>
          </w:p>
        </w:tc>
        <w:tc>
          <w:tcPr>
            <w:tcW w:w="2256" w:type="dxa"/>
          </w:tcPr>
          <w:p>
            <w:pPr/>
            <w:r>
              <w:t xml:space="preserve">1.5 (1.1–1.9; 9,309)</w:t>
            </w:r>
          </w:p>
        </w:tc>
      </w:tr>
      <w:tr>
        <w:tc>
          <w:tcPr>
            <w:tcW w:w="2085" w:type="dxa"/>
          </w:tcPr>
          <w:p>
            <w:pPr/>
            <w:r>
              <w:t xml:space="preserve">External exam, website rules</w:t>
            </w:r>
          </w:p>
        </w:tc>
        <w:tc>
          <w:tcPr>
            <w:tcW w:w="2540" w:type="dxa"/>
          </w:tcPr>
          <w:p>
            <w:pPr/>
            <w:r>
              <w:t xml:space="preserve">12.4 (9.7–15.5; 2,965)</w:t>
            </w:r>
          </w:p>
        </w:tc>
        <w:tc>
          <w:tcPr>
            <w:tcW w:w="2479" w:type="dxa"/>
          </w:tcPr>
          <w:p>
            <w:pPr/>
            <w:r>
              <w:t xml:space="preserve">4.4 (3.2–5.9; 3,612)</w:t>
            </w:r>
          </w:p>
        </w:tc>
        <w:tc>
          <w:tcPr>
            <w:tcW w:w="2256" w:type="dxa"/>
          </w:tcPr>
          <w:p>
            <w:pPr/>
            <w:r>
              <w:t xml:space="preserve">1.5 (1.1–1.9; 9,548)</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186"/>
        <w:gridCol w:w="1492"/>
        <w:gridCol w:w="1465"/>
        <w:gridCol w:w="1475"/>
        <w:gridCol w:w="1637"/>
        <w:gridCol w:w="969"/>
        <w:gridCol w:w="1134"/>
      </w:tblGrid>
      <w:tr>
        <w:trPr>
          <w:tblHeader/>
        </w:trPr>
        <w:tc>
          <w:tcPr>
            <w:tcW w:w="1186" w:type="dxa"/>
            <w:shd w:val="clear" w:color="auto" w:fill="F2F2F2"/>
          </w:tcPr>
          <w:p>
            <w:pPr/>
            <w:r>
              <w:t xml:space="preserve">Test</w:t>
            </w:r>
          </w:p>
        </w:tc>
        <w:tc>
          <w:tcPr>
            <w:tcW w:w="1492" w:type="dxa"/>
            <w:shd w:val="clear" w:color="auto" w:fill="F2F2F2"/>
          </w:tcPr>
          <w:p>
            <w:pPr/>
            <w:r>
              <w:t xml:space="preserve">Popularity</w:t>
            </w:r>
          </w:p>
        </w:tc>
        <w:tc>
          <w:tcPr>
            <w:tcW w:w="1465" w:type="dxa"/>
            <w:shd w:val="clear" w:color="auto" w:fill="F2F2F2"/>
          </w:tcPr>
          <w:p>
            <w:pPr/>
            <w:r>
              <w:t xml:space="preserve">TxGNN</w:t>
            </w:r>
          </w:p>
        </w:tc>
        <w:tc>
          <w:tcPr>
            <w:tcW w:w="1475" w:type="dxa"/>
            <w:shd w:val="clear" w:color="auto" w:fill="F2F2F2"/>
          </w:tcPr>
          <w:p>
            <w:pPr/>
            <w:r>
              <w:t xml:space="preserve">OREVID</w:t>
            </w:r>
          </w:p>
        </w:tc>
        <w:tc>
          <w:tcPr>
            <w:tcW w:w="1637" w:type="dxa"/>
            <w:shd w:val="clear" w:color="auto" w:fill="F2F2F2"/>
          </w:tcPr>
          <w:p>
            <w:pPr/>
            <w:r>
              <w:t xml:space="preserve">OREVID − TxGNN</w:t>
            </w:r>
          </w:p>
        </w:tc>
        <w:tc>
          <w:tcPr>
            <w:tcW w:w="969" w:type="dxa"/>
            <w:shd w:val="clear" w:color="auto" w:fill="F2F2F2"/>
          </w:tcPr>
          <w:p>
            <w:pPr/>
            <w:r>
              <w:t xml:space="preserve">Ahead / behind</w:t>
            </w:r>
          </w:p>
        </w:tc>
        <w:tc>
          <w:tcPr>
            <w:tcW w:w="1134" w:type="dxa"/>
            <w:shd w:val="clear" w:color="auto" w:fill="F2F2F2"/>
          </w:tcPr>
          <w:p>
            <w:pPr/>
            <w:r>
              <w:t xml:space="preserve">Holm p</w:t>
            </w:r>
          </w:p>
        </w:tc>
      </w:tr>
      <w:tr>
        <w:tc>
          <w:tcPr>
            <w:tcW w:w="1186" w:type="dxa"/>
          </w:tcPr>
          <w:p>
            <w:pPr/>
            <w:r>
              <w:t xml:space="preserve">Zero-shot</w:t>
            </w:r>
          </w:p>
        </w:tc>
        <w:tc>
          <w:tcPr>
            <w:tcW w:w="1492" w:type="dxa"/>
          </w:tcPr>
          <w:p>
            <w:pPr/>
            <w:r>
              <w:t xml:space="preserve">0.358 (0.314–0.402)</w:t>
            </w:r>
          </w:p>
        </w:tc>
        <w:tc>
          <w:tcPr>
            <w:tcW w:w="1465" w:type="dxa"/>
          </w:tcPr>
          <w:p>
            <w:pPr/>
            <w:r>
              <w:t xml:space="preserve">0.412 (0.369–0.457)</w:t>
            </w:r>
          </w:p>
        </w:tc>
        <w:tc>
          <w:tcPr>
            <w:tcW w:w="1475" w:type="dxa"/>
          </w:tcPr>
          <w:p>
            <w:pPr/>
            <w:r>
              <w:t xml:space="preserve">0.811 (0.772–0.847)</w:t>
            </w:r>
          </w:p>
        </w:tc>
        <w:tc>
          <w:tcPr>
            <w:tcW w:w="1637" w:type="dxa"/>
          </w:tcPr>
          <w:p>
            <w:pPr/>
            <w:r>
              <w:t xml:space="preserve">+0.399 (0.352–0.443)</w:t>
            </w:r>
          </w:p>
        </w:tc>
        <w:tc>
          <w:tcPr>
            <w:tcW w:w="969" w:type="dxa"/>
          </w:tcPr>
          <w:p>
            <w:pPr/>
            <w:r>
              <w:t xml:space="preserve">63% / 2%</w:t>
            </w:r>
          </w:p>
        </w:tc>
        <w:tc>
          <w:tcPr>
            <w:tcW w:w="1134" w:type="dxa"/>
          </w:tcPr>
          <w:p>
            <w:pPr/>
            <w:r>
              <w:t xml:space="preserve">2 × 10⁻³³</w:t>
            </w:r>
          </w:p>
        </w:tc>
      </w:tr>
      <w:tr>
        <w:tc>
          <w:tcPr>
            <w:tcW w:w="1186" w:type="dxa"/>
          </w:tcPr>
          <w:p>
            <w:pPr/>
            <w:r>
              <w:t xml:space="preserve">Zero-shot, hard</w:t>
            </w:r>
          </w:p>
        </w:tc>
        <w:tc>
          <w:tcPr>
            <w:tcW w:w="1492" w:type="dxa"/>
          </w:tcPr>
          <w:p>
            <w:pPr/>
            <w:r>
              <w:t xml:space="preserve">0.203 (0.150–0.259)</w:t>
            </w:r>
          </w:p>
        </w:tc>
        <w:tc>
          <w:tcPr>
            <w:tcW w:w="1465" w:type="dxa"/>
          </w:tcPr>
          <w:p>
            <w:pPr/>
            <w:r>
              <w:t xml:space="preserve">0.258 (0.197–0.324)</w:t>
            </w:r>
          </w:p>
        </w:tc>
        <w:tc>
          <w:tcPr>
            <w:tcW w:w="1475" w:type="dxa"/>
          </w:tcPr>
          <w:p>
            <w:pPr/>
            <w:r>
              <w:t xml:space="preserve">0.539 (0.465–0.613)</w:t>
            </w:r>
          </w:p>
        </w:tc>
        <w:tc>
          <w:tcPr>
            <w:tcW w:w="1637" w:type="dxa"/>
          </w:tcPr>
          <w:p>
            <w:pPr/>
            <w:r>
              <w:t xml:space="preserve">+0.281 (0.212–0.353)</w:t>
            </w:r>
          </w:p>
        </w:tc>
        <w:tc>
          <w:tcPr>
            <w:tcW w:w="969" w:type="dxa"/>
          </w:tcPr>
          <w:p>
            <w:pPr/>
            <w:r>
              <w:t xml:space="preserve">50% / 5%</w:t>
            </w:r>
          </w:p>
        </w:tc>
        <w:tc>
          <w:tcPr>
            <w:tcW w:w="1134" w:type="dxa"/>
          </w:tcPr>
          <w:p>
            <w:pPr/>
            <w:r>
              <w:t xml:space="preserve">2 × 10⁻⁹</w:t>
            </w:r>
          </w:p>
        </w:tc>
      </w:tr>
      <w:tr>
        <w:tc>
          <w:tcPr>
            <w:tcW w:w="1186" w:type="dxa"/>
          </w:tcPr>
          <w:p>
            <w:pPr/>
            <w:r>
              <w:t xml:space="preserve">Areas</w:t>
            </w:r>
          </w:p>
        </w:tc>
        <w:tc>
          <w:tcPr>
            <w:tcW w:w="1492" w:type="dxa"/>
          </w:tcPr>
          <w:p>
            <w:pPr/>
            <w:r>
              <w:t xml:space="preserve">0.185 (0.132–0.239)</w:t>
            </w:r>
          </w:p>
        </w:tc>
        <w:tc>
          <w:tcPr>
            <w:tcW w:w="1465" w:type="dxa"/>
          </w:tcPr>
          <w:p>
            <w:pPr/>
            <w:r>
              <w:t xml:space="preserve">0.237 (0.181–0.295)</w:t>
            </w:r>
          </w:p>
        </w:tc>
        <w:tc>
          <w:tcPr>
            <w:tcW w:w="1475" w:type="dxa"/>
          </w:tcPr>
          <w:p>
            <w:pPr/>
            <w:r>
              <w:t xml:space="preserve">0.617 (0.566–0.665)</w:t>
            </w:r>
          </w:p>
        </w:tc>
        <w:tc>
          <w:tcPr>
            <w:tcW w:w="1637" w:type="dxa"/>
          </w:tcPr>
          <w:p>
            <w:pPr/>
            <w:r>
              <w:t xml:space="preserve">+0.380 (0.314–0.447)</w:t>
            </w:r>
          </w:p>
        </w:tc>
        <w:tc>
          <w:tcPr>
            <w:tcW w:w="969" w:type="dxa"/>
          </w:tcPr>
          <w:p>
            <w:pPr/>
            <w:r>
              <w:t xml:space="preserve">63% / 3%</w:t>
            </w:r>
          </w:p>
        </w:tc>
        <w:tc>
          <w:tcPr>
            <w:tcW w:w="1134" w:type="dxa"/>
          </w:tcPr>
          <w:p>
            <w:pPr/>
            <w:r>
              <w:t xml:space="preserve">2 × 10⁻³⁵</w:t>
            </w:r>
          </w:p>
        </w:tc>
      </w:tr>
      <w:tr>
        <w:tc>
          <w:tcPr>
            <w:tcW w:w="1186" w:type="dxa"/>
          </w:tcPr>
          <w:p>
            <w:pPr/>
            <w:r>
              <w:t xml:space="preserve">Areas, hard</w:t>
            </w:r>
          </w:p>
        </w:tc>
        <w:tc>
          <w:tcPr>
            <w:tcW w:w="1492" w:type="dxa"/>
          </w:tcPr>
          <w:p>
            <w:pPr/>
            <w:r>
              <w:t xml:space="preserve">0.141 (0.078–0.213)</w:t>
            </w:r>
          </w:p>
        </w:tc>
        <w:tc>
          <w:tcPr>
            <w:tcW w:w="1465" w:type="dxa"/>
          </w:tcPr>
          <w:p>
            <w:pPr/>
            <w:r>
              <w:t xml:space="preserve">0.141 (0.086–0.204)</w:t>
            </w:r>
          </w:p>
        </w:tc>
        <w:tc>
          <w:tcPr>
            <w:tcW w:w="1475" w:type="dxa"/>
          </w:tcPr>
          <w:p>
            <w:pPr/>
            <w:r>
              <w:t xml:space="preserve">0.490 (0.414–0.565)</w:t>
            </w:r>
          </w:p>
        </w:tc>
        <w:tc>
          <w:tcPr>
            <w:tcW w:w="1637" w:type="dxa"/>
          </w:tcPr>
          <w:p>
            <w:pPr/>
            <w:r>
              <w:t xml:space="preserve">+0.349 (0.268–0.431)</w:t>
            </w:r>
          </w:p>
        </w:tc>
        <w:tc>
          <w:tcPr>
            <w:tcW w:w="969" w:type="dxa"/>
          </w:tcPr>
          <w:p>
            <w:pPr/>
            <w:r>
              <w:t xml:space="preserve">56% / 4%</w:t>
            </w:r>
          </w:p>
        </w:tc>
        <w:tc>
          <w:tcPr>
            <w:tcW w:w="1134" w:type="dxa"/>
          </w:tcPr>
          <w:p>
            <w:pPr/>
            <w:r>
              <w:t xml:space="preserve">6 × 10⁻²¹</w:t>
            </w:r>
          </w:p>
        </w:tc>
      </w:tr>
      <w:tr>
        <w:tc>
          <w:tcPr>
            <w:tcW w:w="1186" w:type="dxa"/>
          </w:tcPr>
          <w:p>
            <w:pPr/>
            <w:r>
              <w:t xml:space="preserve">External</w:t>
            </w:r>
          </w:p>
        </w:tc>
        <w:tc>
          <w:tcPr>
            <w:tcW w:w="1492" w:type="dxa"/>
          </w:tcPr>
          <w:p>
            <w:pPr/>
            <w:r>
              <w:t xml:space="preserve">0.130 (0.109–0.152)</w:t>
            </w:r>
          </w:p>
        </w:tc>
        <w:tc>
          <w:tcPr>
            <w:tcW w:w="1465" w:type="dxa"/>
          </w:tcPr>
          <w:p>
            <w:pPr/>
            <w:r>
              <w:t xml:space="preserve">0.121 (0.100–0.143)</w:t>
            </w:r>
          </w:p>
        </w:tc>
        <w:tc>
          <w:tcPr>
            <w:tcW w:w="1475" w:type="dxa"/>
          </w:tcPr>
          <w:p>
            <w:pPr/>
            <w:r>
              <w:t xml:space="preserve">0.359 (0.327–0.390)</w:t>
            </w:r>
          </w:p>
        </w:tc>
        <w:tc>
          <w:tcPr>
            <w:tcW w:w="1637" w:type="dxa"/>
          </w:tcPr>
          <w:p>
            <w:pPr/>
            <w:r>
              <w:t xml:space="preserve">+0.238 (0.206–0.270)</w:t>
            </w:r>
          </w:p>
        </w:tc>
        <w:tc>
          <w:tcPr>
            <w:tcW w:w="969" w:type="dxa"/>
          </w:tcPr>
          <w:p>
            <w:pPr/>
            <w:r>
              <w:t xml:space="preserve">43% / 5%</w:t>
            </w:r>
          </w:p>
        </w:tc>
        <w:tc>
          <w:tcPr>
            <w:tcW w:w="1134" w:type="dxa"/>
          </w:tcPr>
          <w:p>
            <w:pPr/>
            <w:r>
              <w:t xml:space="preserve">1 × 10⁻³⁴</w:t>
            </w:r>
          </w:p>
        </w:tc>
      </w:tr>
      <w:tr>
        <w:tc>
          <w:tcPr>
            <w:tcW w:w="1186" w:type="dxa"/>
          </w:tcPr>
          <w:p>
            <w:pPr/>
            <w:r>
              <w:t xml:space="preserve">External, non-obvious</w:t>
            </w:r>
          </w:p>
        </w:tc>
        <w:tc>
          <w:tcPr>
            <w:tcW w:w="1492" w:type="dxa"/>
          </w:tcPr>
          <w:p>
            <w:pPr/>
            <w:r>
              <w:t xml:space="preserve">0.075 (0.058–0.094)</w:t>
            </w:r>
          </w:p>
        </w:tc>
        <w:tc>
          <w:tcPr>
            <w:tcW w:w="1465" w:type="dxa"/>
          </w:tcPr>
          <w:p>
            <w:pPr/>
            <w:r>
              <w:t xml:space="preserve">0.085 (0.066–0.105)</w:t>
            </w:r>
          </w:p>
        </w:tc>
        <w:tc>
          <w:tcPr>
            <w:tcW w:w="1475" w:type="dxa"/>
          </w:tcPr>
          <w:p>
            <w:pPr/>
            <w:r>
              <w:t xml:space="preserve">0.178 (0.152–0.206)</w:t>
            </w:r>
          </w:p>
        </w:tc>
        <w:tc>
          <w:tcPr>
            <w:tcW w:w="1637" w:type="dxa"/>
          </w:tcPr>
          <w:p>
            <w:pPr/>
            <w:r>
              <w:t xml:space="preserve">+0.094 (0.064–0.123)</w:t>
            </w:r>
          </w:p>
        </w:tc>
        <w:tc>
          <w:tcPr>
            <w:tcW w:w="969" w:type="dxa"/>
          </w:tcPr>
          <w:p>
            <w:pPr/>
            <w:r>
              <w:t xml:space="preserve">24% / 9%</w:t>
            </w:r>
          </w:p>
        </w:tc>
        <w:tc>
          <w:tcPr>
            <w:tcW w:w="1134" w:type="dxa"/>
          </w:tcPr>
          <w:p>
            <w:pPr/>
            <w:r>
              <w:t xml:space="preserve">2 × 10⁻⁹</w:t>
            </w:r>
          </w:p>
        </w:tc>
      </w:tr>
      <w:tr>
        <w:tc>
          <w:tcPr>
            <w:tcW w:w="1186" w:type="dxa"/>
          </w:tcPr>
          <w:p>
            <w:pPr/>
            <w:r>
              <w:t xml:space="preserve">External, recent</w:t>
            </w:r>
          </w:p>
        </w:tc>
        <w:tc>
          <w:tcPr>
            <w:tcW w:w="1492" w:type="dxa"/>
          </w:tcPr>
          <w:p>
            <w:pPr/>
            <w:r>
              <w:t xml:space="preserve">0.097 (0.045–0.154)</w:t>
            </w:r>
          </w:p>
        </w:tc>
        <w:tc>
          <w:tcPr>
            <w:tcW w:w="1465" w:type="dxa"/>
          </w:tcPr>
          <w:p>
            <w:pPr/>
            <w:r>
              <w:t xml:space="preserve">0.119 (0.061–0.184)</w:t>
            </w:r>
          </w:p>
        </w:tc>
        <w:tc>
          <w:tcPr>
            <w:tcW w:w="1475" w:type="dxa"/>
          </w:tcPr>
          <w:p>
            <w:pPr/>
            <w:r>
              <w:t xml:space="preserve">0.355 (0.266–0.448)</w:t>
            </w:r>
          </w:p>
        </w:tc>
        <w:tc>
          <w:tcPr>
            <w:tcW w:w="1637" w:type="dxa"/>
          </w:tcPr>
          <w:p>
            <w:pPr/>
            <w:r>
              <w:t xml:space="preserve">+0.236 (0.141–0.332)</w:t>
            </w:r>
          </w:p>
        </w:tc>
        <w:tc>
          <w:tcPr>
            <w:tcW w:w="969" w:type="dxa"/>
          </w:tcPr>
          <w:p>
            <w:pPr/>
            <w:r>
              <w:t xml:space="preserve">30% / 4%</w:t>
            </w:r>
          </w:p>
        </w:tc>
        <w:tc>
          <w:tcPr>
            <w:tcW w:w="1134" w:type="dxa"/>
          </w:tcPr>
          <w:p>
            <w:pPr/>
            <w:r>
              <w:t xml:space="preserve">2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(population: the genes with at least one associated disease, without the 55 associated with 500 or more). Production: 3 genes, p &lt; 10⁻⁵. Permutation null on the external exam (100 random gene sets of the same size, genes drawn in proportion to their number of diseases): 5.2% on average, 99th percentile 5.6%. The last row is the rule of the first version, before both corrections.</w:t>
      </w:r>
    </w:p>
    <w:tbl>
      <w:tblPr>
        <w:tblStyle w:val="TableGrid"/>
        <w:tblW w:w="0" w:type="auto"/>
        <w:tblLayout w:type="fixed"/>
        <w:tblLook w:val="04A0" w:firstRow="1" w:lastRow="0" w:firstColumn="0" w:lastColumn="0" w:noHBand="0" w:noVBand="1"/>
      </w:tblPr>
      <w:tblGrid>
        <w:gridCol w:w="2249"/>
        <w:gridCol w:w="2445"/>
        <w:gridCol w:w="2409"/>
        <w:gridCol w:w="2256"/>
      </w:tblGrid>
      <w:tr>
        <w:trPr>
          <w:tblHeader/>
        </w:trPr>
        <w:tc>
          <w:tcPr>
            <w:tcW w:w="2249" w:type="dxa"/>
            <w:shd w:val="clear" w:color="auto" w:fill="F2F2F2"/>
          </w:tcPr>
          <w:p>
            <w:pPr/>
            <w:r>
              <w:t xml:space="preserve">Shared genes, p</w:t>
            </w:r>
          </w:p>
        </w:tc>
        <w:tc>
          <w:tcPr>
            <w:tcW w:w="2445" w:type="dxa"/>
            <w:shd w:val="clear" w:color="auto" w:fill="F2F2F2"/>
          </w:tcPr>
          <w:p>
            <w:pPr/>
            <w:r>
              <w:t xml:space="preserve">Benchmark</w:t>
            </w:r>
          </w:p>
        </w:tc>
        <w:tc>
          <w:tcPr>
            <w:tcW w:w="2409" w:type="dxa"/>
            <w:shd w:val="clear" w:color="auto" w:fill="F2F2F2"/>
          </w:tcPr>
          <w:p>
            <w:pPr/>
            <w:r>
              <w:t xml:space="preserve">Areas</w:t>
            </w:r>
          </w:p>
        </w:tc>
        <w:tc>
          <w:tcPr>
            <w:tcW w:w="2256" w:type="dxa"/>
            <w:shd w:val="clear" w:color="auto" w:fill="F2F2F2"/>
          </w:tcPr>
          <w:p>
            <w:pPr/>
            <w:r>
              <w:t xml:space="preserve">External</w:t>
            </w:r>
          </w:p>
        </w:tc>
      </w:tr>
      <w:tr>
        <w:tc>
          <w:tcPr>
            <w:tcW w:w="2249" w:type="dxa"/>
          </w:tcPr>
          <w:p>
            <w:pPr/>
            <w:r>
              <w:t xml:space="preserve">≥ 2, &lt; 10⁻³</w:t>
            </w:r>
          </w:p>
        </w:tc>
        <w:tc>
          <w:tcPr>
            <w:tcW w:w="2445" w:type="dxa"/>
          </w:tcPr>
          <w:p>
            <w:pPr/>
            <w:r>
              <w:t xml:space="preserve">21.4 (16.4–26.7; 2,202)</w:t>
            </w:r>
          </w:p>
        </w:tc>
        <w:tc>
          <w:tcPr>
            <w:tcW w:w="2409" w:type="dxa"/>
          </w:tcPr>
          <w:p>
            <w:pPr/>
            <w:r>
              <w:t xml:space="preserve">23.5 (19.4–27.7; 3,013)</w:t>
            </w:r>
          </w:p>
        </w:tc>
        <w:tc>
          <w:tcPr>
            <w:tcW w:w="2256" w:type="dxa"/>
          </w:tcPr>
          <w:p>
            <w:pPr/>
            <w:r>
              <w:t xml:space="preserve">3.9 (3.0–5.1; 4,685)</w:t>
            </w:r>
          </w:p>
        </w:tc>
      </w:tr>
      <w:tr>
        <w:tc>
          <w:tcPr>
            <w:tcW w:w="2249" w:type="dxa"/>
          </w:tcPr>
          <w:p>
            <w:pPr/>
            <w:r>
              <w:t xml:space="preserve">≥ 2, &lt; 10⁻⁵</w:t>
            </w:r>
          </w:p>
        </w:tc>
        <w:tc>
          <w:tcPr>
            <w:tcW w:w="2445" w:type="dxa"/>
          </w:tcPr>
          <w:p>
            <w:pPr/>
            <w:r>
              <w:t xml:space="preserve">24.3 (18.7–30.1; 1,926)</w:t>
            </w:r>
          </w:p>
        </w:tc>
        <w:tc>
          <w:tcPr>
            <w:tcW w:w="2409" w:type="dxa"/>
          </w:tcPr>
          <w:p>
            <w:pPr/>
            <w:r>
              <w:t xml:space="preserve">27.8 (23.2–32.5; 2,500)</w:t>
            </w:r>
          </w:p>
        </w:tc>
        <w:tc>
          <w:tcPr>
            <w:tcW w:w="2256" w:type="dxa"/>
          </w:tcPr>
          <w:p>
            <w:pPr/>
            <w:r>
              <w:t xml:space="preserve">4.4 (3.3–5.7; 3,861)</w:t>
            </w:r>
          </w:p>
        </w:tc>
      </w:tr>
      <w:tr>
        <w:tc>
          <w:tcPr>
            <w:tcW w:w="2249" w:type="dxa"/>
          </w:tcPr>
          <w:p>
            <w:pPr/>
            <w:r>
              <w:t xml:space="preserve">≥ 2, &lt; 10⁻⁷</w:t>
            </w:r>
          </w:p>
        </w:tc>
        <w:tc>
          <w:tcPr>
            <w:tcW w:w="2445" w:type="dxa"/>
          </w:tcPr>
          <w:p>
            <w:pPr/>
            <w:r>
              <w:t xml:space="preserve">27.3 (20.9–33.9; 1,668)</w:t>
            </w:r>
          </w:p>
        </w:tc>
        <w:tc>
          <w:tcPr>
            <w:tcW w:w="2409" w:type="dxa"/>
          </w:tcPr>
          <w:p>
            <w:pPr/>
            <w:r>
              <w:t xml:space="preserve">30.5 (25.5–35.9; 2,223)</w:t>
            </w:r>
          </w:p>
        </w:tc>
        <w:tc>
          <w:tcPr>
            <w:tcW w:w="2256" w:type="dxa"/>
          </w:tcPr>
          <w:p>
            <w:pPr/>
            <w:r>
              <w:t xml:space="preserve">4.8 (3.4–6.3; 3,264)</w:t>
            </w:r>
          </w:p>
        </w:tc>
      </w:tr>
      <w:tr>
        <w:tc>
          <w:tcPr>
            <w:tcW w:w="2249" w:type="dxa"/>
          </w:tcPr>
          <w:p>
            <w:pPr/>
            <w:r>
              <w:t xml:space="preserve">≥ 3, &lt; 10⁻³</w:t>
            </w:r>
          </w:p>
        </w:tc>
        <w:tc>
          <w:tcPr>
            <w:tcW w:w="2445" w:type="dxa"/>
          </w:tcPr>
          <w:p>
            <w:pPr/>
            <w:r>
              <w:t xml:space="preserve">22.3 (17.0–28.1; 2,021)</w:t>
            </w:r>
          </w:p>
        </w:tc>
        <w:tc>
          <w:tcPr>
            <w:tcW w:w="2409" w:type="dxa"/>
          </w:tcPr>
          <w:p>
            <w:pPr/>
            <w:r>
              <w:t xml:space="preserve">24.3 (20.0–28.8; 2,830)</w:t>
            </w:r>
          </w:p>
        </w:tc>
        <w:tc>
          <w:tcPr>
            <w:tcW w:w="2256" w:type="dxa"/>
          </w:tcPr>
          <w:p>
            <w:pPr/>
            <w:r>
              <w:t xml:space="preserve">4.1 (3.0–5.3; 4,384)</w:t>
            </w:r>
          </w:p>
        </w:tc>
      </w:tr>
      <w:tr>
        <w:tc>
          <w:tcPr>
            <w:tcW w:w="2249" w:type="dxa"/>
          </w:tcPr>
          <w:p>
            <w:pPr/>
            <w:r>
              <w:rPr>
                <w:b/>
              </w:rPr>
              <w:t xml:space="preserve">≥ 3, &lt; 10⁻⁵ (production)</w:t>
            </w:r>
          </w:p>
        </w:tc>
        <w:tc>
          <w:tcPr>
            <w:tcW w:w="2445" w:type="dxa"/>
          </w:tcPr>
          <w:p>
            <w:pPr/>
            <w:r>
              <w:t xml:space="preserve">24.2 (18.3–30.1; 1,861)</w:t>
            </w:r>
          </w:p>
        </w:tc>
        <w:tc>
          <w:tcPr>
            <w:tcW w:w="2409" w:type="dxa"/>
          </w:tcPr>
          <w:p>
            <w:pPr/>
            <w:r>
              <w:t xml:space="preserve">27.6 (22.8–32.4; 2,475)</w:t>
            </w:r>
          </w:p>
        </w:tc>
        <w:tc>
          <w:tcPr>
            <w:tcW w:w="2256" w:type="dxa"/>
          </w:tcPr>
          <w:p>
            <w:pPr/>
            <w:r>
              <w:t xml:space="preserve">4.4 (3.2–5.8; 3,791)</w:t>
            </w:r>
          </w:p>
        </w:tc>
      </w:tr>
      <w:tr>
        <w:tc>
          <w:tcPr>
            <w:tcW w:w="2249" w:type="dxa"/>
          </w:tcPr>
          <w:p>
            <w:pPr/>
            <w:r>
              <w:t xml:space="preserve">≥ 3, &lt; 10⁻⁷</w:t>
            </w:r>
          </w:p>
        </w:tc>
        <w:tc>
          <w:tcPr>
            <w:tcW w:w="2445" w:type="dxa"/>
          </w:tcPr>
          <w:p>
            <w:pPr/>
            <w:r>
              <w:t xml:space="preserve">26.7 (20.2–33.3; 1,653)</w:t>
            </w:r>
          </w:p>
        </w:tc>
        <w:tc>
          <w:tcPr>
            <w:tcW w:w="2409" w:type="dxa"/>
          </w:tcPr>
          <w:p>
            <w:pPr/>
            <w:r>
              <w:t xml:space="preserve">30.4 (25.2–35.6; 2,218)</w:t>
            </w:r>
          </w:p>
        </w:tc>
        <w:tc>
          <w:tcPr>
            <w:tcW w:w="2256" w:type="dxa"/>
          </w:tcPr>
          <w:p>
            <w:pPr/>
            <w:r>
              <w:t xml:space="preserve">4.7 (3.4–6.3; 3,259)</w:t>
            </w:r>
          </w:p>
        </w:tc>
      </w:tr>
      <w:tr>
        <w:tc>
          <w:tcPr>
            <w:tcW w:w="2249" w:type="dxa"/>
          </w:tcPr>
          <w:p>
            <w:pPr/>
            <w:r>
              <w:t xml:space="preserve">≥ 4, &lt; 10⁻³</w:t>
            </w:r>
          </w:p>
        </w:tc>
        <w:tc>
          <w:tcPr>
            <w:tcW w:w="2445" w:type="dxa"/>
          </w:tcPr>
          <w:p>
            <w:pPr/>
            <w:r>
              <w:t xml:space="preserve">22.9 (17.2–29.0; 1,887)</w:t>
            </w:r>
          </w:p>
        </w:tc>
        <w:tc>
          <w:tcPr>
            <w:tcW w:w="2409" w:type="dxa"/>
          </w:tcPr>
          <w:p>
            <w:pPr/>
            <w:r>
              <w:t xml:space="preserve">25.2 (20.7–29.9; 2,638)</w:t>
            </w:r>
          </w:p>
        </w:tc>
        <w:tc>
          <w:tcPr>
            <w:tcW w:w="2256" w:type="dxa"/>
          </w:tcPr>
          <w:p>
            <w:pPr/>
            <w:r>
              <w:t xml:space="preserve">4.2 (3.0–5.4; 4,065)</w:t>
            </w:r>
          </w:p>
        </w:tc>
      </w:tr>
      <w:tr>
        <w:tc>
          <w:tcPr>
            <w:tcW w:w="2249" w:type="dxa"/>
          </w:tcPr>
          <w:p>
            <w:pPr/>
            <w:r>
              <w:t xml:space="preserve">≥ 4, &lt; 10⁻⁵</w:t>
            </w:r>
          </w:p>
        </w:tc>
        <w:tc>
          <w:tcPr>
            <w:tcW w:w="2445" w:type="dxa"/>
          </w:tcPr>
          <w:p>
            <w:pPr/>
            <w:r>
              <w:t xml:space="preserve">24.0 (18.1–30.2; 1,798)</w:t>
            </w:r>
          </w:p>
        </w:tc>
        <w:tc>
          <w:tcPr>
            <w:tcW w:w="2409" w:type="dxa"/>
          </w:tcPr>
          <w:p>
            <w:pPr/>
            <w:r>
              <w:t xml:space="preserve">27.7 (22.9–32.7; 2,380)</w:t>
            </w:r>
          </w:p>
        </w:tc>
        <w:tc>
          <w:tcPr>
            <w:tcW w:w="2256" w:type="dxa"/>
          </w:tcPr>
          <w:p>
            <w:pPr/>
            <w:r>
              <w:t xml:space="preserve">4.4 (3.2–5.9; 3,669)</w:t>
            </w:r>
          </w:p>
        </w:tc>
      </w:tr>
      <w:tr>
        <w:tc>
          <w:tcPr>
            <w:tcW w:w="2249" w:type="dxa"/>
          </w:tcPr>
          <w:p>
            <w:pPr/>
            <w:r>
              <w:t xml:space="preserve">≥ 4, &lt; 10⁻⁷</w:t>
            </w:r>
          </w:p>
        </w:tc>
        <w:tc>
          <w:tcPr>
            <w:tcW w:w="2445" w:type="dxa"/>
          </w:tcPr>
          <w:p>
            <w:pPr/>
            <w:r>
              <w:t xml:space="preserve">26.1 (19.7–32.8; 1,621)</w:t>
            </w:r>
          </w:p>
        </w:tc>
        <w:tc>
          <w:tcPr>
            <w:tcW w:w="2409" w:type="dxa"/>
          </w:tcPr>
          <w:p>
            <w:pPr/>
            <w:r>
              <w:t xml:space="preserve">30.0 (24.9–35.4; 2,185)</w:t>
            </w:r>
          </w:p>
        </w:tc>
        <w:tc>
          <w:tcPr>
            <w:tcW w:w="2256" w:type="dxa"/>
          </w:tcPr>
          <w:p>
            <w:pPr/>
            <w:r>
              <w:t xml:space="preserve">4.7 (3.4–6.3; 3,215)</w:t>
            </w:r>
          </w:p>
        </w:tc>
      </w:tr>
      <w:tr>
        <w:tc>
          <w:tcPr>
            <w:tcW w:w="2249" w:type="dxa"/>
          </w:tcPr>
          <w:p>
            <w:pPr/>
            <w:r>
              <w:t xml:space="preserve">≥ 5, &lt; 10⁻³</w:t>
            </w:r>
          </w:p>
        </w:tc>
        <w:tc>
          <w:tcPr>
            <w:tcW w:w="2445" w:type="dxa"/>
          </w:tcPr>
          <w:p>
            <w:pPr/>
            <w:r>
              <w:t xml:space="preserve">22.7 (16.7–28.7; 1,799)</w:t>
            </w:r>
          </w:p>
        </w:tc>
        <w:tc>
          <w:tcPr>
            <w:tcW w:w="2409" w:type="dxa"/>
          </w:tcPr>
          <w:p>
            <w:pPr/>
            <w:r>
              <w:t xml:space="preserve">25.7 (21.0–30.5; 2,541)</w:t>
            </w:r>
          </w:p>
        </w:tc>
        <w:tc>
          <w:tcPr>
            <w:tcW w:w="2256" w:type="dxa"/>
          </w:tcPr>
          <w:p>
            <w:pPr/>
            <w:r>
              <w:t xml:space="preserve">4.1 (3.0–5.4; 3,818)</w:t>
            </w:r>
          </w:p>
        </w:tc>
      </w:tr>
      <w:tr>
        <w:tc>
          <w:tcPr>
            <w:tcW w:w="2249" w:type="dxa"/>
          </w:tcPr>
          <w:p>
            <w:pPr/>
            <w:r>
              <w:t xml:space="preserve">≥ 5, &lt; 10⁻⁵</w:t>
            </w:r>
          </w:p>
        </w:tc>
        <w:tc>
          <w:tcPr>
            <w:tcW w:w="2445" w:type="dxa"/>
          </w:tcPr>
          <w:p>
            <w:pPr/>
            <w:r>
              <w:t xml:space="preserve">23.6 (17.4–29.8; 1,731)</w:t>
            </w:r>
          </w:p>
        </w:tc>
        <w:tc>
          <w:tcPr>
            <w:tcW w:w="2409" w:type="dxa"/>
          </w:tcPr>
          <w:p>
            <w:pPr/>
            <w:r>
              <w:t xml:space="preserve">27.9 (23.0–32.9; 2,322)</w:t>
            </w:r>
          </w:p>
        </w:tc>
        <w:tc>
          <w:tcPr>
            <w:tcW w:w="2256" w:type="dxa"/>
          </w:tcPr>
          <w:p>
            <w:pPr/>
            <w:r>
              <w:t xml:space="preserve">4.3 (3.1–5.8; 3,498)</w:t>
            </w:r>
          </w:p>
        </w:tc>
      </w:tr>
      <w:tr>
        <w:tc>
          <w:tcPr>
            <w:tcW w:w="2249" w:type="dxa"/>
          </w:tcPr>
          <w:p>
            <w:pPr/>
            <w:r>
              <w:t xml:space="preserve">≥ 5, &lt; 10⁻⁷</w:t>
            </w:r>
          </w:p>
        </w:tc>
        <w:tc>
          <w:tcPr>
            <w:tcW w:w="2445" w:type="dxa"/>
          </w:tcPr>
          <w:p>
            <w:pPr/>
            <w:r>
              <w:t xml:space="preserve">25.8 (19.3–32.7; 1,576)</w:t>
            </w:r>
          </w:p>
        </w:tc>
        <w:tc>
          <w:tcPr>
            <w:tcW w:w="2409" w:type="dxa"/>
          </w:tcPr>
          <w:p>
            <w:pPr/>
            <w:r>
              <w:t xml:space="preserve">30.0 (24.9–35.4; 2,148)</w:t>
            </w:r>
          </w:p>
        </w:tc>
        <w:tc>
          <w:tcPr>
            <w:tcW w:w="2256" w:type="dxa"/>
          </w:tcPr>
          <w:p>
            <w:pPr/>
            <w:r>
              <w:t xml:space="preserve">4.5 (3.2–6.1; 3,129)</w:t>
            </w:r>
          </w:p>
        </w:tc>
      </w:tr>
      <w:tr>
        <w:tc>
          <w:tcPr>
            <w:tcW w:w="2249" w:type="dxa"/>
          </w:tcPr>
          <w:p>
            <w:pPr/>
            <w:r>
              <w:t xml:space="preserve">≥ 3, &lt; 10⁻⁵, ≥ 3 specific genes</w:t>
            </w:r>
          </w:p>
        </w:tc>
        <w:tc>
          <w:tcPr>
            <w:tcW w:w="2445" w:type="dxa"/>
          </w:tcPr>
          <w:p>
            <w:pPr/>
            <w:r>
              <w:t xml:space="preserve">30.8 (23.0–38.3; 1,265)</w:t>
            </w:r>
          </w:p>
        </w:tc>
        <w:tc>
          <w:tcPr>
            <w:tcW w:w="2409" w:type="dxa"/>
          </w:tcPr>
          <w:p>
            <w:pPr/>
            <w:r>
              <w:t xml:space="preserve">33.9 (27.9–39.9; 1,784)</w:t>
            </w:r>
          </w:p>
        </w:tc>
        <w:tc>
          <w:tcPr>
            <w:tcW w:w="2256" w:type="dxa"/>
          </w:tcPr>
          <w:p>
            <w:pPr/>
            <w:r>
              <w:t xml:space="preserve">4.9 (3.4–6.6; 2,845)</w:t>
            </w:r>
          </w:p>
        </w:tc>
      </w:tr>
      <w:tr>
        <w:tc>
          <w:tcPr>
            <w:tcW w:w="2249" w:type="dxa"/>
          </w:tcPr>
          <w:p>
            <w:pPr/>
            <w:r>
              <w:t xml:space="preserve">Before the correction: ≥ 3, &lt; 10⁻⁶, population counting diseases too</w:t>
            </w:r>
          </w:p>
        </w:tc>
        <w:tc>
          <w:tcPr>
            <w:tcW w:w="2445" w:type="dxa"/>
          </w:tcPr>
          <w:p>
            <w:pPr/>
            <w:r>
              <w:t xml:space="preserve">22.7 (17.3–28.6; 1,992)</w:t>
            </w:r>
          </w:p>
        </w:tc>
        <w:tc>
          <w:tcPr>
            <w:tcW w:w="2409" w:type="dxa"/>
          </w:tcPr>
          <w:p>
            <w:pPr/>
            <w:r>
              <w:t xml:space="preserve">25.2 (20.8–29.6; 2,725)</w:t>
            </w:r>
          </w:p>
        </w:tc>
        <w:tc>
          <w:tcPr>
            <w:tcW w:w="2256" w:type="dxa"/>
          </w:tcPr>
          <w:p>
            <w:pPr/>
            <w:r>
              <w:t xml:space="preserve">4.2 (3.1–5.5; 4,119)</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rcid.org/0009-0000-9624-332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node/5705ebe6-3020@137 docx-w7</dc:description>
  <cp:revision>137</cp:revision>
</cp:coreProperties>
</file>