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and two gene-level columns (whether the drug moves its targets in the direction human genetics asks, from protein and expression QTLs that colocalise with the disease's genome-wide association studies, and whether it acts on a gene Orphanet lists for the disease)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0.812 ± 0.038 for OREVID, 0.412 ± 0.042 for TxGNN and 0.358 ± 0.040 for a popularity baseline, with OREVID ahead on every split (paired difference with TxGNN 0.400, 95% CI 0.354–0.444, resampling diseases). On nine disease areas held out it was 0.627 against 0.237, ahead in all nine, although TxGNN had the higher AUPRC in four. Training OREVID without validation labels and excluding diseases where TxGNN outputs constant scores gave 0.815 against 0.421. On 3,718 approvals absent from PrimeKG, Recall@100 was 0.355 against 0.121 (0.366 ± 0.011 against 0.126 ± 0.004 over five training splits), and 0.175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9.8–15.5%, resampling diseases) of direct extensions and 4.4% (3.2–5.8%) of shared-genes candidates were among the unseen approvals, against about 0.07% by chance; random gene sets of the same size selected candidates that were right as often, so the shared genes are not evidence of a shared mechanism, although they contained a protein of the curated mechanism (DrugMechDB) more often than random genes of the same disease (25% against 17%). A drug acting on a disease gene, with no other evidence, was right 1.8–3.4% of the time, no better than candidates with no evidence line at all. With the graph and the model rebuilt as known in 2015 and every drug dated by its first approval, the uses that later reached phase 3 or approval had a Recall@100 of 0.283 against 0.181 for popularity (paired difference 0.102, 95% CI 0.078–0.126) and 0.117 for TxGNN trained on the same graph (difference 0.167, 0.142–0.192), in pre-registered tests. On labels absent from the graph (CIViC oncology evidence, indications only DrugCentral or MED-RT record, and European orphan designations) OREVID was ahead of popularity by 0.32, 0.27 and 0.16, but the candidates the website shows did not meet trial end points more often than ranked drugs it hides.</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112410"/>
            <wp:docPr id="1" name="image1" descr="Figure 1: OREVID pipeline, from the sources to what a disease page shows"/>
            <a:graphic xmlns:a="http://schemas.openxmlformats.org/drawingml/2006/main">
              <a:graphicData uri="http://schemas.openxmlformats.org/drawingml/2006/picture">
                <pic:pic xmlns:pic="http://schemas.openxmlformats.org/drawingml/2006/picture">
                  <pic:nvPicPr>
                    <pic:cNvPr id="1" name="image1" descr="Figure 1: OREVID pipeline, from the sources to what a disease page shows"/>
                    <pic:cNvPicPr/>
                  </pic:nvPicPr>
                  <pic:blipFill>
                    <a:blip r:embed="rId4"/>
                    <a:stretch>
                      <a:fillRect/>
                    </a:stretch>
                  </pic:blipFill>
                  <pic:spPr>
                    <a:xfrm>
                      <a:off x="0" y="0"/>
                      <a:ext cx="5486400" cy="3112410"/>
                    </a:xfrm>
                    <a:prstGeom prst="rect">
                      <a:avLst/>
                    </a:prstGeom>
                  </pic:spPr>
                </pic:pic>
              </a:graphicData>
            </a:graphic>
          </wp:inline>
        </w:drawing>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Two further inputs feed one model column each and are not edges of the graph: the colocalisations of Open Targets 26.06 between protein or expression QTLs and disease association studies, and the disease–gene associations of Orphanet (Orphadata, CC BY 4.0) [25].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Two gene-level columns were added on 24 October 2026. The first is the direction of human genetics: for each of the drug's targets that it lowers or raises (ChEMBL action types), a cis protein or expression QTL that colocalises with an association study of the disease (posterior probability of a shared variant h4 ≥ 0.8) gives the sign of the effect of a higher level of the protein on disease risk, and the column counts the targets the drug moves in the direction that lowers risk minus those it moves the other way. Across 1,351 diseases, drugs already used for a disease agreed with this direction 5.1 times more often than they disagreed (95% CI 2.5–12.3; 117 indicated pairs). The second counts the drug's targets among the genes Orphanet lists for the disease (graph diseases with a single MONDO identifier). Neither column uses a drug–disease edge, so both carry the same value in every split. Each was tested against the model of the time with a pre-registered rule; neither met it (as features they applied to few benchmark diseases and changed Recall@100 by −0.000 to +0.008), and both were adopted by the author's decision because they did not lower the benchmark and helped where they applied; Results report the model with both.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genes with at least one associated disease (19,735) except the 55 associated with 500 or more diseases («shared genes»). These hub genes, mostly developmental genes of rare syndromes such as FGFR3, GLI3 and TP53, count neither in the number of shared genes nor in the test; the rule was pre-registered and adopted after the first version, because the candidates they alone brought were right 1–3% of the time, like hidden ones.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in the model of version 2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r>
        <w:rPr>
          <w:b/>
        </w:rPr>
        <w:t xml:space="preserve">Independent exams.</w:t>
      </w:r>
      <w:r>
        <w:t xml:space="preserve"> Three further sets of drug–disease pairs, absent from PrimeKG and from the confirmed Open Targets approvals, were ranked by the production model trained on the whole graph, against the popularity baseline, with candidates restricted to drugs not indicated for the disease: biomarker-based sensitivity evidence of levels A–B for single drugs in CIViC [26] (cancers only); indications known only to DrugCentral [24] or MED-RT, the curated drug–disease relations of the US Veterans Health Administration; and European orphan designations (EMA), where every drug was a candidate because most designated drugs are not yet approved. A fourth test asked whether the candidates the website showed in the frozen snapshot of 12 October 2026 met their primary end point more often than the ranked drugs it did not show, among phase 2–3 trials with posted results on ClinicalTrials.gov. Each test and its decision rule were registered before the data were downloaded.</w:t>
      </w:r>
    </w:p>
    <w:p>
      <w:pPr/>
      <w:r>
        <w:rPr>
          <w:b/>
        </w:rPr>
        <w:t xml:space="preserve">Temporal validation.</w:t>
      </w:r>
      <w:r>
        <w:t xml:space="preserve"> To test the prediction of later uses, the graph was rebuilt as it was known at a cutoff year: PrimeKG drug–disease edges whose first trial in Open Targets started at or after the cutoff, and Open Targets gene–disease associations first reported after it, were removed, and the model, the popularity baseline and the logistic regression were retrained on that graph. Positives were drug–disease pairs whose first trial started at or after the cutoff and that reached phase 3 or approval by Open Targets 26.06, excluding pairs already linked in the cutoff graph. The 2012 cutoff was used for development and 2015 for confirmation. The decision rule (claim an advantage only if the paired OREVID − popularity difference in Recall@100 at 2015 had a 95% interval excluding 0) and the secondary analyses were registered before running (docs/IMPROVEMENT_PLAN.md). Because 80% of PrimeKG indications carry no date, a second pre-registered version dated every drug by its first approval in DrugCentral [24] and also removed all drug–disease edges of drugs first approved at or after the cutoff, leaving 11% of indications undated. TxGNN was then trained with its official code and the benchmark's hyperparameters on exactly that dated cutoff graph (the removed edges marked as test in its own split, so it never trained on them) and scored on the same test diseases, candidates and positives.</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and about two hours for each of the two temporal cutoffs. AI assistance (Claude, Anthropic) was used to write and review code, to support the data analysis and for language editing; the reviews by AI agents and how their suggestions were checked are described under Use of AI in the Declarations. Figures 1–4 are drawn with matplotlib by the script evaluation/figures.py in the repository, which reads the result files (benchmark/predictions/*/results.json and docs/EVIDENCE_CI.md), so every plotted number comes from those files.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+0.33 to +0.46 on the areas and +0.20 to +0.27 on the external exam; OREVID was ahead on 63% of zero-shot diseases and behind on 3%, the rest being ties (Supplementary Table S4). On the zero-shot split, Recall@100 was 0.812 ± 0.038 against 0.412 ± 0.042, and OREVID was ahead on each of the five seeds (paired differences 0.36–0.47; on the hard subset 0.544 ± 0.077 against 0.258 ± 0.067, differences 0.22–0.43). On the disease areas it was ahead in all nine (Figure 3, Table 2): 0.627 against 0.237 as a mean of areas, and 0.645 against 0.269 weighted by disease; on the hard area diseases TxGNN (0.141) did no better than the popularity baseline (0.141). Precision@K showed the same pattern (zero-shot 0.580 against 0.079; areas 0.415 against 0.057). AUPRC under TxGNN's protocol, which sets each correct drug against one sampled negative, was closer: 0.952 ± 0.010 against 0.910 ± 0.036 on zero-shot and 0.898 against 0.866 on the areas, and TxGNN had the higher AUPRC in four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3059330"/>
            <wp:docPr id="2" name="image2" descr="Figure 2: Recall@100 of the popularity baseline, TxGNN and OREVID on four tests"/>
            <a:graphic xmlns:a="http://schemas.openxmlformats.org/drawingml/2006/main">
              <a:graphicData uri="http://schemas.openxmlformats.org/drawingml/2006/picture">
                <pic:pic xmlns:pic="http://schemas.openxmlformats.org/drawingml/2006/picture">
                  <pic:nvPicPr>
                    <pic:cNvPr id="2" name="image2" descr="Figure 2: Recall@100 of the popularity baseline, TxGNN and OREVID on four tests"/>
                    <pic:cNvPicPr/>
                  </pic:nvPicPr>
                  <pic:blipFill>
                    <a:blip r:embed="rId5"/>
                    <a:stretch>
                      <a:fillRect/>
                    </a:stretch>
                  </pic:blipFill>
                  <pic:spPr>
                    <a:xfrm>
                      <a:off x="0" y="0"/>
                      <a:ext cx="5486400" cy="3059330"/>
                    </a:xfrm>
                    <a:prstGeom prst="rect">
                      <a:avLst/>
                    </a:prstGeom>
                  </pic:spPr>
                </pic:pic>
              </a:graphicData>
            </a:graphic>
          </wp:inline>
        </w:drawing>
      </w:r>
    </w:p>
    <w:p>
      <w:pPr/>
      <w:r>
        <w:rPr>
          <w:b/>
        </w:rPr>
        <w:t xml:space="preserve">Figure 2.</w:t>
      </w:r>
      <w:r>
        <w:t xml:space="preserve"> Recall@100 of the popularity baseline, TxGNN and OREVID on four tests. Zero-shot: mean of five seeds; areas: mean of nine areas; external exam: first training split (over five splits, OREVID 0.366 ± 0.011, TxGNN 0.126 ± 0.004).</w:t>
      </w:r>
    </w:p>
    <w:p>
      <w:pPr/>
      <w:r>
        <w:t xml:space="preserve">Two further comparisons show where the advantage comes from (Table 1). A logistic regression on the same metapath features without the popularity feature reached 0.782 ± 0.045 on zero-shot and 0.594 on the areas, and on the external exam it matched the full model (0.362 against 0.355; non-obvious pairs 0.191 against 0.175).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0.344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 A knowledge-graph embedding baseline, RotatE [7] (the best of TransE, ComplEx and RotatE in a pre-registered grid on zero-shot seed 1), reached 0.289 ± 0.058 on zero-shot, below the popularity baseline, 0.219 on the areas and 0.156 on the external exam, where it was above TxGNN (non-obvious approvals 0.127 against 0.085). An ensemble of OREVID and RotatE, chosen on two seeds, did not improve the confirmation tests (seeds 3–5 and the areas).</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0.355, TxGNN 0.121). The training-labels-only variant was not run on the external exam. RotatE: PyKEEN knowledge-graph embedding trained on each split's training edges, with its settings chosen on zero-shot seed 1; external exam on the first split only.</w:t>
      </w:r>
    </w:p>
    <w:tbl>
      <w:tblPr>
        <w:tblStyle w:val="TableGrid"/>
        <w:tblW w:w="0" w:type="auto"/>
        <w:tblLayout w:type="fixed"/>
        <w:tblLook w:val="04A0" w:firstRow="1" w:lastRow="0" w:firstColumn="0" w:lastColumn="0" w:noHBand="0" w:noVBand="1"/>
      </w:tblPr>
      <w:tblGrid>
        <w:gridCol w:w="2171"/>
        <w:gridCol w:w="1377"/>
        <w:gridCol w:w="1344"/>
        <w:gridCol w:w="829"/>
        <w:gridCol w:w="1224"/>
        <w:gridCol w:w="1228"/>
        <w:gridCol w:w="1186"/>
      </w:tblGrid>
      <w:tr>
        <w:trPr>
          <w:tblHeader/>
        </w:trPr>
        <w:tc>
          <w:tcPr>
            <w:tcW w:w="2171" w:type="dxa"/>
            <w:shd w:val="clear" w:color="auto" w:fill="F2F2F2"/>
          </w:tcPr>
          <w:p>
            <w:pPr/>
            <w:r>
              <w:t xml:space="preserve">Model</w:t>
            </w:r>
          </w:p>
        </w:tc>
        <w:tc>
          <w:tcPr>
            <w:tcW w:w="1377" w:type="dxa"/>
            <w:shd w:val="clear" w:color="auto" w:fill="F2F2F2"/>
          </w:tcPr>
          <w:p>
            <w:pPr/>
            <w:r>
              <w:t xml:space="preserve">Zero-shot</w:t>
            </w:r>
          </w:p>
        </w:tc>
        <w:tc>
          <w:tcPr>
            <w:tcW w:w="1344" w:type="dxa"/>
            <w:shd w:val="clear" w:color="auto" w:fill="F2F2F2"/>
          </w:tcPr>
          <w:p>
            <w:pPr/>
            <w:r>
              <w:t xml:space="preserve">Zero-shot, hard</w:t>
            </w:r>
          </w:p>
        </w:tc>
        <w:tc>
          <w:tcPr>
            <w:tcW w:w="829" w:type="dxa"/>
            <w:shd w:val="clear" w:color="auto" w:fill="F2F2F2"/>
          </w:tcPr>
          <w:p>
            <w:pPr/>
            <w:r>
              <w:t xml:space="preserve">Areas</w:t>
            </w:r>
          </w:p>
        </w:tc>
        <w:tc>
          <w:tcPr>
            <w:tcW w:w="1224" w:type="dxa"/>
            <w:shd w:val="clear" w:color="auto" w:fill="F2F2F2"/>
          </w:tcPr>
          <w:p>
            <w:pPr/>
            <w:r>
              <w:t xml:space="preserve">External</w:t>
            </w:r>
          </w:p>
        </w:tc>
        <w:tc>
          <w:tcPr>
            <w:tcW w:w="1228" w:type="dxa"/>
            <w:shd w:val="clear" w:color="auto" w:fill="F2F2F2"/>
          </w:tcPr>
          <w:p>
            <w:pPr/>
            <w:r>
              <w:t xml:space="preserve">External, non-obvious</w:t>
            </w:r>
          </w:p>
        </w:tc>
        <w:tc>
          <w:tcPr>
            <w:tcW w:w="1186" w:type="dxa"/>
            <w:shd w:val="clear" w:color="auto" w:fill="F2F2F2"/>
          </w:tcPr>
          <w:p>
            <w:pPr/>
            <w:r>
              <w:t xml:space="preserve">External, recent</w:t>
            </w:r>
          </w:p>
        </w:tc>
      </w:tr>
      <w:tr>
        <w:tc>
          <w:tcPr>
            <w:tcW w:w="2171" w:type="dxa"/>
          </w:tcPr>
          <w:p>
            <w:pPr/>
            <w:r>
              <w:t xml:space="preserve">Popularity baseline</w:t>
            </w:r>
          </w:p>
        </w:tc>
        <w:tc>
          <w:tcPr>
            <w:tcW w:w="1377" w:type="dxa"/>
          </w:tcPr>
          <w:p>
            <w:pPr/>
            <w:r>
              <w:t xml:space="preserve">0.358 ± 0.040</w:t>
            </w:r>
          </w:p>
        </w:tc>
        <w:tc>
          <w:tcPr>
            <w:tcW w:w="1344" w:type="dxa"/>
          </w:tcPr>
          <w:p>
            <w:pPr/>
            <w:r>
              <w:t xml:space="preserve">0.203 ± 0.031</w:t>
            </w:r>
          </w:p>
        </w:tc>
        <w:tc>
          <w:tcPr>
            <w:tcW w:w="829" w:type="dxa"/>
          </w:tcPr>
          <w:p>
            <w:pPr/>
            <w:r>
              <w:t xml:space="preserve">0.185</w:t>
            </w:r>
          </w:p>
        </w:tc>
        <w:tc>
          <w:tcPr>
            <w:tcW w:w="1224" w:type="dxa"/>
          </w:tcPr>
          <w:p>
            <w:pPr/>
            <w:r>
              <w:t xml:space="preserve">0.130 ± 0.010</w:t>
            </w:r>
          </w:p>
        </w:tc>
        <w:tc>
          <w:tcPr>
            <w:tcW w:w="1228" w:type="dxa"/>
          </w:tcPr>
          <w:p>
            <w:pPr/>
            <w:r>
              <w:t xml:space="preserve">0.076 ± 0.006</w:t>
            </w:r>
          </w:p>
        </w:tc>
        <w:tc>
          <w:tcPr>
            <w:tcW w:w="1186" w:type="dxa"/>
          </w:tcPr>
          <w:p>
            <w:pPr/>
            <w:r>
              <w:t xml:space="preserve">0.098 ± 0.012</w:t>
            </w:r>
          </w:p>
        </w:tc>
      </w:tr>
      <w:tr>
        <w:tc>
          <w:tcPr>
            <w:tcW w:w="2171" w:type="dxa"/>
          </w:tcPr>
          <w:p>
            <w:pPr/>
            <w:r>
              <w:t xml:space="preserve">TxGNN</w:t>
            </w:r>
          </w:p>
        </w:tc>
        <w:tc>
          <w:tcPr>
            <w:tcW w:w="1377" w:type="dxa"/>
          </w:tcPr>
          <w:p>
            <w:pPr/>
            <w:r>
              <w:t xml:space="preserve">0.412 ± 0.042</w:t>
            </w:r>
          </w:p>
        </w:tc>
        <w:tc>
          <w:tcPr>
            <w:tcW w:w="1344" w:type="dxa"/>
          </w:tcPr>
          <w:p>
            <w:pPr/>
            <w:r>
              <w:t xml:space="preserve">0.258 ± 0.067</w:t>
            </w:r>
          </w:p>
        </w:tc>
        <w:tc>
          <w:tcPr>
            <w:tcW w:w="829" w:type="dxa"/>
          </w:tcPr>
          <w:p>
            <w:pPr/>
            <w:r>
              <w:t xml:space="preserve">0.237</w:t>
            </w:r>
          </w:p>
        </w:tc>
        <w:tc>
          <w:tcPr>
            <w:tcW w:w="1224" w:type="dxa"/>
          </w:tcPr>
          <w:p>
            <w:pPr/>
            <w:r>
              <w:t xml:space="preserve">0.126 ± 0.004</w:t>
            </w:r>
          </w:p>
        </w:tc>
        <w:tc>
          <w:tcPr>
            <w:tcW w:w="1228" w:type="dxa"/>
          </w:tcPr>
          <w:p>
            <w:pPr/>
            <w:r>
              <w:t xml:space="preserve">0.086 ± 0.004</w:t>
            </w:r>
          </w:p>
        </w:tc>
        <w:tc>
          <w:tcPr>
            <w:tcW w:w="1186" w:type="dxa"/>
          </w:tcPr>
          <w:p>
            <w:pPr/>
            <w:r>
              <w:t xml:space="preserve">0.138 ± 0.024</w:t>
            </w:r>
          </w:p>
        </w:tc>
      </w:tr>
      <w:tr>
        <w:tc>
          <w:tcPr>
            <w:tcW w:w="2171" w:type="dxa"/>
          </w:tcPr>
          <w:p>
            <w:pPr/>
            <w:r>
              <w:t xml:space="preserve">RotatE (knowledge-graph embedding)</w:t>
            </w:r>
          </w:p>
        </w:tc>
        <w:tc>
          <w:tcPr>
            <w:tcW w:w="1377" w:type="dxa"/>
          </w:tcPr>
          <w:p>
            <w:pPr/>
            <w:r>
              <w:t xml:space="preserve">0.289 ± 0.058</w:t>
            </w:r>
          </w:p>
        </w:tc>
        <w:tc>
          <w:tcPr>
            <w:tcW w:w="1344" w:type="dxa"/>
          </w:tcPr>
          <w:p>
            <w:pPr/>
            <w:r>
              <w:t xml:space="preserve">0.162 ± 0.048</w:t>
            </w:r>
          </w:p>
        </w:tc>
        <w:tc>
          <w:tcPr>
            <w:tcW w:w="829" w:type="dxa"/>
          </w:tcPr>
          <w:p>
            <w:pPr/>
            <w:r>
              <w:t xml:space="preserve">0.219</w:t>
            </w:r>
          </w:p>
        </w:tc>
        <w:tc>
          <w:tcPr>
            <w:tcW w:w="1224" w:type="dxa"/>
          </w:tcPr>
          <w:p>
            <w:pPr/>
            <w:r>
              <w:t xml:space="preserve">0.156 (split 1)</w:t>
            </w:r>
          </w:p>
        </w:tc>
        <w:tc>
          <w:tcPr>
            <w:tcW w:w="1228" w:type="dxa"/>
          </w:tcPr>
          <w:p>
            <w:pPr/>
            <w:r>
              <w:t xml:space="preserve">0.127 (split 1)</w:t>
            </w:r>
          </w:p>
        </w:tc>
        <w:tc>
          <w:tcPr>
            <w:tcW w:w="1186" w:type="dxa"/>
          </w:tcPr>
          <w:p>
            <w:pPr/>
            <w:r>
              <w:t xml:space="preserve">0.149 (split 1)</w:t>
            </w:r>
          </w:p>
        </w:tc>
      </w:tr>
      <w:tr>
        <w:tc>
          <w:tcPr>
            <w:tcW w:w="2171" w:type="dxa"/>
          </w:tcPr>
          <w:p>
            <w:pPr/>
            <w:r>
              <w:t xml:space="preserve">OREVID</w:t>
            </w:r>
          </w:p>
        </w:tc>
        <w:tc>
          <w:tcPr>
            <w:tcW w:w="1377" w:type="dxa"/>
          </w:tcPr>
          <w:p>
            <w:pPr/>
            <w:r>
              <w:t xml:space="preserve">0.812 ± 0.038</w:t>
            </w:r>
          </w:p>
        </w:tc>
        <w:tc>
          <w:tcPr>
            <w:tcW w:w="1344" w:type="dxa"/>
          </w:tcPr>
          <w:p>
            <w:pPr/>
            <w:r>
              <w:t xml:space="preserve">0.544 ± 0.077</w:t>
            </w:r>
          </w:p>
        </w:tc>
        <w:tc>
          <w:tcPr>
            <w:tcW w:w="829" w:type="dxa"/>
          </w:tcPr>
          <w:p>
            <w:pPr/>
            <w:r>
              <w:t xml:space="preserve">0.627</w:t>
            </w:r>
          </w:p>
        </w:tc>
        <w:tc>
          <w:tcPr>
            <w:tcW w:w="1224" w:type="dxa"/>
          </w:tcPr>
          <w:p>
            <w:pPr/>
            <w:r>
              <w:t xml:space="preserve">0.366 ± 0.011</w:t>
            </w:r>
          </w:p>
        </w:tc>
        <w:tc>
          <w:tcPr>
            <w:tcW w:w="1228" w:type="dxa"/>
          </w:tcPr>
          <w:p>
            <w:pPr/>
            <w:r>
              <w:t xml:space="preserve">0.186 ± 0.009</w:t>
            </w:r>
          </w:p>
        </w:tc>
        <w:tc>
          <w:tcPr>
            <w:tcW w:w="1186" w:type="dxa"/>
          </w:tcPr>
          <w:p>
            <w:pPr/>
            <w:r>
              <w:t xml:space="preserve">0.373 ± 0.018</w:t>
            </w:r>
          </w:p>
        </w:tc>
      </w:tr>
      <w:tr>
        <w:tc>
          <w:tcPr>
            <w:tcW w:w="2171" w:type="dxa"/>
          </w:tcPr>
          <w:p>
            <w:pPr/>
            <w:r>
              <w:t xml:space="preserve">OREVID, training labels only</w:t>
            </w:r>
          </w:p>
        </w:tc>
        <w:tc>
          <w:tcPr>
            <w:tcW w:w="1377" w:type="dxa"/>
          </w:tcPr>
          <w:p>
            <w:pPr/>
            <w:r>
              <w:t xml:space="preserve">0.807 ± 0.037</w:t>
            </w:r>
          </w:p>
        </w:tc>
        <w:tc>
          <w:tcPr>
            <w:tcW w:w="1344" w:type="dxa"/>
          </w:tcPr>
          <w:p>
            <w:pPr/>
            <w:r>
              <w:t xml:space="preserve">0.545 ± 0.075</w:t>
            </w:r>
          </w:p>
        </w:tc>
        <w:tc>
          <w:tcPr>
            <w:tcW w:w="829" w:type="dxa"/>
          </w:tcPr>
          <w:p>
            <w:pPr/>
            <w:r>
              <w:t xml:space="preserve">0.619</w:t>
            </w:r>
          </w:p>
        </w:tc>
        <w:tc>
          <w:tcPr>
            <w:tcW w:w="1224" w:type="dxa"/>
          </w:tcPr>
          <w:p>
            <w:pPr/>
            <w:r>
              <w:t xml:space="preserve">–</w:t>
            </w:r>
          </w:p>
        </w:tc>
        <w:tc>
          <w:tcPr>
            <w:tcW w:w="1228" w:type="dxa"/>
          </w:tcPr>
          <w:p>
            <w:pPr/>
            <w:r>
              <w:t xml:space="preserve">–</w:t>
            </w:r>
          </w:p>
        </w:tc>
        <w:tc>
          <w:tcPr>
            <w:tcW w:w="1186" w:type="dxa"/>
          </w:tcPr>
          <w:p>
            <w:pPr/>
            <w:r>
              <w:t xml:space="preserve">–</w:t>
            </w:r>
          </w:p>
        </w:tc>
      </w:tr>
      <w:tr>
        <w:tc>
          <w:tcPr>
            <w:tcW w:w="2171" w:type="dxa"/>
          </w:tcPr>
          <w:p>
            <w:pPr/>
            <w:r>
              <w:t xml:space="preserve">Logistic regression without popularity</w:t>
            </w:r>
          </w:p>
        </w:tc>
        <w:tc>
          <w:tcPr>
            <w:tcW w:w="1377" w:type="dxa"/>
          </w:tcPr>
          <w:p>
            <w:pPr/>
            <w:r>
              <w:t xml:space="preserve">0.782 ± 0.045</w:t>
            </w:r>
          </w:p>
        </w:tc>
        <w:tc>
          <w:tcPr>
            <w:tcW w:w="1344" w:type="dxa"/>
          </w:tcPr>
          <w:p>
            <w:pPr/>
            <w:r>
              <w:t xml:space="preserve">0.505 ± 0.090</w:t>
            </w:r>
          </w:p>
        </w:tc>
        <w:tc>
          <w:tcPr>
            <w:tcW w:w="829" w:type="dxa"/>
          </w:tcPr>
          <w:p>
            <w:pPr/>
            <w:r>
              <w:t xml:space="preserve">0.594</w:t>
            </w:r>
          </w:p>
        </w:tc>
        <w:tc>
          <w:tcPr>
            <w:tcW w:w="1224" w:type="dxa"/>
          </w:tcPr>
          <w:p>
            <w:pPr/>
            <w:r>
              <w:t xml:space="preserve">0.369 ± 0.010</w:t>
            </w:r>
          </w:p>
        </w:tc>
        <w:tc>
          <w:tcPr>
            <w:tcW w:w="1228" w:type="dxa"/>
          </w:tcPr>
          <w:p>
            <w:pPr/>
            <w:r>
              <w:t xml:space="preserve">0.190 ± 0.012</w:t>
            </w:r>
          </w:p>
        </w:tc>
        <w:tc>
          <w:tcPr>
            <w:tcW w:w="1186" w:type="dxa"/>
          </w:tcPr>
          <w:p>
            <w:pPr/>
            <w:r>
              <w:t xml:space="preserve">0.337 ± 0.025</w:t>
            </w:r>
          </w:p>
        </w:tc>
      </w:tr>
      <w:tr>
        <w:tc>
          <w:tcPr>
            <w:tcW w:w="2171" w:type="dxa"/>
          </w:tcPr>
          <w:p>
            <w:pPr/>
            <w:r>
              <w:t xml:space="preserve">OREVID without Open Targets features</w:t>
            </w:r>
          </w:p>
        </w:tc>
        <w:tc>
          <w:tcPr>
            <w:tcW w:w="1377" w:type="dxa"/>
          </w:tcPr>
          <w:p>
            <w:pPr/>
            <w:r>
              <w:t xml:space="preserve">0.802 ± 0.048</w:t>
            </w:r>
          </w:p>
        </w:tc>
        <w:tc>
          <w:tcPr>
            <w:tcW w:w="1344" w:type="dxa"/>
          </w:tcPr>
          <w:p>
            <w:pPr/>
            <w:r>
              <w:t xml:space="preserve">0.522</w:t>
            </w:r>
          </w:p>
        </w:tc>
        <w:tc>
          <w:tcPr>
            <w:tcW w:w="829" w:type="dxa"/>
          </w:tcPr>
          <w:p>
            <w:pPr/>
            <w:r>
              <w:t xml:space="preserve">0.628</w:t>
            </w:r>
          </w:p>
        </w:tc>
        <w:tc>
          <w:tcPr>
            <w:tcW w:w="1224" w:type="dxa"/>
          </w:tcPr>
          <w:p>
            <w:pPr/>
            <w:r>
              <w:t xml:space="preserve">0.348 (split 1)</w:t>
            </w:r>
          </w:p>
        </w:tc>
        <w:tc>
          <w:tcPr>
            <w:tcW w:w="1228" w:type="dxa"/>
          </w:tcPr>
          <w:p>
            <w:pPr/>
            <w:r>
              <w:t xml:space="preserve">–</w:t>
            </w:r>
          </w:p>
        </w:tc>
        <w:tc>
          <w:tcPr>
            <w:tcW w:w="1186" w:type="dxa"/>
          </w:tcPr>
          <w:p>
            <w:pPr/>
            <w:r>
              <w:t xml:space="preserve">–</w:t>
            </w:r>
          </w:p>
        </w:tc>
      </w:tr>
    </w:tbl>
    <w:p>
      <w:pPr/>
      <w:r>
        <w:t xml:space="preserve">Removing the two protocol differences did not change the conclusion. Validation labels changed OREVID's Recall@100 by −0.001 to +0.019 depending on the subset (+0.005 on all zero-shot diseases, +0.008 on the areas). Excluding the few diseases where TxGNN gives every drug the same score (8 of 335 zero-shot, 3 of 345 in areas) raised both models slightly. With both differences removed, Recall@100 was 0.815 against 0.421 on zero-shot, 0.544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639"/>
        <w:gridCol w:w="1170"/>
        <w:gridCol w:w="1170"/>
        <w:gridCol w:w="1170"/>
        <w:gridCol w:w="984"/>
        <w:gridCol w:w="1102"/>
        <w:gridCol w:w="1023"/>
        <w:gridCol w:w="1102"/>
      </w:tblGrid>
      <w:tr>
        <w:trPr>
          <w:tblHeader/>
        </w:trPr>
        <w:tc>
          <w:tcPr>
            <w:tcW w:w="1639"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984" w:type="dxa"/>
            <w:shd w:val="clear" w:color="auto" w:fill="F2F2F2"/>
          </w:tcPr>
          <w:p>
            <w:pPr/>
            <w:r>
              <w:t xml:space="preserve">Hard TxGNN</w:t>
            </w:r>
          </w:p>
        </w:tc>
        <w:tc>
          <w:tcPr>
            <w:tcW w:w="1102" w:type="dxa"/>
            <w:shd w:val="clear" w:color="auto" w:fill="F2F2F2"/>
          </w:tcPr>
          <w:p>
            <w:pPr/>
            <w:r>
              <w:t xml:space="preserve">Hard OREVID</w:t>
            </w:r>
          </w:p>
        </w:tc>
        <w:tc>
          <w:tcPr>
            <w:tcW w:w="1023" w:type="dxa"/>
            <w:shd w:val="clear" w:color="auto" w:fill="F2F2F2"/>
          </w:tcPr>
          <w:p>
            <w:pPr/>
            <w:r>
              <w:t xml:space="preserve">AUPRC TxGNN</w:t>
            </w:r>
          </w:p>
        </w:tc>
        <w:tc>
          <w:tcPr>
            <w:tcW w:w="1102" w:type="dxa"/>
            <w:shd w:val="clear" w:color="auto" w:fill="F2F2F2"/>
          </w:tcPr>
          <w:p>
            <w:pPr/>
            <w:r>
              <w:t xml:space="preserve">AUPRC OREVID</w:t>
            </w:r>
          </w:p>
        </w:tc>
      </w:tr>
      <w:tr>
        <w:tc>
          <w:tcPr>
            <w:tcW w:w="1639"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984" w:type="dxa"/>
          </w:tcPr>
          <w:p>
            <w:pPr/>
            <w:r>
              <w:t xml:space="preserve">0.225</w:t>
            </w:r>
          </w:p>
        </w:tc>
        <w:tc>
          <w:tcPr>
            <w:tcW w:w="1102" w:type="dxa"/>
          </w:tcPr>
          <w:p>
            <w:pPr/>
            <w:r>
              <w:t xml:space="preserve">0.892</w:t>
            </w:r>
          </w:p>
        </w:tc>
        <w:tc>
          <w:tcPr>
            <w:tcW w:w="1023" w:type="dxa"/>
          </w:tcPr>
          <w:p>
            <w:pPr/>
            <w:r>
              <w:t xml:space="preserve">0.980</w:t>
            </w:r>
          </w:p>
        </w:tc>
        <w:tc>
          <w:tcPr>
            <w:tcW w:w="1102" w:type="dxa"/>
          </w:tcPr>
          <w:p>
            <w:pPr/>
            <w:r>
              <w:t xml:space="preserve">0.994</w:t>
            </w:r>
          </w:p>
        </w:tc>
      </w:tr>
      <w:tr>
        <w:tc>
          <w:tcPr>
            <w:tcW w:w="1639"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984" w:type="dxa"/>
          </w:tcPr>
          <w:p>
            <w:pPr/>
            <w:r>
              <w:t xml:space="preserve">0.000</w:t>
            </w:r>
          </w:p>
        </w:tc>
        <w:tc>
          <w:tcPr>
            <w:tcW w:w="1102" w:type="dxa"/>
          </w:tcPr>
          <w:p>
            <w:pPr/>
            <w:r>
              <w:t xml:space="preserve">0.468</w:t>
            </w:r>
          </w:p>
        </w:tc>
        <w:tc>
          <w:tcPr>
            <w:tcW w:w="1023" w:type="dxa"/>
          </w:tcPr>
          <w:p>
            <w:pPr/>
            <w:r>
              <w:t xml:space="preserve">0.655</w:t>
            </w:r>
          </w:p>
        </w:tc>
        <w:tc>
          <w:tcPr>
            <w:tcW w:w="1102" w:type="dxa"/>
          </w:tcPr>
          <w:p>
            <w:pPr/>
            <w:r>
              <w:t xml:space="preserve">0.966</w:t>
            </w:r>
          </w:p>
        </w:tc>
      </w:tr>
      <w:tr>
        <w:tc>
          <w:tcPr>
            <w:tcW w:w="1639"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0.733</w:t>
            </w:r>
          </w:p>
        </w:tc>
        <w:tc>
          <w:tcPr>
            <w:tcW w:w="984" w:type="dxa"/>
          </w:tcPr>
          <w:p>
            <w:pPr/>
            <w:r>
              <w:t xml:space="preserve">0.288</w:t>
            </w:r>
          </w:p>
        </w:tc>
        <w:tc>
          <w:tcPr>
            <w:tcW w:w="1102" w:type="dxa"/>
          </w:tcPr>
          <w:p>
            <w:pPr/>
            <w:r>
              <w:t xml:space="preserve">0.449</w:t>
            </w:r>
          </w:p>
        </w:tc>
        <w:tc>
          <w:tcPr>
            <w:tcW w:w="1023" w:type="dxa"/>
          </w:tcPr>
          <w:p>
            <w:pPr/>
            <w:r>
              <w:t xml:space="preserve">0.914</w:t>
            </w:r>
          </w:p>
        </w:tc>
        <w:tc>
          <w:tcPr>
            <w:tcW w:w="1102" w:type="dxa"/>
          </w:tcPr>
          <w:p>
            <w:pPr/>
            <w:r>
              <w:t xml:space="preserve">0.910</w:t>
            </w:r>
          </w:p>
        </w:tc>
      </w:tr>
      <w:tr>
        <w:tc>
          <w:tcPr>
            <w:tcW w:w="1639"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984" w:type="dxa"/>
          </w:tcPr>
          <w:p>
            <w:pPr/>
            <w:r>
              <w:t xml:space="preserve">0.090</w:t>
            </w:r>
          </w:p>
        </w:tc>
        <w:tc>
          <w:tcPr>
            <w:tcW w:w="1102" w:type="dxa"/>
          </w:tcPr>
          <w:p>
            <w:pPr/>
            <w:r>
              <w:t xml:space="preserve">0.335</w:t>
            </w:r>
          </w:p>
        </w:tc>
        <w:tc>
          <w:tcPr>
            <w:tcW w:w="1023" w:type="dxa"/>
          </w:tcPr>
          <w:p>
            <w:pPr/>
            <w:r>
              <w:t xml:space="preserve">0.772</w:t>
            </w:r>
          </w:p>
        </w:tc>
        <w:tc>
          <w:tcPr>
            <w:tcW w:w="1102" w:type="dxa"/>
          </w:tcPr>
          <w:p>
            <w:pPr/>
            <w:r>
              <w:t xml:space="preserve">0.783</w:t>
            </w:r>
          </w:p>
        </w:tc>
      </w:tr>
      <w:tr>
        <w:tc>
          <w:tcPr>
            <w:tcW w:w="1639"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0.736</w:t>
            </w:r>
          </w:p>
        </w:tc>
        <w:tc>
          <w:tcPr>
            <w:tcW w:w="984" w:type="dxa"/>
          </w:tcPr>
          <w:p>
            <w:pPr/>
            <w:r>
              <w:t xml:space="preserve">0.233</w:t>
            </w:r>
          </w:p>
        </w:tc>
        <w:tc>
          <w:tcPr>
            <w:tcW w:w="1102" w:type="dxa"/>
          </w:tcPr>
          <w:p>
            <w:pPr/>
            <w:r>
              <w:t xml:space="preserve">0.574</w:t>
            </w:r>
          </w:p>
        </w:tc>
        <w:tc>
          <w:tcPr>
            <w:tcW w:w="1023" w:type="dxa"/>
          </w:tcPr>
          <w:p>
            <w:pPr/>
            <w:r>
              <w:t xml:space="preserve">0.951</w:t>
            </w:r>
          </w:p>
        </w:tc>
        <w:tc>
          <w:tcPr>
            <w:tcW w:w="1102" w:type="dxa"/>
          </w:tcPr>
          <w:p>
            <w:pPr/>
            <w:r>
              <w:t xml:space="preserve">0.951</w:t>
            </w:r>
          </w:p>
        </w:tc>
      </w:tr>
      <w:tr>
        <w:tc>
          <w:tcPr>
            <w:tcW w:w="1639"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984" w:type="dxa"/>
          </w:tcPr>
          <w:p>
            <w:pPr/>
            <w:r>
              <w:t xml:space="preserve">0.028</w:t>
            </w:r>
          </w:p>
        </w:tc>
        <w:tc>
          <w:tcPr>
            <w:tcW w:w="1102" w:type="dxa"/>
          </w:tcPr>
          <w:p>
            <w:pPr/>
            <w:r>
              <w:t xml:space="preserve">0.236</w:t>
            </w:r>
          </w:p>
        </w:tc>
        <w:tc>
          <w:tcPr>
            <w:tcW w:w="1023" w:type="dxa"/>
          </w:tcPr>
          <w:p>
            <w:pPr/>
            <w:r>
              <w:t xml:space="preserve">0.690</w:t>
            </w:r>
          </w:p>
        </w:tc>
        <w:tc>
          <w:tcPr>
            <w:tcW w:w="1102" w:type="dxa"/>
          </w:tcPr>
          <w:p>
            <w:pPr/>
            <w:r>
              <w:t xml:space="preserve">0.739</w:t>
            </w:r>
          </w:p>
        </w:tc>
      </w:tr>
      <w:tr>
        <w:tc>
          <w:tcPr>
            <w:tcW w:w="1639"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0.457</w:t>
            </w:r>
          </w:p>
        </w:tc>
        <w:tc>
          <w:tcPr>
            <w:tcW w:w="984" w:type="dxa"/>
          </w:tcPr>
          <w:p>
            <w:pPr/>
            <w:r>
              <w:t xml:space="preserve">0.202</w:t>
            </w:r>
          </w:p>
        </w:tc>
        <w:tc>
          <w:tcPr>
            <w:tcW w:w="1102" w:type="dxa"/>
          </w:tcPr>
          <w:p>
            <w:pPr/>
            <w:r>
              <w:t xml:space="preserve">0.384</w:t>
            </w:r>
          </w:p>
        </w:tc>
        <w:tc>
          <w:tcPr>
            <w:tcW w:w="1023" w:type="dxa"/>
          </w:tcPr>
          <w:p>
            <w:pPr/>
            <w:r>
              <w:t xml:space="preserve">0.924</w:t>
            </w:r>
          </w:p>
        </w:tc>
        <w:tc>
          <w:tcPr>
            <w:tcW w:w="1102" w:type="dxa"/>
          </w:tcPr>
          <w:p>
            <w:pPr/>
            <w:r>
              <w:t xml:space="preserve">0.870</w:t>
            </w:r>
          </w:p>
        </w:tc>
      </w:tr>
      <w:tr>
        <w:tc>
          <w:tcPr>
            <w:tcW w:w="1639"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0.641</w:t>
            </w:r>
          </w:p>
        </w:tc>
        <w:tc>
          <w:tcPr>
            <w:tcW w:w="984" w:type="dxa"/>
          </w:tcPr>
          <w:p>
            <w:pPr/>
            <w:r>
              <w:t xml:space="preserve">0.011</w:t>
            </w:r>
          </w:p>
        </w:tc>
        <w:tc>
          <w:tcPr>
            <w:tcW w:w="1102" w:type="dxa"/>
          </w:tcPr>
          <w:p>
            <w:pPr/>
            <w:r>
              <w:t xml:space="preserve">0.496</w:t>
            </w:r>
          </w:p>
        </w:tc>
        <w:tc>
          <w:tcPr>
            <w:tcW w:w="1023" w:type="dxa"/>
          </w:tcPr>
          <w:p>
            <w:pPr/>
            <w:r>
              <w:t xml:space="preserve">0.925</w:t>
            </w:r>
          </w:p>
        </w:tc>
        <w:tc>
          <w:tcPr>
            <w:tcW w:w="1102" w:type="dxa"/>
          </w:tcPr>
          <w:p>
            <w:pPr/>
            <w:r>
              <w:t xml:space="preserve">0.917</w:t>
            </w:r>
          </w:p>
        </w:tc>
      </w:tr>
      <w:tr>
        <w:tc>
          <w:tcPr>
            <w:tcW w:w="1639"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984" w:type="dxa"/>
          </w:tcPr>
          <w:p>
            <w:pPr/>
            <w:r>
              <w:t xml:space="preserve">0.192</w:t>
            </w:r>
          </w:p>
        </w:tc>
        <w:tc>
          <w:tcPr>
            <w:tcW w:w="1102" w:type="dxa"/>
          </w:tcPr>
          <w:p>
            <w:pPr/>
            <w:r>
              <w:t xml:space="preserve">0.699</w:t>
            </w:r>
          </w:p>
        </w:tc>
        <w:tc>
          <w:tcPr>
            <w:tcW w:w="1023" w:type="dxa"/>
          </w:tcPr>
          <w:p>
            <w:pPr/>
            <w:r>
              <w:t xml:space="preserve">0.984</w:t>
            </w:r>
          </w:p>
        </w:tc>
        <w:tc>
          <w:tcPr>
            <w:tcW w:w="1102" w:type="dxa"/>
          </w:tcPr>
          <w:p>
            <w:pPr/>
            <w:r>
              <w:t xml:space="preserve">0.950</w:t>
            </w:r>
          </w:p>
        </w:tc>
      </w:tr>
      <w:tr>
        <w:tc>
          <w:tcPr>
            <w:tcW w:w="1639"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0.627</w:t>
            </w:r>
          </w:p>
        </w:tc>
        <w:tc>
          <w:tcPr>
            <w:tcW w:w="984" w:type="dxa"/>
          </w:tcPr>
          <w:p>
            <w:pPr/>
            <w:r>
              <w:t xml:space="preserve">0.141</w:t>
            </w:r>
          </w:p>
        </w:tc>
        <w:tc>
          <w:tcPr>
            <w:tcW w:w="1102" w:type="dxa"/>
          </w:tcPr>
          <w:p>
            <w:pPr/>
            <w:r>
              <w:t xml:space="preserve">0.504</w:t>
            </w:r>
          </w:p>
        </w:tc>
        <w:tc>
          <w:tcPr>
            <w:tcW w:w="1023" w:type="dxa"/>
          </w:tcPr>
          <w:p>
            <w:pPr/>
            <w:r>
              <w:t xml:space="preserve">0.866</w:t>
            </w:r>
          </w:p>
        </w:tc>
        <w:tc>
          <w:tcPr>
            <w:tcW w:w="1102" w:type="dxa"/>
          </w:tcPr>
          <w:p>
            <w:pPr/>
            <w:r>
              <w:t xml:space="preserve">0.898</w:t>
            </w:r>
          </w:p>
        </w:tc>
      </w:tr>
      <w:tr>
        <w:tc>
          <w:tcPr>
            <w:tcW w:w="1639"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0.645</w:t>
            </w:r>
          </w:p>
        </w:tc>
        <w:tc>
          <w:tcPr>
            <w:tcW w:w="984" w:type="dxa"/>
          </w:tcPr>
          <w:p>
            <w:pPr/>
            <w:r>
              <w:t xml:space="preserve">0.173</w:t>
            </w:r>
          </w:p>
        </w:tc>
        <w:tc>
          <w:tcPr>
            <w:tcW w:w="1102" w:type="dxa"/>
          </w:tcPr>
          <w:p>
            <w:pPr/>
            <w:r>
              <w:t xml:space="preserve">0.491</w:t>
            </w:r>
          </w:p>
        </w:tc>
        <w:tc>
          <w:tcPr>
            <w:tcW w:w="1023" w:type="dxa"/>
          </w:tcPr>
          <w:p>
            <w:pPr/>
            <w:r>
              <w:t xml:space="preserve">–</w:t>
            </w:r>
          </w:p>
        </w:tc>
        <w:tc>
          <w:tcPr>
            <w:tcW w:w="1102" w:type="dxa"/>
          </w:tcPr>
          <w:p>
            <w:pPr/>
            <w:r>
              <w:t xml:space="preserve">–</w:t>
            </w:r>
          </w:p>
        </w:tc>
      </w:tr>
    </w:tbl>
    <w:p>
      <w:pPr/>
      <w:r>
        <w:drawing>
          <wp:inline distT="0" distB="0" distL="0" distR="0">
            <wp:extent cx="5486400" cy="4101079"/>
            <wp:docPr id="3" name="image3" descr="Figure 3: Recall@100 per zero-shot seed and per disease area"/>
            <a:graphic xmlns:a="http://schemas.openxmlformats.org/drawingml/2006/main">
              <a:graphicData uri="http://schemas.openxmlformats.org/drawingml/2006/picture">
                <pic:pic xmlns:pic="http://schemas.openxmlformats.org/drawingml/2006/picture">
                  <pic:nvPicPr>
                    <pic:cNvPr id="3" name="image3" descr="Figure 3: Recall@100 per zero-shot seed and per disease area"/>
                    <pic:cNvPicPr/>
                  </pic:nvPicPr>
                  <pic:blipFill>
                    <a:blip r:embed="rId6"/>
                    <a:stretch>
                      <a:fillRect/>
                    </a:stretch>
                  </pic:blipFill>
                  <pic:spPr>
                    <a:xfrm>
                      <a:off x="0" y="0"/>
                      <a:ext cx="5486400" cy="4101079"/>
                    </a:xfrm>
                    <a:prstGeom prst="rect">
                      <a:avLst/>
                    </a:prstGeom>
                  </pic:spPr>
                </pic:pic>
              </a:graphicData>
            </a:graphic>
          </wp:inline>
        </w:drawing>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0.852 against 0.602) and when the 10% of drugs with most indications were removed (242 diseases; 0.743 against 0.288); the disease areas showed the same pattern (0.76 against 0.51, and 0.61 against 0.22). For correct drugs with no other indication, every model did poorly. Only 47 zero-shot diseases have such drugs: on them Recall@100 was 0.166 for OREVID and 0.147 for TxGNN, and Precision@K 0.003 and 0.028; on 127 area diseases, Recall@100 was 0.17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31–34% of the time in hidden-treatment tests and 4.8% (95% CI 3.4–6.5%) in the external exam, against 10–11% and 3.2% otherwise.</w:t>
      </w:r>
    </w:p>
    <w:p>
      <w:pPr/>
      <w:r>
        <w:drawing>
          <wp:inline distT="0" distB="0" distL="0" distR="0">
            <wp:extent cx="5486400" cy="3334218"/>
            <wp:docPr id="4" name="image4" descr="Figure 4: Hit rate among the top 25 candidates, by website section"/>
            <a:graphic xmlns:a="http://schemas.openxmlformats.org/drawingml/2006/main">
              <a:graphicData uri="http://schemas.openxmlformats.org/drawingml/2006/picture">
                <pic:pic xmlns:pic="http://schemas.openxmlformats.org/drawingml/2006/picture">
                  <pic:nvPicPr>
                    <pic:cNvPr id="4" name="image4" descr="Figure 4: Hit rate among the top 25 candidates, by website section"/>
                    <pic:cNvPicPr/>
                  </pic:nvPicPr>
                  <pic:blipFill>
                    <a:blip r:embed="rId7"/>
                    <a:stretch>
                      <a:fillRect/>
                    </a:stretch>
                  </pic:blipFill>
                  <pic:spPr>
                    <a:xfrm>
                      <a:off x="0" y="0"/>
                      <a:ext cx="5486400" cy="3334218"/>
                    </a:xfrm>
                    <a:prstGeom prst="rect">
                      <a:avLst/>
                    </a:prstGeom>
                  </pic:spPr>
                </pic:pic>
              </a:graphicData>
            </a:graphic>
          </wp:inline>
        </w:drawing>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(2,008 on average, against 3,844) that were right 5.2% of the time on the external exam (99th percentile 5.7%), against 4.4% for the real shared genes, so the criterion fixed in advance was not met. In further, exploratory comparisons the same held within each range of gene-set size (fewer than 100 genes: 3.0% against a null of 2.5%; 100–499: 5.9% against 6.3%; 500 or more: 4.7% against 4.6%), when at least 3 specific genes were required (4.8% against 5.5%), and on the benchmark in every range of gene-set size (for diseases with fewer than 100 genes, 15.7% against a null of 10.9% and a 99th percentile of 16.9%). The threshold itself was not a sharp optimum: from 2 to 5 genes and p from 10⁻³ to 10⁻⁷, the external hit rate ranged from 4.1% to 4.8% (Supplementary Table S5). The line therefore selects drugs already used in diseases of similar size and research intensity; the genes it lists are context, not evidence of a shared mechanism. They are not unrelated to mechanism, however: in a pre-registered comparison with DrugMechDB [21], curated paths from drug to disease, the shared genes of 447 indicated drug–disease pairs contained a protein of the curated mechanism beyond the drug's direct targets in 25.1% of pairs, against 16.9% for as many genes drawn at random from the same disease (99th percentile 19.2%), although the sets are large (median 76 genes, of which a page shows 6).</w:t>
      </w:r>
    </w:p>
    <w:p>
      <w:pPr/>
      <w:r>
        <w:t xml:space="preserve">Direct extensions are largely rediscovery. When the disease has no near-identical neighbour (hard subsets), their hit rate falls from 50–59% to 14–25%, close to the shared-genes line, and in the external exam it is 12.6%. The external exam, and especially its non-obvious pairs, is the fairer estimate of how these lines perform for new uses.</w:t>
      </w:r>
    </w:p>
    <w:p>
      <w:pPr>
        <w:pStyle w:val="Heading3"/>
      </w:pPr>
      <w:r>
        <w:t xml:space="preserve">Temporal validation</w:t>
      </w:r>
    </w:p>
    <w:p>
      <w:pPr/>
      <w:r>
        <w:t xml:space="preserve">Rebuilt as known in 2015, OREVID ranked the uses that later reached phase 3 or approval above popularity, by less than first measured. In the first design (813 test diseases, 2,832 pairs) Recall@100 was 0.322 against 0.174 (paired difference 0.148, 95% CI 0.123–0.174), meeting the pre-registered rule, and the difference held for pairs with no PrimeKG drug–disease edge of any kind (0.117, 0.092–0.142) and for a model without any Open Targets feature (0.135). With every drug dated by its first approval (11% of PrimeKG indications undated instead of 80%), it was 0.283 against 0.181 (0.102, 0.078–0.126), so about a third of the first estimate came from later indications left in the training graph; the development cutoff (2012) agreed (0.116, 0.096–0.136). TxGNN, trained on exactly the same dated 2015 graph, reached 0.117, below popularity (OREVID − TxGNN 0.167, 0.142–0.192; at 2012 0.182, 0.160–0.205); OREVID without any Open Targets feature, i.e. on the same data as TxGNN, reached 0.271 (0.155 above TxGNN). On the dated test OREVID's advantage held for confirmed approvals (0.428 against 0.216 for popularity and 0.168 for TxGNN) but was not shown for non-obvious uses (0.018, −0.004 to 0.040); for drugs first approved after the cutoff, which had no use in the graph, 8.6% of their later uses were in OREVID's top 100, against 2.4% for TxGNN and 1.3% by chance. Among the 25 highest-ranked drugs per disease, 5.0% of direct extensions, 2.5% of shared-genes candidates and 0.9% of hidden drugs later reached phase 3 or approval, the same ordering as in the external exam. A logistic model that turned section, rank and gene-set size into a calibrated probability improved the Brier score over the section rates by only 2.5% (pre-registered threshold 5%) and is not used.</w:t>
      </w:r>
    </w:p>
    <w:p>
      <w:pPr>
        <w:pStyle w:val="Heading3"/>
      </w:pPr>
      <w:r>
        <w:t xml:space="preserve">Independent exams</w:t>
      </w:r>
    </w:p>
    <w:p>
      <w:pPr/>
      <w:r>
        <w:t xml:space="preserve">On labels that no part of the graph contains, OREVID ranked the recorded uses above popularity in every exam. On 47 cancers with CIViC sensitivity evidence of levels A–B for a single drug (80 pairs), Recall@100 was 0.531 against 0.211 (paired difference 0.320, 95% CI 0.155–0.472); on the 28 pairs without any Open Targets clinical record the difference was 0.188 (−0.042 to 0.417). On 863 diseases with indications that only DrugCentral or MED-RT record (3,600 pairs) it was 0.390 against 0.125 (0.266, 0.238–0.295), with the same gain for each source alone (0.271 and 0.260). On 214 diseases with EMA orphan designations (592 pairs) it was 0.231 against 0.076 (0.155, 0.101–0.210), and on the 84 designations granted from 2023 on, after the graph's sources were built, 0.134 against 0.052 (0.082, 0.008–0.164).</w:t>
      </w:r>
    </w:p>
    <w:p>
      <w:pPr/>
      <w:r>
        <w:t xml:space="preserve">The website's evidence filter did not pick drugs that do better in trials. Among drug–disease pairs with a posted phase 2–3 result, 65.9% of the 126 shown candidates met their primary end point, against 81.3% of the 385 drugs ranked in the top 25 but not shown and 70.4% of the 297 ranked 26–100. Much of the gap comes from approved indications, whose successful trials sit in the second group; without them the difference between shown and not shown was −6.9 percentage points (−19.4 to +6.0), so the pre-registered claim was not supported. Posted results are a biased sample of trials, and the pairs are few.</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seventh for Tourette syndrome, through autism spectrum disorder (75 shared genes). Pasireotide ranked 13th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731 of the 10,042 pages (7%),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4.4 shared-genes candidates; 44% of diseases show neither (55%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 For information only, each candidate also shows whether a generic or biosimilar is marketed in the United States (FDA Orange Book and Purple Book) or authorised centrally in the European Union (EMA), and how many trials and articles already cover the pair; those with no trial and at most two articles are marked as underexplored. Three further information lines were released only after a sample of 50 had at most two errors when read against the source: the Orphanet prevalence class of the disease (2,896 pages; only diseases that map to a single MONDO concept, because grouped nodes received a subtype's value in a first check with 3 errors in 50), the CPIC pharmacogenomic guidelines of the drug (73 drugs), and, for 392 drug–disease pairs on 145 pages, whether a colocalised QTL of the drug's target agrees with the drug's direction of action. The genetic line is shown only when the colocalisation is present in two Open Targets releases (26.06 and 26.09) and rests on a case–control GWAS of the page's own disease: lines without these conditions failed their checks (9 and 7 errors in 50), mostly because a QTL or GWAS trait seen in one release was not seen in the next or was mapped to a related disease.</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four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Two tests added in this version bear on whether the advantage is more than rediscovery of known uses. Trained on the graph as known in 2015, with every drug dated by its first approval, TxGNN ranked the uses that later reached phase 3 or approval below popularity, while OREVID ranked them above it, and the gap did not come from the Open Targets features that only OREVID uses. On labels that no part of the graph contains (CIViC oncology evidence, indications that only DrugCentral or MED-RT record, and EMA orphan designations, including those granted from 2023 on), OREVID was ahead of popularity in every case. These are still recorded uses rather than prospective discoveries, and the gains on non-obvious uses remain small; the frozen prospective test is the one that can show discovery.</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the temporal test and the prospective test below come closer to new uses. Publishing these rates next to the optimistic hidden-treatment figures, and hiding candidates whose evidence does not beat chance, is meant to let users calibrate their trust.</w:t>
      </w:r>
    </w:p>
    <w:p>
      <w:pPr/>
      <w:r>
        <w:t xml:space="preserve">Knowledge-graph embeddings were weaker than both TxGNN and the metapath model on the zero-shot split, where a test disease has lost every drug edge and an embedding has little to place it with, but RotatE ranked approvals missing from PrimeKG better than TxGNN, especially non-obvious ones. Only one embedding family was carried beyond the tuning seed (TransE and ComplEx were dominated by RotatE there), and the grid was small, so better-tuned embeddings may do better; OREVID-bench provides the splits, tasks and evaluation script so that other models can be added, and submissions are welcome. The comparison still covers one graph neural network, one embedding model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temporal test removes later trials and associations from the graph; in its first design 80% of PrimeKG indications carried no date and stayed in the training graph, which inflated the advantage by about a third. Dating drugs by their first approval leaves 11% undated (indications added later to old drugs), so some later knowledge may still leak, and the advantage on non-obvious uses is not shown (0.018, −0.004 to 0.040).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0.007.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(4.7%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a pre-registered test of expression-signature reversal (LINCS L1000 consensus signatures against GEO disease signatures, 2,410 drugs and 239 diseases) ranked them at chance at the 2015 cutoff. Three pre-registered replacements for the shared-genes line (shared enriched Reactome pathways, specificity-weighted genes, genetic evidence only) did not beat the permutation null on the external exam either, although pathway overlap selected fewer candidates with a higher hit rate in every test (5.0% against 4.3% on the external exam). Network proximity between drug targets and disease genes [23] ranked drugs with no prior use above random at the 2015 cutoff (Recall@100 0.061 against 0.018) but below OREVID's own ranking of the same drugs (0.133), and as an added feature it did not pass its pre-registered rule. Restricting the shared genes to curated gene–disease validity (GenCC [22]) raised the external hit rate to 4.8% but removed correct candidates on the benchmark, and covers few diseases. An audit of drug status against current FDA and EMA labels is not yet shown on the website: its first version failed a manual check. Disease-area splits use one seed and approximate TxGNN's, which were drawn without a fixed seed. The reviews that led to some of the website's rules were done by AI agents, not by human experts (see Use of AI). Two columns of the current model, the genetic direction and the Orphanet genes, entered by the author's decision after their pre-registered tests had not met the adoption rule: the direction changed Recall@100 by less than 0.001 overall because it applies to few test diseases (38 of 335 on the benchmark), and the Orphanet column improved the areas by 0.008 with an interval reaching −0.0004; neither harmed the ranking, both deviations are recorded in the repository, and with both the external exam moved from 0.359 to 0.355. The genetic direction rests on QTL colocalisations, which changed between two Open Targets releases for a fifth of the lines checked. Posted trial results did not favour the candidates the website shows (the shown pairs met their primary endpoint less often than top-25 drugs not shown; without approved indications −6.9 percentage points, −19.4 to +6.0), so the evidence filter is not shown to select drugs that do better in trials.</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of this article declares no financial conflict of interest with the content of this article, in compliance with the PCI rule, and no non-financial conflict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ListParagraph"/>
        <w:numPr>
          <w:ilvl w:val="0"/>
          <w:numId w:val="2"/>
        </w:numPr>
      </w:pPr>
      <w:r>
        <w:t xml:space="preserve">Gonzalez-Cavazos AC, Tanska A, Mayers M, Carvalho-Silva D, Sridharan B, Rewers PA, Sankarlal U, Jagannathan L, Su AI. DrugMechDB: a curated database of drug mechanisms. Sci Data. 2023;10:632. doi:10.1038/s41597-023-02534-z</w:t>
      </w:r>
    </w:p>
    <w:p>
      <w:pPr>
        <w:pStyle w:val="ListParagraph"/>
        <w:numPr>
          <w:ilvl w:val="0"/>
          <w:numId w:val="2"/>
        </w:numPr>
      </w:pPr>
      <w:r>
        <w:t xml:space="preserve">DiStefano MT, et al. The Gene Curation Coalition: a global effort to harmonize gene-disease evidence resources. Genet Med. 2022;24:1732–1742. doi:10.1016/j.gim.2022.04.017</w:t>
      </w:r>
    </w:p>
    <w:p>
      <w:pPr>
        <w:pStyle w:val="ListParagraph"/>
        <w:numPr>
          <w:ilvl w:val="0"/>
          <w:numId w:val="2"/>
        </w:numPr>
      </w:pPr>
      <w:r>
        <w:t xml:space="preserve">Guney E, Menche J, Vidal M, Barabási AL. Network-based in silico drug efficacy screening. Nat Commun. 2016;7:10331. doi:10.1038/ncomms10331</w:t>
      </w:r>
    </w:p>
    <w:p>
      <w:pPr>
        <w:pStyle w:val="ListParagraph"/>
        <w:numPr>
          <w:ilvl w:val="0"/>
          <w:numId w:val="2"/>
        </w:numPr>
      </w:pPr>
      <w:r>
        <w:t xml:space="preserve">Avram S, Wilson TB, Curpan R, Halip L, Borota A, Bora A, et al. DrugCentral 2023 extends human clinical data and integrates veterinary drugs. Nucleic Acids Res. 2023;51(D1):D1276–D1287. doi:10.1093/nar/gkac1085</w:t>
      </w:r>
    </w:p>
    <w:p>
      <w:pPr>
        <w:pStyle w:val="ListParagraph"/>
        <w:numPr>
          <w:ilvl w:val="0"/>
          <w:numId w:val="2"/>
        </w:numPr>
      </w:pPr>
      <w:r>
        <w:t xml:space="preserve">Orphadata: free access data from Orphanet. © INSERM 1999. https://www.orphadata.com (products 6 and 9, downloaded 23–24 October 2026).</w:t>
      </w:r>
    </w:p>
    <w:p>
      <w:pPr>
        <w:pStyle w:val="ListParagraph"/>
        <w:numPr>
          <w:ilvl w:val="0"/>
          <w:numId w:val="2"/>
        </w:numPr>
      </w:pPr>
      <w:r>
        <w:t xml:space="preserve">Griffith M, Spies NC, Krysiak K, McMichael JF, Coffman AC, Danos AM, et al. CIViC is a community knowledgebase for expert crowdsourcing the clinical interpretation of variants in cancer. Nat Genet. 2017;49(2):170–174. doi:10.1038/ng.3774</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3972"/>
        <w:gridCol w:w="1273"/>
        <w:gridCol w:w="1306"/>
        <w:gridCol w:w="1345"/>
        <w:gridCol w:w="1464"/>
      </w:tblGrid>
      <w:tr>
        <w:trPr>
          <w:tblHeader/>
        </w:trPr>
        <w:tc>
          <w:tcPr>
            <w:tcW w:w="3972" w:type="dxa"/>
            <w:shd w:val="clear" w:color="auto" w:fill="F2F2F2"/>
          </w:tcPr>
          <w:p>
            <w:pPr/>
            <w:r>
              <w:t xml:space="preserve">Relation (source)</w:t>
            </w:r>
          </w:p>
        </w:tc>
        <w:tc>
          <w:tcPr>
            <w:tcW w:w="1273" w:type="dxa"/>
            <w:shd w:val="clear" w:color="auto" w:fill="F2F2F2"/>
          </w:tcPr>
          <w:p>
            <w:pPr/>
            <w:r>
              <w:t xml:space="preserve">Model features</w:t>
            </w:r>
          </w:p>
        </w:tc>
        <w:tc>
          <w:tcPr>
            <w:tcW w:w="1306" w:type="dxa"/>
            <w:shd w:val="clear" w:color="auto" w:fill="F2F2F2"/>
          </w:tcPr>
          <w:p>
            <w:pPr/>
            <w:r>
              <w:t xml:space="preserve">Evidence lines and warnings</w:t>
            </w:r>
          </w:p>
        </w:tc>
        <w:tc>
          <w:tcPr>
            <w:tcW w:w="1345" w:type="dxa"/>
            <w:shd w:val="clear" w:color="auto" w:fill="F2F2F2"/>
          </w:tcPr>
          <w:p>
            <w:pPr/>
            <w:r>
              <w:t xml:space="preserve">Display only</w:t>
            </w:r>
          </w:p>
        </w:tc>
        <w:tc>
          <w:tcPr>
            <w:tcW w:w="1464" w:type="dxa"/>
            <w:shd w:val="clear" w:color="auto" w:fill="F2F2F2"/>
          </w:tcPr>
          <w:p>
            <w:pPr/>
            <w:r>
              <w:t xml:space="preserve">Evaluation labels</w:t>
            </w:r>
          </w:p>
        </w:tc>
      </w:tr>
      <w:tr>
        <w:tc>
          <w:tcPr>
            <w:tcW w:w="3972" w:type="dxa"/>
          </w:tcPr>
          <w:p>
            <w:pPr/>
            <w:r>
              <w:t xml:space="preserve">Indications (PrimeKG)</w:t>
            </w:r>
          </w:p>
        </w:tc>
        <w:tc>
          <w:tcPr>
            <w:tcW w:w="1273" w:type="dxa"/>
          </w:tcPr>
          <w:p>
            <w:pPr/>
            <w:r>
              <w:t xml:space="preserve">yes (training split only)</w:t>
            </w:r>
          </w:p>
        </w:tc>
        <w:tc>
          <w:tcPr>
            <w:tcW w:w="1306" w:type="dxa"/>
          </w:tcPr>
          <w:p>
            <w:pPr/>
            <w:r>
              <w:t xml:space="preserve">direct extension, shared genes</w:t>
            </w:r>
          </w:p>
        </w:tc>
        <w:tc>
          <w:tcPr>
            <w:tcW w:w="1345" w:type="dxa"/>
          </w:tcPr>
          <w:p>
            <w:pPr/>
          </w:p>
        </w:tc>
        <w:tc>
          <w:tcPr>
            <w:tcW w:w="1464" w:type="dxa"/>
          </w:tcPr>
          <w:p>
            <w:pPr/>
            <w:r>
              <w:t xml:space="preserve">yes</w:t>
            </w:r>
          </w:p>
        </w:tc>
      </w:tr>
      <w:tr>
        <w:tc>
          <w:tcPr>
            <w:tcW w:w="3972" w:type="dxa"/>
          </w:tcPr>
          <w:p>
            <w:pPr/>
            <w:r>
              <w:t xml:space="preserve">Contraindications, off-label uses (PrimeKG)</w:t>
            </w:r>
          </w:p>
        </w:tc>
        <w:tc>
          <w:tcPr>
            <w:tcW w:w="1273" w:type="dxa"/>
          </w:tcPr>
          <w:p>
            <w:pPr/>
            <w:r>
              <w:t xml:space="preserve">yes</w:t>
            </w:r>
          </w:p>
        </w:tc>
        <w:tc>
          <w:tcPr>
            <w:tcW w:w="1306" w:type="dxa"/>
          </w:tcPr>
          <w:p>
            <w:pPr/>
            <w:r>
              <w:t xml:space="preserve">risk warning</w:t>
            </w:r>
          </w:p>
        </w:tc>
        <w:tc>
          <w:tcPr>
            <w:tcW w:w="1345" w:type="dxa"/>
          </w:tcPr>
          <w:p>
            <w:pPr/>
          </w:p>
        </w:tc>
        <w:tc>
          <w:tcPr>
            <w:tcW w:w="1464" w:type="dxa"/>
          </w:tcPr>
          <w:p>
            <w:pPr/>
          </w:p>
        </w:tc>
      </w:tr>
      <w:tr>
        <w:tc>
          <w:tcPr>
            <w:tcW w:w="3972" w:type="dxa"/>
          </w:tcPr>
          <w:p>
            <w:pPr/>
            <w:r>
              <w:t xml:space="preserve">Drug targets (DrugBank; ChEMBL mechanisms via Open Targets)</w:t>
            </w:r>
          </w:p>
        </w:tc>
        <w:tc>
          <w:tcPr>
            <w:tcW w:w="1273" w:type="dxa"/>
          </w:tcPr>
          <w:p>
            <w:pPr/>
            <w:r>
              <w:t xml:space="preserve">yes</w:t>
            </w:r>
          </w:p>
        </w:tc>
        <w:tc>
          <w:tcPr>
            <w:tcW w:w="1306" w:type="dxa"/>
          </w:tcPr>
          <w:p>
            <w:pPr/>
          </w:p>
        </w:tc>
        <w:tc>
          <w:tcPr>
            <w:tcW w:w="1345" w:type="dxa"/>
          </w:tcPr>
          <w:p>
            <w:pPr/>
            <w:r>
              <w:t xml:space="preserve">targets on each page</w:t>
            </w:r>
          </w:p>
        </w:tc>
        <w:tc>
          <w:tcPr>
            <w:tcW w:w="1464" w:type="dxa"/>
          </w:tcPr>
          <w:p>
            <w:pPr/>
          </w:p>
        </w:tc>
      </w:tr>
      <w:tr>
        <w:tc>
          <w:tcPr>
            <w:tcW w:w="3972" w:type="dxa"/>
          </w:tcPr>
          <w:p>
            <w:pPr/>
            <w:r>
              <w:t xml:space="preserve">Gene–disease associations (PrimeKG; Open Targets by evidence type)</w:t>
            </w:r>
          </w:p>
        </w:tc>
        <w:tc>
          <w:tcPr>
            <w:tcW w:w="1273" w:type="dxa"/>
          </w:tcPr>
          <w:p>
            <w:pPr/>
            <w:r>
              <w:t xml:space="preserve">yes</w:t>
            </w:r>
          </w:p>
        </w:tc>
        <w:tc>
          <w:tcPr>
            <w:tcW w:w="1306" w:type="dxa"/>
          </w:tcPr>
          <w:p>
            <w:pPr/>
            <w:r>
              <w:t xml:space="preserve">shared genes</w:t>
            </w:r>
          </w:p>
        </w:tc>
        <w:tc>
          <w:tcPr>
            <w:tcW w:w="1345" w:type="dxa"/>
          </w:tcPr>
          <w:p>
            <w:pPr/>
          </w:p>
        </w:tc>
        <w:tc>
          <w:tcPr>
            <w:tcW w:w="1464" w:type="dxa"/>
          </w:tcPr>
          <w:p>
            <w:pPr/>
          </w:p>
        </w:tc>
      </w:tr>
      <w:tr>
        <w:tc>
          <w:tcPr>
            <w:tcW w:w="3972" w:type="dxa"/>
          </w:tcPr>
          <w:p>
            <w:pPr/>
            <w:r>
              <w:t xml:space="preserve">Protein interactions (STRING 12.5, ≥ 700)</w:t>
            </w:r>
          </w:p>
        </w:tc>
        <w:tc>
          <w:tcPr>
            <w:tcW w:w="1273" w:type="dxa"/>
          </w:tcPr>
          <w:p>
            <w:pPr/>
            <w:r>
              <w:t xml:space="preserve">yes</w:t>
            </w:r>
          </w:p>
        </w:tc>
        <w:tc>
          <w:tcPr>
            <w:tcW w:w="1306" w:type="dxa"/>
          </w:tcPr>
          <w:p>
            <w:pPr/>
          </w:p>
        </w:tc>
        <w:tc>
          <w:tcPr>
            <w:tcW w:w="1345" w:type="dxa"/>
          </w:tcPr>
          <w:p>
            <w:pPr/>
          </w:p>
        </w:tc>
        <w:tc>
          <w:tcPr>
            <w:tcW w:w="1464" w:type="dxa"/>
          </w:tcPr>
          <w:p>
            <w:pPr/>
          </w:p>
        </w:tc>
      </w:tr>
      <w:tr>
        <w:tc>
          <w:tcPr>
            <w:tcW w:w="3972" w:type="dxa"/>
          </w:tcPr>
          <w:p>
            <w:pPr/>
            <w:r>
              <w:t xml:space="preserve">Adverse effects (SIDER), phenotypes (HPO), pathways (Reactome), processes (GO), drug interactions</w:t>
            </w:r>
          </w:p>
        </w:tc>
        <w:tc>
          <w:tcPr>
            <w:tcW w:w="1273" w:type="dxa"/>
          </w:tcPr>
          <w:p>
            <w:pPr/>
            <w:r>
              <w:t xml:space="preserve">yes</w:t>
            </w:r>
          </w:p>
        </w:tc>
        <w:tc>
          <w:tcPr>
            <w:tcW w:w="1306" w:type="dxa"/>
          </w:tcPr>
          <w:p>
            <w:pPr/>
          </w:p>
        </w:tc>
        <w:tc>
          <w:tcPr>
            <w:tcW w:w="1345" w:type="dxa"/>
          </w:tcPr>
          <w:p>
            <w:pPr/>
          </w:p>
        </w:tc>
        <w:tc>
          <w:tcPr>
            <w:tcW w:w="1464" w:type="dxa"/>
          </w:tcPr>
          <w:p>
            <w:pPr/>
          </w:p>
        </w:tc>
      </w:tr>
      <w:tr>
        <w:tc>
          <w:tcPr>
            <w:tcW w:w="3972" w:type="dxa"/>
          </w:tcPr>
          <w:p>
            <w:pPr/>
            <w:r>
              <w:t xml:space="preserve">Disease ontology (MONDO)</w:t>
            </w:r>
          </w:p>
        </w:tc>
        <w:tc>
          <w:tcPr>
            <w:tcW w:w="1273" w:type="dxa"/>
          </w:tcPr>
          <w:p>
            <w:pPr/>
            <w:r>
              <w:t xml:space="preserve">yes</w:t>
            </w:r>
          </w:p>
        </w:tc>
        <w:tc>
          <w:tcPr>
            <w:tcW w:w="1306" w:type="dxa"/>
          </w:tcPr>
          <w:p>
            <w:pPr/>
            <w:r>
              <w:t xml:space="preserve">direct extension</w:t>
            </w:r>
          </w:p>
        </w:tc>
        <w:tc>
          <w:tcPr>
            <w:tcW w:w="1345" w:type="dxa"/>
          </w:tcPr>
          <w:p>
            <w:pPr/>
          </w:p>
        </w:tc>
        <w:tc>
          <w:tcPr>
            <w:tcW w:w="1464" w:type="dxa"/>
          </w:tcPr>
          <w:p>
            <w:pPr/>
          </w:p>
        </w:tc>
      </w:tr>
      <w:tr>
        <w:tc>
          <w:tcPr>
            <w:tcW w:w="3972" w:type="dxa"/>
          </w:tcPr>
          <w:p>
            <w:pPr/>
            <w:r>
              <w:t xml:space="preserve">Clinical trials and stage (Open Targets)</w:t>
            </w:r>
          </w:p>
        </w:tc>
        <w:tc>
          <w:tcPr>
            <w:tcW w:w="1273" w:type="dxa"/>
          </w:tcPr>
          <w:p>
            <w:pPr/>
            <w:r>
              <w:t xml:space="preserve">no</w:t>
            </w:r>
          </w:p>
        </w:tc>
        <w:tc>
          <w:tcPr>
            <w:tcW w:w="1306" w:type="dxa"/>
          </w:tcPr>
          <w:p>
            <w:pPr/>
          </w:p>
        </w:tc>
        <w:tc>
          <w:tcPr>
            <w:tcW w:w="1345" w:type="dxa"/>
          </w:tcPr>
          <w:p>
            <w:pPr/>
            <w:r>
              <w:t xml:space="preserve">yes</w:t>
            </w:r>
          </w:p>
        </w:tc>
        <w:tc>
          <w:tcPr>
            <w:tcW w:w="1464" w:type="dxa"/>
          </w:tcPr>
          <w:p>
            <w:pPr/>
          </w:p>
        </w:tc>
      </w:tr>
      <w:tr>
        <w:tc>
          <w:tcPr>
            <w:tcW w:w="3972" w:type="dxa"/>
          </w:tcPr>
          <w:p>
            <w:pPr/>
            <w:r>
              <w:t xml:space="preserve">Approvals (Open Targets)</w:t>
            </w:r>
          </w:p>
        </w:tc>
        <w:tc>
          <w:tcPr>
            <w:tcW w:w="1273" w:type="dxa"/>
          </w:tcPr>
          <w:p>
            <w:pPr/>
            <w:r>
              <w:t xml:space="preserve">no</w:t>
            </w:r>
          </w:p>
        </w:tc>
        <w:tc>
          <w:tcPr>
            <w:tcW w:w="1306" w:type="dxa"/>
          </w:tcPr>
          <w:p>
            <w:pPr/>
            <w:r>
              <w:t xml:space="preserve">exclusion when confirmed</w:t>
            </w:r>
          </w:p>
        </w:tc>
        <w:tc>
          <w:tcPr>
            <w:tcW w:w="1345" w:type="dxa"/>
          </w:tcPr>
          <w:p>
            <w:pPr/>
            <w:r>
              <w:t xml:space="preserve">yes</w:t>
            </w:r>
          </w:p>
        </w:tc>
        <w:tc>
          <w:tcPr>
            <w:tcW w:w="1464" w:type="dxa"/>
          </w:tcPr>
          <w:p>
            <w:pPr/>
            <w:r>
              <w:t xml:space="preserve">external exam</w:t>
            </w:r>
          </w:p>
        </w:tc>
      </w:tr>
      <w:tr>
        <w:tc>
          <w:tcPr>
            <w:tcW w:w="3972" w:type="dxa"/>
          </w:tcPr>
          <w:p>
            <w:pPr/>
            <w:r>
              <w:t xml:space="preserve">Literature relations (PubTator3)</w:t>
            </w:r>
          </w:p>
        </w:tc>
        <w:tc>
          <w:tcPr>
            <w:tcW w:w="1273" w:type="dxa"/>
          </w:tcPr>
          <w:p>
            <w:pPr/>
            <w:r>
              <w:t xml:space="preserve">no</w:t>
            </w:r>
          </w:p>
        </w:tc>
        <w:tc>
          <w:tcPr>
            <w:tcW w:w="1306" w:type="dxa"/>
          </w:tcPr>
          <w:p>
            <w:pPr/>
          </w:p>
        </w:tc>
        <w:tc>
          <w:tcPr>
            <w:tcW w:w="1345" w:type="dxa"/>
          </w:tcPr>
          <w:p>
            <w:pPr/>
            <w:r>
              <w:t xml:space="preserve">yes</w:t>
            </w:r>
          </w:p>
        </w:tc>
        <w:tc>
          <w:tcPr>
            <w:tcW w:w="1464" w:type="dxa"/>
          </w:tcPr>
          <w:p>
            <w:pPr/>
          </w:p>
        </w:tc>
      </w:tr>
      <w:tr>
        <w:tc>
          <w:tcPr>
            <w:tcW w:w="3972" w:type="dxa"/>
          </w:tcPr>
          <w:p>
            <w:pPr/>
            <w:r>
              <w:t xml:space="preserve">Drug–gene effects (CTD)</w:t>
            </w:r>
          </w:p>
        </w:tc>
        <w:tc>
          <w:tcPr>
            <w:tcW w:w="1273" w:type="dxa"/>
          </w:tcPr>
          <w:p>
            <w:pPr/>
            <w:r>
              <w:t xml:space="preserve">no (removed; no effect in an ablation)</w:t>
            </w:r>
          </w:p>
        </w:tc>
        <w:tc>
          <w:tcPr>
            <w:tcW w:w="1306" w:type="dxa"/>
          </w:tcPr>
          <w:p>
            <w:pPr/>
          </w:p>
        </w:tc>
        <w:tc>
          <w:tcPr>
            <w:tcW w:w="1345" w:type="dxa"/>
          </w:tcPr>
          <w:p>
            <w:pPr/>
          </w:p>
        </w:tc>
        <w:tc>
          <w:tcPr>
            <w:tcW w:w="1464" w:type="dxa"/>
          </w:tcPr>
          <w:p>
            <w:pPr/>
          </w:p>
        </w:tc>
      </w:tr>
      <w:tr>
        <w:tc>
          <w:tcPr>
            <w:tcW w:w="3972" w:type="dxa"/>
          </w:tcPr>
          <w:p>
            <w:pPr/>
            <w:r>
              <w:t xml:space="preserve">QTL colocalisations (Open Targets 26.06; checked against 26.09)</w:t>
            </w:r>
          </w:p>
        </w:tc>
        <w:tc>
          <w:tcPr>
            <w:tcW w:w="1273" w:type="dxa"/>
          </w:tcPr>
          <w:p>
            <w:pPr/>
            <w:r>
              <w:t xml:space="preserve">yes (genetic direction)</w:t>
            </w:r>
          </w:p>
        </w:tc>
        <w:tc>
          <w:tcPr>
            <w:tcW w:w="1306" w:type="dxa"/>
          </w:tcPr>
          <w:p>
            <w:pPr/>
          </w:p>
        </w:tc>
        <w:tc>
          <w:tcPr>
            <w:tcW w:w="1345" w:type="dxa"/>
          </w:tcPr>
          <w:p>
            <w:pPr/>
            <w:r>
              <w:t xml:space="preserve">genetic line (verified lines only)</w:t>
            </w:r>
          </w:p>
        </w:tc>
        <w:tc>
          <w:tcPr>
            <w:tcW w:w="1464" w:type="dxa"/>
          </w:tcPr>
          <w:p>
            <w:pPr/>
          </w:p>
        </w:tc>
      </w:tr>
      <w:tr>
        <w:tc>
          <w:tcPr>
            <w:tcW w:w="3972" w:type="dxa"/>
          </w:tcPr>
          <w:p>
            <w:pPr/>
            <w:r>
              <w:t xml:space="preserve">Orphanet genes and prevalence (Orphadata)</w:t>
            </w:r>
          </w:p>
        </w:tc>
        <w:tc>
          <w:tcPr>
            <w:tcW w:w="1273" w:type="dxa"/>
          </w:tcPr>
          <w:p>
            <w:pPr/>
            <w:r>
              <w:t xml:space="preserve">yes (genes)</w:t>
            </w:r>
          </w:p>
        </w:tc>
        <w:tc>
          <w:tcPr>
            <w:tcW w:w="1306" w:type="dxa"/>
          </w:tcPr>
          <w:p>
            <w:pPr/>
          </w:p>
        </w:tc>
        <w:tc>
          <w:tcPr>
            <w:tcW w:w="1345" w:type="dxa"/>
          </w:tcPr>
          <w:p>
            <w:pPr/>
            <w:r>
              <w:t xml:space="preserve">prevalence class</w:t>
            </w:r>
          </w:p>
        </w:tc>
        <w:tc>
          <w:tcPr>
            <w:tcW w:w="1464" w:type="dxa"/>
          </w:tcPr>
          <w:p>
            <w:pPr/>
          </w:p>
        </w:tc>
      </w:tr>
      <w:tr>
        <w:tc>
          <w:tcPr>
            <w:tcW w:w="3972" w:type="dxa"/>
          </w:tcPr>
          <w:p>
            <w:pPr/>
            <w:r>
              <w:t xml:space="preserve">Pharmacogenomic guidelines (CPIC)</w:t>
            </w:r>
          </w:p>
        </w:tc>
        <w:tc>
          <w:tcPr>
            <w:tcW w:w="1273" w:type="dxa"/>
          </w:tcPr>
          <w:p>
            <w:pPr/>
            <w:r>
              <w:t xml:space="preserve">no</w:t>
            </w:r>
          </w:p>
        </w:tc>
        <w:tc>
          <w:tcPr>
            <w:tcW w:w="1306" w:type="dxa"/>
          </w:tcPr>
          <w:p>
            <w:pPr/>
          </w:p>
        </w:tc>
        <w:tc>
          <w:tcPr>
            <w:tcW w:w="1345" w:type="dxa"/>
          </w:tcPr>
          <w:p>
            <w:pPr/>
            <w:r>
              <w:t xml:space="preserve">yes</w:t>
            </w:r>
          </w:p>
        </w:tc>
        <w:tc>
          <w:tcPr>
            <w:tcW w:w="1464" w:type="dxa"/>
          </w:tcPr>
          <w:p>
            <w:pPr/>
          </w:p>
        </w:tc>
      </w:tr>
      <w:tr>
        <w:tc>
          <w:tcPr>
            <w:tcW w:w="3972" w:type="dxa"/>
          </w:tcPr>
          <w:p>
            <w:pPr/>
            <w:r>
              <w:t xml:space="preserve">CIViC; DrugCentral and MED-RT indications; EMA orphan designations; ClinicalTrials.gov posted results</w:t>
            </w:r>
          </w:p>
        </w:tc>
        <w:tc>
          <w:tcPr>
            <w:tcW w:w="1273" w:type="dxa"/>
          </w:tcPr>
          <w:p>
            <w:pPr/>
            <w:r>
              <w:t xml:space="preserve">no</w:t>
            </w:r>
          </w:p>
        </w:tc>
        <w:tc>
          <w:tcPr>
            <w:tcW w:w="1306" w:type="dxa"/>
          </w:tcPr>
          <w:p>
            <w:pPr/>
          </w:p>
        </w:tc>
        <w:tc>
          <w:tcPr>
            <w:tcW w:w="1345" w:type="dxa"/>
          </w:tcPr>
          <w:p>
            <w:pPr/>
          </w:p>
        </w:tc>
        <w:tc>
          <w:tcPr>
            <w:tcW w:w="1464" w:type="dxa"/>
          </w:tcPr>
          <w:p>
            <w:pPr/>
            <w:r>
              <w:t xml:space="preserve">independent exams</w:t>
            </w:r>
          </w:p>
        </w:tc>
      </w:tr>
    </w:tbl>
    <w:p>
      <w:pPr/>
      <w:r>
        <w:rPr>
          <w:b/>
        </w:rPr>
        <w:t xml:space="preserve">Supplementary Table S2.</w:t>
      </w:r>
      <w:r>
        <w:t xml:space="preserve"> The 22 metapath features and the two gene-level columns added in this version (23–24).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755"/>
        <w:gridCol w:w="3438"/>
        <w:gridCol w:w="5165"/>
      </w:tblGrid>
      <w:tr>
        <w:trPr>
          <w:tblHeader/>
        </w:trPr>
        <w:tc>
          <w:tcPr>
            <w:tcW w:w="755" w:type="dxa"/>
            <w:shd w:val="clear" w:color="auto" w:fill="F2F2F2"/>
          </w:tcPr>
          <w:p>
            <w:pPr/>
            <w:r>
              <w:t xml:space="preserve">#</w:t>
            </w:r>
          </w:p>
        </w:tc>
        <w:tc>
          <w:tcPr>
            <w:tcW w:w="3438" w:type="dxa"/>
            <w:shd w:val="clear" w:color="auto" w:fill="F2F2F2"/>
          </w:tcPr>
          <w:p>
            <w:pPr/>
            <w:r>
              <w:t xml:space="preserve">Metapath</w:t>
            </w:r>
          </w:p>
        </w:tc>
        <w:tc>
          <w:tcPr>
            <w:tcW w:w="5165" w:type="dxa"/>
            <w:shd w:val="clear" w:color="auto" w:fill="F2F2F2"/>
          </w:tcPr>
          <w:p>
            <w:pPr/>
            <w:r>
              <w:t xml:space="preserve">Meaning</w:t>
            </w:r>
          </w:p>
        </w:tc>
      </w:tr>
      <w:tr>
        <w:tc>
          <w:tcPr>
            <w:tcW w:w="755" w:type="dxa"/>
          </w:tcPr>
          <w:p>
            <w:pPr/>
            <w:r>
              <w:t xml:space="preserve">1</w:t>
            </w:r>
          </w:p>
        </w:tc>
        <w:tc>
          <w:tcPr>
            <w:tcW w:w="3438" w:type="dxa"/>
          </w:tcPr>
          <w:p>
            <w:pPr/>
            <w:r>
              <w:t xml:space="preserve">target</w:t>
            </w:r>
          </w:p>
        </w:tc>
        <w:tc>
          <w:tcPr>
            <w:tcW w:w="5165" w:type="dxa"/>
          </w:tcPr>
          <w:p>
            <w:pPr/>
            <w:r>
              <w:t xml:space="preserve">a DrugBank target of the drug is a disease gene</w:t>
            </w:r>
          </w:p>
        </w:tc>
      </w:tr>
      <w:tr>
        <w:tc>
          <w:tcPr>
            <w:tcW w:w="755" w:type="dxa"/>
          </w:tcPr>
          <w:p>
            <w:pPr/>
            <w:r>
              <w:t xml:space="preserve">2</w:t>
            </w:r>
          </w:p>
        </w:tc>
        <w:tc>
          <w:tcPr>
            <w:tcW w:w="3438" w:type="dxa"/>
          </w:tcPr>
          <w:p>
            <w:pPr/>
            <w:r>
              <w:t xml:space="preserve">target (all)</w:t>
            </w:r>
          </w:p>
        </w:tc>
        <w:tc>
          <w:tcPr>
            <w:tcW w:w="5165" w:type="dxa"/>
          </w:tcPr>
          <w:p>
            <w:pPr/>
            <w:r>
              <w:t xml:space="preserve">a target, enzyme or transporter of the drug is a disease gene</w:t>
            </w:r>
          </w:p>
        </w:tc>
      </w:tr>
      <w:tr>
        <w:tc>
          <w:tcPr>
            <w:tcW w:w="755" w:type="dxa"/>
          </w:tcPr>
          <w:p>
            <w:pPr/>
            <w:r>
              <w:t xml:space="preserve">3</w:t>
            </w:r>
          </w:p>
        </w:tc>
        <w:tc>
          <w:tcPr>
            <w:tcW w:w="3438" w:type="dxa"/>
          </w:tcPr>
          <w:p>
            <w:pPr/>
            <w:r>
              <w:t xml:space="preserve">interaction</w:t>
            </w:r>
          </w:p>
        </w:tc>
        <w:tc>
          <w:tcPr>
            <w:tcW w:w="5165" w:type="dxa"/>
          </w:tcPr>
          <w:p>
            <w:pPr/>
            <w:r>
              <w:t xml:space="preserve">a DrugBank target interacts with a disease gene</w:t>
            </w:r>
          </w:p>
        </w:tc>
      </w:tr>
      <w:tr>
        <w:tc>
          <w:tcPr>
            <w:tcW w:w="755" w:type="dxa"/>
          </w:tcPr>
          <w:p>
            <w:pPr/>
            <w:r>
              <w:t xml:space="preserve">4</w:t>
            </w:r>
          </w:p>
        </w:tc>
        <w:tc>
          <w:tcPr>
            <w:tcW w:w="3438" w:type="dxa"/>
          </w:tcPr>
          <w:p>
            <w:pPr/>
            <w:r>
              <w:t xml:space="preserve">similar</w:t>
            </w:r>
          </w:p>
        </w:tc>
        <w:tc>
          <w:tcPr>
            <w:tcW w:w="5165" w:type="dxa"/>
          </w:tcPr>
          <w:p>
            <w:pPr/>
            <w:r>
              <w:t xml:space="preserve">indicated for a disease that shares genes</w:t>
            </w:r>
          </w:p>
        </w:tc>
      </w:tr>
      <w:tr>
        <w:tc>
          <w:tcPr>
            <w:tcW w:w="755" w:type="dxa"/>
          </w:tcPr>
          <w:p>
            <w:pPr/>
            <w:r>
              <w:t xml:space="preserve">5</w:t>
            </w:r>
          </w:p>
        </w:tc>
        <w:tc>
          <w:tcPr>
            <w:tcW w:w="3438" w:type="dxa"/>
          </w:tcPr>
          <w:p>
            <w:pPr/>
            <w:r>
              <w:t xml:space="preserve">similar phenotype</w:t>
            </w:r>
          </w:p>
        </w:tc>
        <w:tc>
          <w:tcPr>
            <w:tcW w:w="5165" w:type="dxa"/>
          </w:tcPr>
          <w:p>
            <w:pPr/>
            <w:r>
              <w:t xml:space="preserve">indicated for a disease that shares phenotypes</w:t>
            </w:r>
          </w:p>
        </w:tc>
      </w:tr>
      <w:tr>
        <w:tc>
          <w:tcPr>
            <w:tcW w:w="755" w:type="dxa"/>
          </w:tcPr>
          <w:p>
            <w:pPr/>
            <w:r>
              <w:t xml:space="preserve">6</w:t>
            </w:r>
          </w:p>
        </w:tc>
        <w:tc>
          <w:tcPr>
            <w:tcW w:w="3438" w:type="dxa"/>
          </w:tcPr>
          <w:p>
            <w:pPr/>
            <w:r>
              <w:t xml:space="preserve">ontology</w:t>
            </w:r>
          </w:p>
        </w:tc>
        <w:tc>
          <w:tcPr>
            <w:tcW w:w="5165" w:type="dxa"/>
          </w:tcPr>
          <w:p>
            <w:pPr/>
            <w:r>
              <w:t xml:space="preserve">indicated for a neighbouring disease in the ontology</w:t>
            </w:r>
          </w:p>
        </w:tc>
      </w:tr>
      <w:tr>
        <w:tc>
          <w:tcPr>
            <w:tcW w:w="755" w:type="dxa"/>
          </w:tcPr>
          <w:p>
            <w:pPr/>
            <w:r>
              <w:t xml:space="preserve">7</w:t>
            </w:r>
          </w:p>
        </w:tc>
        <w:tc>
          <w:tcPr>
            <w:tcW w:w="3438" w:type="dxa"/>
          </w:tcPr>
          <w:p>
            <w:pPr/>
            <w:r>
              <w:t xml:space="preserve">contra similar</w:t>
            </w:r>
          </w:p>
        </w:tc>
        <w:tc>
          <w:tcPr>
            <w:tcW w:w="5165" w:type="dxa"/>
          </w:tcPr>
          <w:p>
            <w:pPr/>
            <w:r>
              <w:t xml:space="preserve">contraindicated in a disease that shares genes</w:t>
            </w:r>
          </w:p>
        </w:tc>
      </w:tr>
      <w:tr>
        <w:tc>
          <w:tcPr>
            <w:tcW w:w="755" w:type="dxa"/>
          </w:tcPr>
          <w:p>
            <w:pPr/>
            <w:r>
              <w:t xml:space="preserve">8</w:t>
            </w:r>
          </w:p>
        </w:tc>
        <w:tc>
          <w:tcPr>
            <w:tcW w:w="3438" w:type="dxa"/>
          </w:tcPr>
          <w:p>
            <w:pPr/>
            <w:r>
              <w:t xml:space="preserve">off-label similar</w:t>
            </w:r>
          </w:p>
        </w:tc>
        <w:tc>
          <w:tcPr>
            <w:tcW w:w="5165" w:type="dxa"/>
          </w:tcPr>
          <w:p>
            <w:pPr/>
            <w:r>
              <w:t xml:space="preserve">off-label use in a disease that shares genes</w:t>
            </w:r>
          </w:p>
        </w:tc>
      </w:tr>
      <w:tr>
        <w:tc>
          <w:tcPr>
            <w:tcW w:w="755" w:type="dxa"/>
          </w:tcPr>
          <w:p>
            <w:pPr/>
            <w:r>
              <w:t xml:space="preserve">9</w:t>
            </w:r>
          </w:p>
        </w:tc>
        <w:tc>
          <w:tcPr>
            <w:tcW w:w="3438" w:type="dxa"/>
          </w:tcPr>
          <w:p>
            <w:pPr/>
            <w:r>
              <w:t xml:space="preserve">off-label ontology</w:t>
            </w:r>
          </w:p>
        </w:tc>
        <w:tc>
          <w:tcPr>
            <w:tcW w:w="5165" w:type="dxa"/>
          </w:tcPr>
          <w:p>
            <w:pPr/>
            <w:r>
              <w:t xml:space="preserve">off-label use in a neighbouring disease</w:t>
            </w:r>
          </w:p>
        </w:tc>
      </w:tr>
      <w:tr>
        <w:tc>
          <w:tcPr>
            <w:tcW w:w="755" w:type="dxa"/>
          </w:tcPr>
          <w:p>
            <w:pPr/>
            <w:r>
              <w:t xml:space="preserve">10</w:t>
            </w:r>
          </w:p>
        </w:tc>
        <w:tc>
          <w:tcPr>
            <w:tcW w:w="3438" w:type="dxa"/>
          </w:tcPr>
          <w:p>
            <w:pPr/>
            <w:r>
              <w:t xml:space="preserve">effect = phenotype</w:t>
            </w:r>
          </w:p>
        </w:tc>
        <w:tc>
          <w:tcPr>
            <w:tcW w:w="5165" w:type="dxa"/>
          </w:tcPr>
          <w:p>
            <w:pPr/>
            <w:r>
              <w:t xml:space="preserve">the drug's adverse effects are phenotypes of the disease</w:t>
            </w:r>
          </w:p>
        </w:tc>
      </w:tr>
      <w:tr>
        <w:tc>
          <w:tcPr>
            <w:tcW w:w="755" w:type="dxa"/>
          </w:tcPr>
          <w:p>
            <w:pPr/>
            <w:r>
              <w:t xml:space="preserve">11</w:t>
            </w:r>
          </w:p>
        </w:tc>
        <w:tc>
          <w:tcPr>
            <w:tcW w:w="3438" w:type="dxa"/>
          </w:tcPr>
          <w:p>
            <w:pPr/>
            <w:r>
              <w:t xml:space="preserve">target → phenotype</w:t>
            </w:r>
          </w:p>
        </w:tc>
        <w:tc>
          <w:tcPr>
            <w:tcW w:w="5165" w:type="dxa"/>
          </w:tcPr>
          <w:p>
            <w:pPr/>
            <w:r>
              <w:t xml:space="preserve">a target is associated with a phenotype of the disease</w:t>
            </w:r>
          </w:p>
        </w:tc>
      </w:tr>
      <w:tr>
        <w:tc>
          <w:tcPr>
            <w:tcW w:w="755" w:type="dxa"/>
          </w:tcPr>
          <w:p>
            <w:pPr/>
            <w:r>
              <w:t xml:space="preserve">12</w:t>
            </w:r>
          </w:p>
        </w:tc>
        <w:tc>
          <w:tcPr>
            <w:tcW w:w="3438" w:type="dxa"/>
          </w:tcPr>
          <w:p>
            <w:pPr/>
            <w:r>
              <w:t xml:space="preserve">target → pathway</w:t>
            </w:r>
          </w:p>
        </w:tc>
        <w:tc>
          <w:tcPr>
            <w:tcW w:w="5165" w:type="dxa"/>
          </w:tcPr>
          <w:p>
            <w:pPr/>
            <w:r>
              <w:t xml:space="preserve">a target is in the same Reactome pathway as a disease gene</w:t>
            </w:r>
          </w:p>
        </w:tc>
      </w:tr>
      <w:tr>
        <w:tc>
          <w:tcPr>
            <w:tcW w:w="755" w:type="dxa"/>
          </w:tcPr>
          <w:p>
            <w:pPr/>
            <w:r>
              <w:t xml:space="preserve">13</w:t>
            </w:r>
          </w:p>
        </w:tc>
        <w:tc>
          <w:tcPr>
            <w:tcW w:w="3438" w:type="dxa"/>
          </w:tcPr>
          <w:p>
            <w:pPr/>
            <w:r>
              <w:t xml:space="preserve">target → process</w:t>
            </w:r>
          </w:p>
        </w:tc>
        <w:tc>
          <w:tcPr>
            <w:tcW w:w="5165" w:type="dxa"/>
          </w:tcPr>
          <w:p>
            <w:pPr/>
            <w:r>
              <w:t xml:space="preserve">a target is in the same GO biological process as a disease gene</w:t>
            </w:r>
          </w:p>
        </w:tc>
      </w:tr>
      <w:tr>
        <w:tc>
          <w:tcPr>
            <w:tcW w:w="755" w:type="dxa"/>
          </w:tcPr>
          <w:p>
            <w:pPr/>
            <w:r>
              <w:t xml:space="preserve">14</w:t>
            </w:r>
          </w:p>
        </w:tc>
        <w:tc>
          <w:tcPr>
            <w:tcW w:w="3438" w:type="dxa"/>
          </w:tcPr>
          <w:p>
            <w:pPr/>
            <w:r>
              <w:t xml:space="preserve">ontology 2-step</w:t>
            </w:r>
          </w:p>
        </w:tc>
        <w:tc>
          <w:tcPr>
            <w:tcW w:w="5165" w:type="dxa"/>
          </w:tcPr>
          <w:p>
            <w:pPr/>
            <w:r>
              <w:t xml:space="preserve">indicated for a disease two steps away in the ontology</w:t>
            </w:r>
          </w:p>
        </w:tc>
      </w:tr>
      <w:tr>
        <w:tc>
          <w:tcPr>
            <w:tcW w:w="755" w:type="dxa"/>
          </w:tcPr>
          <w:p>
            <w:pPr/>
            <w:r>
              <w:t xml:space="preserve">15</w:t>
            </w:r>
          </w:p>
        </w:tc>
        <w:tc>
          <w:tcPr>
            <w:tcW w:w="3438" w:type="dxa"/>
          </w:tcPr>
          <w:p>
            <w:pPr/>
            <w:r>
              <w:t xml:space="preserve">drug (targets) · similar</w:t>
            </w:r>
          </w:p>
        </w:tc>
        <w:tc>
          <w:tcPr>
            <w:tcW w:w="5165" w:type="dxa"/>
          </w:tcPr>
          <w:p>
            <w:pPr/>
            <w:r>
              <w:t xml:space="preserve">shares targets with drugs indicated in diseases that share genes</w:t>
            </w:r>
          </w:p>
        </w:tc>
      </w:tr>
      <w:tr>
        <w:tc>
          <w:tcPr>
            <w:tcW w:w="755" w:type="dxa"/>
          </w:tcPr>
          <w:p>
            <w:pPr/>
            <w:r>
              <w:t xml:space="preserve">16</w:t>
            </w:r>
          </w:p>
        </w:tc>
        <w:tc>
          <w:tcPr>
            <w:tcW w:w="3438" w:type="dxa"/>
          </w:tcPr>
          <w:p>
            <w:pPr/>
            <w:r>
              <w:t xml:space="preserve">drug (effects) · similar</w:t>
            </w:r>
          </w:p>
        </w:tc>
        <w:tc>
          <w:tcPr>
            <w:tcW w:w="5165" w:type="dxa"/>
          </w:tcPr>
          <w:p>
            <w:pPr/>
            <w:r>
              <w:t xml:space="preserve">shares adverse effects with drugs indicated in diseases that share genes</w:t>
            </w:r>
          </w:p>
        </w:tc>
      </w:tr>
      <w:tr>
        <w:tc>
          <w:tcPr>
            <w:tcW w:w="755" w:type="dxa"/>
          </w:tcPr>
          <w:p>
            <w:pPr/>
            <w:r>
              <w:t xml:space="preserve">17</w:t>
            </w:r>
          </w:p>
        </w:tc>
        <w:tc>
          <w:tcPr>
            <w:tcW w:w="3438" w:type="dxa"/>
          </w:tcPr>
          <w:p>
            <w:pPr/>
            <w:r>
              <w:t xml:space="preserve">drug (effects) · phenotype</w:t>
            </w:r>
          </w:p>
        </w:tc>
        <w:tc>
          <w:tcPr>
            <w:tcW w:w="5165" w:type="dxa"/>
          </w:tcPr>
          <w:p>
            <w:pPr/>
            <w:r>
              <w:t xml:space="preserve">shares adverse effects with drugs indicated in diseases that share phenotypes</w:t>
            </w:r>
          </w:p>
        </w:tc>
      </w:tr>
      <w:tr>
        <w:tc>
          <w:tcPr>
            <w:tcW w:w="755" w:type="dxa"/>
          </w:tcPr>
          <w:p>
            <w:pPr/>
            <w:r>
              <w:t xml:space="preserve">18</w:t>
            </w:r>
          </w:p>
        </w:tc>
        <w:tc>
          <w:tcPr>
            <w:tcW w:w="3438" w:type="dxa"/>
          </w:tcPr>
          <w:p>
            <w:pPr/>
            <w:r>
              <w:t xml:space="preserve">drug (interactions) · similar</w:t>
            </w:r>
          </w:p>
        </w:tc>
        <w:tc>
          <w:tcPr>
            <w:tcW w:w="5165" w:type="dxa"/>
          </w:tcPr>
          <w:p>
            <w:pPr/>
            <w:r>
              <w:t xml:space="preserve">interacts with drugs indicated in diseases that share genes</w:t>
            </w:r>
          </w:p>
        </w:tc>
      </w:tr>
      <w:tr>
        <w:tc>
          <w:tcPr>
            <w:tcW w:w="755" w:type="dxa"/>
          </w:tcPr>
          <w:p>
            <w:pPr/>
            <w:r>
              <w:t xml:space="preserve">19</w:t>
            </w:r>
          </w:p>
        </w:tc>
        <w:tc>
          <w:tcPr>
            <w:tcW w:w="3438" w:type="dxa"/>
          </w:tcPr>
          <w:p>
            <w:pPr/>
            <w:r>
              <w:t xml:space="preserve">drug (targets) · ontology</w:t>
            </w:r>
          </w:p>
        </w:tc>
        <w:tc>
          <w:tcPr>
            <w:tcW w:w="5165" w:type="dxa"/>
          </w:tcPr>
          <w:p>
            <w:pPr/>
            <w:r>
              <w:t xml:space="preserve">shares targets with drugs indicated in neighbouring diseases</w:t>
            </w:r>
          </w:p>
        </w:tc>
      </w:tr>
      <w:tr>
        <w:tc>
          <w:tcPr>
            <w:tcW w:w="755" w:type="dxa"/>
          </w:tcPr>
          <w:p>
            <w:pPr/>
            <w:r>
              <w:t xml:space="preserve">20</w:t>
            </w:r>
          </w:p>
        </w:tc>
        <w:tc>
          <w:tcPr>
            <w:tcW w:w="3438" w:type="dxa"/>
          </w:tcPr>
          <w:p>
            <w:pPr/>
            <w:r>
              <w:t xml:space="preserve">target+ all</w:t>
            </w:r>
          </w:p>
        </w:tc>
        <w:tc>
          <w:tcPr>
            <w:tcW w:w="5165" w:type="dxa"/>
          </w:tcPr>
          <w:p>
            <w:pPr/>
            <w:r>
              <w:t xml:space="preserve">a target or ChEMBL mechanism target is an associated gene</w:t>
            </w:r>
          </w:p>
        </w:tc>
      </w:tr>
      <w:tr>
        <w:tc>
          <w:tcPr>
            <w:tcW w:w="755" w:type="dxa"/>
          </w:tcPr>
          <w:p>
            <w:pPr/>
            <w:r>
              <w:t xml:space="preserve">21</w:t>
            </w:r>
          </w:p>
        </w:tc>
        <w:tc>
          <w:tcPr>
            <w:tcW w:w="3438" w:type="dxa"/>
          </w:tcPr>
          <w:p>
            <w:pPr/>
            <w:r>
              <w:t xml:space="preserve">interaction STRING all</w:t>
            </w:r>
          </w:p>
        </w:tc>
        <w:tc>
          <w:tcPr>
            <w:tcW w:w="5165" w:type="dxa"/>
          </w:tcPr>
          <w:p>
            <w:pPr/>
            <w:r>
              <w:t xml:space="preserve">a target interacts (STRING ≥ 700) with an associated gene</w:t>
            </w:r>
          </w:p>
        </w:tc>
      </w:tr>
      <w:tr>
        <w:tc>
          <w:tcPr>
            <w:tcW w:w="755" w:type="dxa"/>
          </w:tcPr>
          <w:p>
            <w:pPr/>
            <w:r>
              <w:t xml:space="preserve">22</w:t>
            </w:r>
          </w:p>
        </w:tc>
        <w:tc>
          <w:tcPr>
            <w:tcW w:w="3438" w:type="dxa"/>
          </w:tcPr>
          <w:p>
            <w:pPr/>
            <w:r>
              <w:t xml:space="preserve">similar all (OT)</w:t>
            </w:r>
          </w:p>
        </w:tc>
        <w:tc>
          <w:tcPr>
            <w:tcW w:w="5165" w:type="dxa"/>
          </w:tcPr>
          <w:p>
            <w:pPr/>
            <w:r>
              <w:t xml:space="preserve">indicated for a disease with associated genes in common</w:t>
            </w:r>
          </w:p>
        </w:tc>
      </w:tr>
      <w:tr>
        <w:tc>
          <w:tcPr>
            <w:tcW w:w="755" w:type="dxa"/>
          </w:tcPr>
          <w:p>
            <w:pPr/>
            <w:r>
              <w:t xml:space="preserve">23</w:t>
            </w:r>
          </w:p>
        </w:tc>
        <w:tc>
          <w:tcPr>
            <w:tcW w:w="3438" w:type="dxa"/>
          </w:tcPr>
          <w:p>
            <w:pPr/>
            <w:r>
              <w:t xml:space="preserve">qtl direction</w:t>
            </w:r>
          </w:p>
        </w:tc>
        <w:tc>
          <w:tcPr>
            <w:tcW w:w="5165" w:type="dxa"/>
          </w:tcPr>
          <w:p>
            <w:pPr/>
            <w:r>
              <w:t xml:space="preserve">targets whose colocalised QTL agrees with the drug's action minus those that oppose it (gene-level column; 0 when there is no colocalisation)</w:t>
            </w:r>
          </w:p>
        </w:tc>
      </w:tr>
      <w:tr>
        <w:tc>
          <w:tcPr>
            <w:tcW w:w="755" w:type="dxa"/>
          </w:tcPr>
          <w:p>
            <w:pPr/>
            <w:r>
              <w:t xml:space="preserve">24</w:t>
            </w:r>
          </w:p>
        </w:tc>
        <w:tc>
          <w:tcPr>
            <w:tcW w:w="3438" w:type="dxa"/>
          </w:tcPr>
          <w:p>
            <w:pPr/>
            <w:r>
              <w:t xml:space="preserve">orphanet genes</w:t>
            </w:r>
          </w:p>
        </w:tc>
        <w:tc>
          <w:tcPr>
            <w:tcW w:w="5165" w:type="dxa"/>
          </w:tcPr>
          <w:p>
            <w:pPr/>
            <w:r>
              <w:t xml:space="preserve">log(1 + drug targets among the disease's Orphanet genes) (gene-level column; diseases that map to a single MONDO concept)</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4.9 (3.4–6.6; 2,845); with generic genes only: 3.0 (946). Genes associated with 500 or more diseases do not count.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085"/>
        <w:gridCol w:w="2540"/>
        <w:gridCol w:w="2479"/>
        <w:gridCol w:w="2256"/>
      </w:tblGrid>
      <w:tr>
        <w:trPr>
          <w:tblHeader/>
        </w:trPr>
        <w:tc>
          <w:tcPr>
            <w:tcW w:w="2085" w:type="dxa"/>
            <w:shd w:val="clear" w:color="auto" w:fill="F2F2F2"/>
          </w:tcPr>
          <w:p>
            <w:pPr/>
            <w:r>
              <w:t xml:space="preserve">Test</w:t>
            </w:r>
          </w:p>
        </w:tc>
        <w:tc>
          <w:tcPr>
            <w:tcW w:w="2540" w:type="dxa"/>
            <w:shd w:val="clear" w:color="auto" w:fill="F2F2F2"/>
          </w:tcPr>
          <w:p>
            <w:pPr/>
            <w:r>
              <w:t xml:space="preserve">Direct extensions</w:t>
            </w:r>
          </w:p>
        </w:tc>
        <w:tc>
          <w:tcPr>
            <w:tcW w:w="2479" w:type="dxa"/>
            <w:shd w:val="clear" w:color="auto" w:fill="F2F2F2"/>
          </w:tcPr>
          <w:p>
            <w:pPr/>
            <w:r>
              <w:t xml:space="preserve">Shared genes</w:t>
            </w:r>
          </w:p>
        </w:tc>
        <w:tc>
          <w:tcPr>
            <w:tcW w:w="2256" w:type="dxa"/>
            <w:shd w:val="clear" w:color="auto" w:fill="F2F2F2"/>
          </w:tcPr>
          <w:p>
            <w:pPr/>
            <w:r>
              <w:t xml:space="preserve">Hidden</w:t>
            </w:r>
          </w:p>
        </w:tc>
      </w:tr>
      <w:tr>
        <w:tc>
          <w:tcPr>
            <w:tcW w:w="2085" w:type="dxa"/>
          </w:tcPr>
          <w:p>
            <w:pPr/>
            <w:r>
              <w:t xml:space="preserve">Benchmark (zero-shot, seeds 1–5)</w:t>
            </w:r>
          </w:p>
        </w:tc>
        <w:tc>
          <w:tcPr>
            <w:tcW w:w="2540" w:type="dxa"/>
          </w:tcPr>
          <w:p>
            <w:pPr/>
            <w:r>
              <w:t xml:space="preserve">50.0 (42.4–57.9; 1,701)</w:t>
            </w:r>
          </w:p>
        </w:tc>
        <w:tc>
          <w:tcPr>
            <w:tcW w:w="2479" w:type="dxa"/>
          </w:tcPr>
          <w:p>
            <w:pPr/>
            <w:r>
              <w:t xml:space="preserve">24.3 (18.4–30.3; 1,834)</w:t>
            </w:r>
          </w:p>
        </w:tc>
        <w:tc>
          <w:tcPr>
            <w:tcW w:w="2256" w:type="dxa"/>
          </w:tcPr>
          <w:p>
            <w:pPr/>
            <w:r>
              <w:t xml:space="preserve">4.2 (2.9–5.7; 4,840)</w:t>
            </w:r>
          </w:p>
        </w:tc>
      </w:tr>
      <w:tr>
        <w:tc>
          <w:tcPr>
            <w:tcW w:w="2085" w:type="dxa"/>
          </w:tcPr>
          <w:p>
            <w:pPr/>
            <w:r>
              <w:t xml:space="preserve">Benchmark, hard</w:t>
            </w:r>
          </w:p>
        </w:tc>
        <w:tc>
          <w:tcPr>
            <w:tcW w:w="2540" w:type="dxa"/>
          </w:tcPr>
          <w:p>
            <w:pPr/>
            <w:r>
              <w:t xml:space="preserve">14.1 (7.2–22.4; 313)</w:t>
            </w:r>
          </w:p>
        </w:tc>
        <w:tc>
          <w:tcPr>
            <w:tcW w:w="2479" w:type="dxa"/>
          </w:tcPr>
          <w:p>
            <w:pPr/>
            <w:r>
              <w:t xml:space="preserve">28.6 (19.4–38.6; 776)</w:t>
            </w:r>
          </w:p>
        </w:tc>
        <w:tc>
          <w:tcPr>
            <w:tcW w:w="2256" w:type="dxa"/>
          </w:tcPr>
          <w:p>
            <w:pPr/>
            <w:r>
              <w:t xml:space="preserve">3.0 (2.0–4.2; 2,136)</w:t>
            </w:r>
          </w:p>
        </w:tc>
      </w:tr>
      <w:tr>
        <w:tc>
          <w:tcPr>
            <w:tcW w:w="2085" w:type="dxa"/>
          </w:tcPr>
          <w:p>
            <w:pPr/>
            <w:r>
              <w:t xml:space="preserve">Areas</w:t>
            </w:r>
          </w:p>
        </w:tc>
        <w:tc>
          <w:tcPr>
            <w:tcW w:w="2540" w:type="dxa"/>
          </w:tcPr>
          <w:p>
            <w:pPr/>
            <w:r>
              <w:t xml:space="preserve">59.4 (48.5–69.3; 646)</w:t>
            </w:r>
          </w:p>
        </w:tc>
        <w:tc>
          <w:tcPr>
            <w:tcW w:w="2479" w:type="dxa"/>
          </w:tcPr>
          <w:p>
            <w:pPr/>
            <w:r>
              <w:t xml:space="preserve">27.7 (23.0–32.5; 2,483)</w:t>
            </w:r>
          </w:p>
        </w:tc>
        <w:tc>
          <w:tcPr>
            <w:tcW w:w="2256" w:type="dxa"/>
          </w:tcPr>
          <w:p>
            <w:pPr/>
            <w:r>
              <w:t xml:space="preserve">1.7 (1.1–2.3; 5,496)</w:t>
            </w:r>
          </w:p>
        </w:tc>
      </w:tr>
      <w:tr>
        <w:tc>
          <w:tcPr>
            <w:tcW w:w="2085" w:type="dxa"/>
          </w:tcPr>
          <w:p>
            <w:pPr/>
            <w:r>
              <w:t xml:space="preserve">Areas, hard</w:t>
            </w:r>
          </w:p>
        </w:tc>
        <w:tc>
          <w:tcPr>
            <w:tcW w:w="2540" w:type="dxa"/>
          </w:tcPr>
          <w:p>
            <w:pPr/>
            <w:r>
              <w:t xml:space="preserve">25.0 (11.5–40.1; 220)</w:t>
            </w:r>
          </w:p>
        </w:tc>
        <w:tc>
          <w:tcPr>
            <w:tcW w:w="2479" w:type="dxa"/>
          </w:tcPr>
          <w:p>
            <w:pPr/>
            <w:r>
              <w:t xml:space="preserve">23.8 (18.6–29.2; 1,641)</w:t>
            </w:r>
          </w:p>
        </w:tc>
        <w:tc>
          <w:tcPr>
            <w:tcW w:w="2256" w:type="dxa"/>
          </w:tcPr>
          <w:p>
            <w:pPr/>
            <w:r>
              <w:t xml:space="preserve">1.5 (0.9–2.2; 3,964)</w:t>
            </w:r>
          </w:p>
        </w:tc>
      </w:tr>
      <w:tr>
        <w:tc>
          <w:tcPr>
            <w:tcW w:w="2085" w:type="dxa"/>
          </w:tcPr>
          <w:p>
            <w:pPr/>
            <w:r>
              <w:t xml:space="preserve">External exam</w:t>
            </w:r>
          </w:p>
        </w:tc>
        <w:tc>
          <w:tcPr>
            <w:tcW w:w="2540" w:type="dxa"/>
          </w:tcPr>
          <w:p>
            <w:pPr/>
            <w:r>
              <w:t xml:space="preserve">12.6 (9.8–15.5; 3,027)</w:t>
            </w:r>
          </w:p>
        </w:tc>
        <w:tc>
          <w:tcPr>
            <w:tcW w:w="2479" w:type="dxa"/>
          </w:tcPr>
          <w:p>
            <w:pPr/>
            <w:r>
              <w:t xml:space="preserve">4.4 (3.2–5.8; 3,844)</w:t>
            </w:r>
          </w:p>
        </w:tc>
        <w:tc>
          <w:tcPr>
            <w:tcW w:w="2256" w:type="dxa"/>
          </w:tcPr>
          <w:p>
            <w:pPr/>
            <w:r>
              <w:t xml:space="preserve">1.5 (1.2–1.9; 9,254)</w:t>
            </w:r>
          </w:p>
        </w:tc>
      </w:tr>
      <w:tr>
        <w:tc>
          <w:tcPr>
            <w:tcW w:w="2085" w:type="dxa"/>
          </w:tcPr>
          <w:p>
            <w:pPr/>
            <w:r>
              <w:t xml:space="preserve">External exam, website rules</w:t>
            </w:r>
          </w:p>
        </w:tc>
        <w:tc>
          <w:tcPr>
            <w:tcW w:w="2540" w:type="dxa"/>
          </w:tcPr>
          <w:p>
            <w:pPr/>
            <w:r>
              <w:t xml:space="preserve">12.4 (9.6–15.5; 2,954)</w:t>
            </w:r>
          </w:p>
        </w:tc>
        <w:tc>
          <w:tcPr>
            <w:tcW w:w="2479" w:type="dxa"/>
          </w:tcPr>
          <w:p>
            <w:pPr/>
            <w:r>
              <w:t xml:space="preserve">4.2 (3.0–5.6; 3,671)</w:t>
            </w:r>
          </w:p>
        </w:tc>
        <w:tc>
          <w:tcPr>
            <w:tcW w:w="2256" w:type="dxa"/>
          </w:tcPr>
          <w:p>
            <w:pPr/>
            <w:r>
              <w:t xml:space="preserve">1.4 (1.1–1.8; 9,500)</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186"/>
        <w:gridCol w:w="1492"/>
        <w:gridCol w:w="1465"/>
        <w:gridCol w:w="1475"/>
        <w:gridCol w:w="1637"/>
        <w:gridCol w:w="969"/>
        <w:gridCol w:w="1134"/>
      </w:tblGrid>
      <w:tr>
        <w:trPr>
          <w:tblHeader/>
        </w:trPr>
        <w:tc>
          <w:tcPr>
            <w:tcW w:w="1186" w:type="dxa"/>
            <w:shd w:val="clear" w:color="auto" w:fill="F2F2F2"/>
          </w:tcPr>
          <w:p>
            <w:pPr/>
            <w:r>
              <w:t xml:space="preserve">Test</w:t>
            </w:r>
          </w:p>
        </w:tc>
        <w:tc>
          <w:tcPr>
            <w:tcW w:w="1492" w:type="dxa"/>
            <w:shd w:val="clear" w:color="auto" w:fill="F2F2F2"/>
          </w:tcPr>
          <w:p>
            <w:pPr/>
            <w:r>
              <w:t xml:space="preserve">Popularity</w:t>
            </w:r>
          </w:p>
        </w:tc>
        <w:tc>
          <w:tcPr>
            <w:tcW w:w="1465" w:type="dxa"/>
            <w:shd w:val="clear" w:color="auto" w:fill="F2F2F2"/>
          </w:tcPr>
          <w:p>
            <w:pPr/>
            <w:r>
              <w:t xml:space="preserve">TxGNN</w:t>
            </w:r>
          </w:p>
        </w:tc>
        <w:tc>
          <w:tcPr>
            <w:tcW w:w="1475" w:type="dxa"/>
            <w:shd w:val="clear" w:color="auto" w:fill="F2F2F2"/>
          </w:tcPr>
          <w:p>
            <w:pPr/>
            <w:r>
              <w:t xml:space="preserve">OREVID</w:t>
            </w:r>
          </w:p>
        </w:tc>
        <w:tc>
          <w:tcPr>
            <w:tcW w:w="1637" w:type="dxa"/>
            <w:shd w:val="clear" w:color="auto" w:fill="F2F2F2"/>
          </w:tcPr>
          <w:p>
            <w:pPr/>
            <w:r>
              <w:t xml:space="preserve">OREVID − TxGNN</w:t>
            </w:r>
          </w:p>
        </w:tc>
        <w:tc>
          <w:tcPr>
            <w:tcW w:w="969" w:type="dxa"/>
            <w:shd w:val="clear" w:color="auto" w:fill="F2F2F2"/>
          </w:tcPr>
          <w:p>
            <w:pPr/>
            <w:r>
              <w:t xml:space="preserve">Ahead / behind</w:t>
            </w:r>
          </w:p>
        </w:tc>
        <w:tc>
          <w:tcPr>
            <w:tcW w:w="1134" w:type="dxa"/>
            <w:shd w:val="clear" w:color="auto" w:fill="F2F2F2"/>
          </w:tcPr>
          <w:p>
            <w:pPr/>
            <w:r>
              <w:t xml:space="preserve">Holm p</w:t>
            </w:r>
          </w:p>
        </w:tc>
      </w:tr>
      <w:tr>
        <w:tc>
          <w:tcPr>
            <w:tcW w:w="1186" w:type="dxa"/>
          </w:tcPr>
          <w:p>
            <w:pPr/>
            <w:r>
              <w:t xml:space="preserve">Zero-shot</w:t>
            </w:r>
          </w:p>
        </w:tc>
        <w:tc>
          <w:tcPr>
            <w:tcW w:w="1492" w:type="dxa"/>
          </w:tcPr>
          <w:p>
            <w:pPr/>
            <w:r>
              <w:t xml:space="preserve">0.358 (0.314–0.402)</w:t>
            </w:r>
          </w:p>
        </w:tc>
        <w:tc>
          <w:tcPr>
            <w:tcW w:w="1465" w:type="dxa"/>
          </w:tcPr>
          <w:p>
            <w:pPr/>
            <w:r>
              <w:t xml:space="preserve">0.412 (0.369–0.457)</w:t>
            </w:r>
          </w:p>
        </w:tc>
        <w:tc>
          <w:tcPr>
            <w:tcW w:w="1475" w:type="dxa"/>
          </w:tcPr>
          <w:p>
            <w:pPr/>
            <w:r>
              <w:t xml:space="preserve">0.812 (0.774–0.848)</w:t>
            </w:r>
          </w:p>
        </w:tc>
        <w:tc>
          <w:tcPr>
            <w:tcW w:w="1637" w:type="dxa"/>
          </w:tcPr>
          <w:p>
            <w:pPr/>
            <w:r>
              <w:t xml:space="preserve">+0.400 (0.354–0.444)</w:t>
            </w:r>
          </w:p>
        </w:tc>
        <w:tc>
          <w:tcPr>
            <w:tcW w:w="969" w:type="dxa"/>
          </w:tcPr>
          <w:p>
            <w:pPr/>
            <w:r>
              <w:t xml:space="preserve">63% / 3%</w:t>
            </w:r>
          </w:p>
        </w:tc>
        <w:tc>
          <w:tcPr>
            <w:tcW w:w="1134" w:type="dxa"/>
          </w:tcPr>
          <w:p>
            <w:pPr/>
            <w:r>
              <w:t xml:space="preserve">1 × 10⁻³³</w:t>
            </w:r>
          </w:p>
        </w:tc>
      </w:tr>
      <w:tr>
        <w:tc>
          <w:tcPr>
            <w:tcW w:w="1186" w:type="dxa"/>
          </w:tcPr>
          <w:p>
            <w:pPr/>
            <w:r>
              <w:t xml:space="preserve">Zero-shot, hard</w:t>
            </w:r>
          </w:p>
        </w:tc>
        <w:tc>
          <w:tcPr>
            <w:tcW w:w="1492" w:type="dxa"/>
          </w:tcPr>
          <w:p>
            <w:pPr/>
            <w:r>
              <w:t xml:space="preserve">0.203 (0.150–0.259)</w:t>
            </w:r>
          </w:p>
        </w:tc>
        <w:tc>
          <w:tcPr>
            <w:tcW w:w="1465" w:type="dxa"/>
          </w:tcPr>
          <w:p>
            <w:pPr/>
            <w:r>
              <w:t xml:space="preserve">0.258 (0.197–0.324)</w:t>
            </w:r>
          </w:p>
        </w:tc>
        <w:tc>
          <w:tcPr>
            <w:tcW w:w="1475" w:type="dxa"/>
          </w:tcPr>
          <w:p>
            <w:pPr/>
            <w:r>
              <w:t xml:space="preserve">0.544 (0.470–0.618)</w:t>
            </w:r>
          </w:p>
        </w:tc>
        <w:tc>
          <w:tcPr>
            <w:tcW w:w="1637" w:type="dxa"/>
          </w:tcPr>
          <w:p>
            <w:pPr/>
            <w:r>
              <w:t xml:space="preserve">+0.286 (0.215–0.359)</w:t>
            </w:r>
          </w:p>
        </w:tc>
        <w:tc>
          <w:tcPr>
            <w:tcW w:w="969" w:type="dxa"/>
          </w:tcPr>
          <w:p>
            <w:pPr/>
            <w:r>
              <w:t xml:space="preserve">50% / 6%</w:t>
            </w:r>
          </w:p>
        </w:tc>
        <w:tc>
          <w:tcPr>
            <w:tcW w:w="1134" w:type="dxa"/>
          </w:tcPr>
          <w:p>
            <w:pPr/>
            <w:r>
              <w:t xml:space="preserve">2 × 10⁻⁹</w:t>
            </w:r>
          </w:p>
        </w:tc>
      </w:tr>
      <w:tr>
        <w:tc>
          <w:tcPr>
            <w:tcW w:w="1186" w:type="dxa"/>
          </w:tcPr>
          <w:p>
            <w:pPr/>
            <w:r>
              <w:t xml:space="preserve">Areas</w:t>
            </w:r>
          </w:p>
        </w:tc>
        <w:tc>
          <w:tcPr>
            <w:tcW w:w="1492" w:type="dxa"/>
          </w:tcPr>
          <w:p>
            <w:pPr/>
            <w:r>
              <w:t xml:space="preserve">0.185 (0.132–0.239)</w:t>
            </w:r>
          </w:p>
        </w:tc>
        <w:tc>
          <w:tcPr>
            <w:tcW w:w="1465" w:type="dxa"/>
          </w:tcPr>
          <w:p>
            <w:pPr/>
            <w:r>
              <w:t xml:space="preserve">0.237 (0.181–0.295)</w:t>
            </w:r>
          </w:p>
        </w:tc>
        <w:tc>
          <w:tcPr>
            <w:tcW w:w="1475" w:type="dxa"/>
          </w:tcPr>
          <w:p>
            <w:pPr/>
            <w:r>
              <w:t xml:space="preserve">0.627 (0.577–0.675)</w:t>
            </w:r>
          </w:p>
        </w:tc>
        <w:tc>
          <w:tcPr>
            <w:tcW w:w="1637" w:type="dxa"/>
          </w:tcPr>
          <w:p>
            <w:pPr/>
            <w:r>
              <w:t xml:space="preserve">+0.390 (0.325–0.457)</w:t>
            </w:r>
          </w:p>
        </w:tc>
        <w:tc>
          <w:tcPr>
            <w:tcW w:w="969" w:type="dxa"/>
          </w:tcPr>
          <w:p>
            <w:pPr/>
            <w:r>
              <w:t xml:space="preserve">63% / 2%</w:t>
            </w:r>
          </w:p>
        </w:tc>
        <w:tc>
          <w:tcPr>
            <w:tcW w:w="1134" w:type="dxa"/>
          </w:tcPr>
          <w:p>
            <w:pPr/>
            <w:r>
              <w:t xml:space="preserve">3 × 10⁻³⁶</w:t>
            </w:r>
          </w:p>
        </w:tc>
      </w:tr>
      <w:tr>
        <w:tc>
          <w:tcPr>
            <w:tcW w:w="1186" w:type="dxa"/>
          </w:tcPr>
          <w:p>
            <w:pPr/>
            <w:r>
              <w:t xml:space="preserve">Areas, hard</w:t>
            </w:r>
          </w:p>
        </w:tc>
        <w:tc>
          <w:tcPr>
            <w:tcW w:w="1492" w:type="dxa"/>
          </w:tcPr>
          <w:p>
            <w:pPr/>
            <w:r>
              <w:t xml:space="preserve">0.141 (0.078–0.213)</w:t>
            </w:r>
          </w:p>
        </w:tc>
        <w:tc>
          <w:tcPr>
            <w:tcW w:w="1465" w:type="dxa"/>
          </w:tcPr>
          <w:p>
            <w:pPr/>
            <w:r>
              <w:t xml:space="preserve">0.141 (0.086–0.204)</w:t>
            </w:r>
          </w:p>
        </w:tc>
        <w:tc>
          <w:tcPr>
            <w:tcW w:w="1475" w:type="dxa"/>
          </w:tcPr>
          <w:p>
            <w:pPr/>
            <w:r>
              <w:t xml:space="preserve">0.504 (0.428–0.578)</w:t>
            </w:r>
          </w:p>
        </w:tc>
        <w:tc>
          <w:tcPr>
            <w:tcW w:w="1637" w:type="dxa"/>
          </w:tcPr>
          <w:p>
            <w:pPr/>
            <w:r>
              <w:t xml:space="preserve">+0.363 (0.280–0.444)</w:t>
            </w:r>
          </w:p>
        </w:tc>
        <w:tc>
          <w:tcPr>
            <w:tcW w:w="969" w:type="dxa"/>
          </w:tcPr>
          <w:p>
            <w:pPr/>
            <w:r>
              <w:t xml:space="preserve">56% / 3%</w:t>
            </w:r>
          </w:p>
        </w:tc>
        <w:tc>
          <w:tcPr>
            <w:tcW w:w="1134" w:type="dxa"/>
          </w:tcPr>
          <w:p>
            <w:pPr/>
            <w:r>
              <w:t xml:space="preserve">1 × 10⁻²¹</w:t>
            </w:r>
          </w:p>
        </w:tc>
      </w:tr>
      <w:tr>
        <w:tc>
          <w:tcPr>
            <w:tcW w:w="1186" w:type="dxa"/>
          </w:tcPr>
          <w:p>
            <w:pPr/>
            <w:r>
              <w:t xml:space="preserve">External</w:t>
            </w:r>
          </w:p>
        </w:tc>
        <w:tc>
          <w:tcPr>
            <w:tcW w:w="1492" w:type="dxa"/>
          </w:tcPr>
          <w:p>
            <w:pPr/>
            <w:r>
              <w:t xml:space="preserve">0.130 (0.109–0.152)</w:t>
            </w:r>
          </w:p>
        </w:tc>
        <w:tc>
          <w:tcPr>
            <w:tcW w:w="1465" w:type="dxa"/>
          </w:tcPr>
          <w:p>
            <w:pPr/>
            <w:r>
              <w:t xml:space="preserve">0.121 (0.100–0.143)</w:t>
            </w:r>
          </w:p>
        </w:tc>
        <w:tc>
          <w:tcPr>
            <w:tcW w:w="1475" w:type="dxa"/>
          </w:tcPr>
          <w:p>
            <w:pPr/>
            <w:r>
              <w:t xml:space="preserve">0.355 (0.324–0.386)</w:t>
            </w:r>
          </w:p>
        </w:tc>
        <w:tc>
          <w:tcPr>
            <w:tcW w:w="1637" w:type="dxa"/>
          </w:tcPr>
          <w:p>
            <w:pPr/>
            <w:r>
              <w:t xml:space="preserve">+0.234 (0.202–0.266)</w:t>
            </w:r>
          </w:p>
        </w:tc>
        <w:tc>
          <w:tcPr>
            <w:tcW w:w="969" w:type="dxa"/>
          </w:tcPr>
          <w:p>
            <w:pPr/>
            <w:r>
              <w:t xml:space="preserve">43% / 5%</w:t>
            </w:r>
          </w:p>
        </w:tc>
        <w:tc>
          <w:tcPr>
            <w:tcW w:w="1134" w:type="dxa"/>
          </w:tcPr>
          <w:p>
            <w:pPr/>
            <w:r>
              <w:t xml:space="preserve">2 × 10⁻³⁴</w:t>
            </w:r>
          </w:p>
        </w:tc>
      </w:tr>
      <w:tr>
        <w:tc>
          <w:tcPr>
            <w:tcW w:w="1186" w:type="dxa"/>
          </w:tcPr>
          <w:p>
            <w:pPr/>
            <w:r>
              <w:t xml:space="preserve">External, non-obvious</w:t>
            </w:r>
          </w:p>
        </w:tc>
        <w:tc>
          <w:tcPr>
            <w:tcW w:w="1492" w:type="dxa"/>
          </w:tcPr>
          <w:p>
            <w:pPr/>
            <w:r>
              <w:t xml:space="preserve">0.075 (0.058–0.094)</w:t>
            </w:r>
          </w:p>
        </w:tc>
        <w:tc>
          <w:tcPr>
            <w:tcW w:w="1465" w:type="dxa"/>
          </w:tcPr>
          <w:p>
            <w:pPr/>
            <w:r>
              <w:t xml:space="preserve">0.085 (0.066–0.105)</w:t>
            </w:r>
          </w:p>
        </w:tc>
        <w:tc>
          <w:tcPr>
            <w:tcW w:w="1475" w:type="dxa"/>
          </w:tcPr>
          <w:p>
            <w:pPr/>
            <w:r>
              <w:t xml:space="preserve">0.175 (0.149–0.203)</w:t>
            </w:r>
          </w:p>
        </w:tc>
        <w:tc>
          <w:tcPr>
            <w:tcW w:w="1637" w:type="dxa"/>
          </w:tcPr>
          <w:p>
            <w:pPr/>
            <w:r>
              <w:t xml:space="preserve">+0.090 (0.062–0.120)</w:t>
            </w:r>
          </w:p>
        </w:tc>
        <w:tc>
          <w:tcPr>
            <w:tcW w:w="969" w:type="dxa"/>
          </w:tcPr>
          <w:p>
            <w:pPr/>
            <w:r>
              <w:t xml:space="preserve">24% / 9%</w:t>
            </w:r>
          </w:p>
        </w:tc>
        <w:tc>
          <w:tcPr>
            <w:tcW w:w="1134" w:type="dxa"/>
          </w:tcPr>
          <w:p>
            <w:pPr/>
            <w:r>
              <w:t xml:space="preserve">2 × 10⁻⁹</w:t>
            </w:r>
          </w:p>
        </w:tc>
      </w:tr>
      <w:tr>
        <w:tc>
          <w:tcPr>
            <w:tcW w:w="1186" w:type="dxa"/>
          </w:tcPr>
          <w:p>
            <w:pPr/>
            <w:r>
              <w:t xml:space="preserve">External, recent</w:t>
            </w:r>
          </w:p>
        </w:tc>
        <w:tc>
          <w:tcPr>
            <w:tcW w:w="1492" w:type="dxa"/>
          </w:tcPr>
          <w:p>
            <w:pPr/>
            <w:r>
              <w:t xml:space="preserve">0.097 (0.045–0.154)</w:t>
            </w:r>
          </w:p>
        </w:tc>
        <w:tc>
          <w:tcPr>
            <w:tcW w:w="1465" w:type="dxa"/>
          </w:tcPr>
          <w:p>
            <w:pPr/>
            <w:r>
              <w:t xml:space="preserve">0.119 (0.061–0.184)</w:t>
            </w:r>
          </w:p>
        </w:tc>
        <w:tc>
          <w:tcPr>
            <w:tcW w:w="1475" w:type="dxa"/>
          </w:tcPr>
          <w:p>
            <w:pPr/>
            <w:r>
              <w:t xml:space="preserve">0.344 (0.255–0.437)</w:t>
            </w:r>
          </w:p>
        </w:tc>
        <w:tc>
          <w:tcPr>
            <w:tcW w:w="1637" w:type="dxa"/>
          </w:tcPr>
          <w:p>
            <w:pPr/>
            <w:r>
              <w:t xml:space="preserve">+0.226 (0.132–0.322)</w:t>
            </w:r>
          </w:p>
        </w:tc>
        <w:tc>
          <w:tcPr>
            <w:tcW w:w="969" w:type="dxa"/>
          </w:tcPr>
          <w:p>
            <w:pPr/>
            <w:r>
              <w:t xml:space="preserve">29% / 4%</w:t>
            </w:r>
          </w:p>
        </w:tc>
        <w:tc>
          <w:tcPr>
            <w:tcW w:w="1134" w:type="dxa"/>
          </w:tcPr>
          <w:p>
            <w:pPr/>
            <w:r>
              <w:t xml:space="preserve">3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genes with at least one associated disease, without the 55 associated with 500 or more). Production: 3 genes, p &lt; 10⁻⁵. Permutation null on the external exam (100 random gene sets of the same size, genes drawn in proportion to their number of diseases): 5.2% on average, 99th percentile 5.6%. The last row is the rule of the first version, before both corrections.</w:t>
      </w:r>
    </w:p>
    <w:tbl>
      <w:tblPr>
        <w:tblStyle w:val="TableGrid"/>
        <w:tblW w:w="0" w:type="auto"/>
        <w:tblLayout w:type="fixed"/>
        <w:tblLook w:val="04A0" w:firstRow="1" w:lastRow="0" w:firstColumn="0" w:lastColumn="0" w:noHBand="0" w:noVBand="1"/>
      </w:tblPr>
      <w:tblGrid>
        <w:gridCol w:w="2249"/>
        <w:gridCol w:w="2445"/>
        <w:gridCol w:w="2409"/>
        <w:gridCol w:w="2256"/>
      </w:tblGrid>
      <w:tr>
        <w:trPr>
          <w:tblHeader/>
        </w:trPr>
        <w:tc>
          <w:tcPr>
            <w:tcW w:w="2249" w:type="dxa"/>
            <w:shd w:val="clear" w:color="auto" w:fill="F2F2F2"/>
          </w:tcPr>
          <w:p>
            <w:pPr/>
            <w:r>
              <w:t xml:space="preserve">Shared genes, p</w:t>
            </w:r>
          </w:p>
        </w:tc>
        <w:tc>
          <w:tcPr>
            <w:tcW w:w="2445" w:type="dxa"/>
            <w:shd w:val="clear" w:color="auto" w:fill="F2F2F2"/>
          </w:tcPr>
          <w:p>
            <w:pPr/>
            <w:r>
              <w:t xml:space="preserve">Benchmark</w:t>
            </w:r>
          </w:p>
        </w:tc>
        <w:tc>
          <w:tcPr>
            <w:tcW w:w="2409" w:type="dxa"/>
            <w:shd w:val="clear" w:color="auto" w:fill="F2F2F2"/>
          </w:tcPr>
          <w:p>
            <w:pPr/>
            <w:r>
              <w:t xml:space="preserve">Areas</w:t>
            </w:r>
          </w:p>
        </w:tc>
        <w:tc>
          <w:tcPr>
            <w:tcW w:w="2256" w:type="dxa"/>
            <w:shd w:val="clear" w:color="auto" w:fill="F2F2F2"/>
          </w:tcPr>
          <w:p>
            <w:pPr/>
            <w:r>
              <w:t xml:space="preserve">External</w:t>
            </w:r>
          </w:p>
        </w:tc>
      </w:tr>
      <w:tr>
        <w:tc>
          <w:tcPr>
            <w:tcW w:w="2249" w:type="dxa"/>
          </w:tcPr>
          <w:p>
            <w:pPr/>
            <w:r>
              <w:t xml:space="preserve">≥ 2, &lt; 10⁻³</w:t>
            </w:r>
          </w:p>
        </w:tc>
        <w:tc>
          <w:tcPr>
            <w:tcW w:w="2445" w:type="dxa"/>
          </w:tcPr>
          <w:p>
            <w:pPr/>
            <w:r>
              <w:t xml:space="preserve">21.4 (16.3–26.6; 2,194)</w:t>
            </w:r>
          </w:p>
        </w:tc>
        <w:tc>
          <w:tcPr>
            <w:tcW w:w="2409" w:type="dxa"/>
          </w:tcPr>
          <w:p>
            <w:pPr/>
            <w:r>
              <w:t xml:space="preserve">23.7 (19.5–27.9; 3,031)</w:t>
            </w:r>
          </w:p>
        </w:tc>
        <w:tc>
          <w:tcPr>
            <w:tcW w:w="2256" w:type="dxa"/>
          </w:tcPr>
          <w:p>
            <w:pPr/>
            <w:r>
              <w:t xml:space="preserve">4.1 (3.1–5.2; 4,751)</w:t>
            </w:r>
          </w:p>
        </w:tc>
      </w:tr>
      <w:tr>
        <w:tc>
          <w:tcPr>
            <w:tcW w:w="2249" w:type="dxa"/>
          </w:tcPr>
          <w:p>
            <w:pPr/>
            <w:r>
              <w:t xml:space="preserve">≥ 2, &lt; 10⁻⁵</w:t>
            </w:r>
          </w:p>
        </w:tc>
        <w:tc>
          <w:tcPr>
            <w:tcW w:w="2445" w:type="dxa"/>
          </w:tcPr>
          <w:p>
            <w:pPr/>
            <w:r>
              <w:t xml:space="preserve">24.4 (18.7–30.3; 1,899)</w:t>
            </w:r>
          </w:p>
        </w:tc>
        <w:tc>
          <w:tcPr>
            <w:tcW w:w="2409" w:type="dxa"/>
          </w:tcPr>
          <w:p>
            <w:pPr/>
            <w:r>
              <w:t xml:space="preserve">27.9 (23.4–32.7; 2,509)</w:t>
            </w:r>
          </w:p>
        </w:tc>
        <w:tc>
          <w:tcPr>
            <w:tcW w:w="2256" w:type="dxa"/>
          </w:tcPr>
          <w:p>
            <w:pPr/>
            <w:r>
              <w:t xml:space="preserve">4.4 (3.3–5.8; 3,914)</w:t>
            </w:r>
          </w:p>
        </w:tc>
      </w:tr>
      <w:tr>
        <w:tc>
          <w:tcPr>
            <w:tcW w:w="2249" w:type="dxa"/>
          </w:tcPr>
          <w:p>
            <w:pPr/>
            <w:r>
              <w:t xml:space="preserve">≥ 2, &lt; 10⁻⁷</w:t>
            </w:r>
          </w:p>
        </w:tc>
        <w:tc>
          <w:tcPr>
            <w:tcW w:w="2445" w:type="dxa"/>
          </w:tcPr>
          <w:p>
            <w:pPr/>
            <w:r>
              <w:t xml:space="preserve">27.3 (20.7–34.1; 1,648)</w:t>
            </w:r>
          </w:p>
        </w:tc>
        <w:tc>
          <w:tcPr>
            <w:tcW w:w="2409" w:type="dxa"/>
          </w:tcPr>
          <w:p>
            <w:pPr/>
            <w:r>
              <w:t xml:space="preserve">31.0 (25.8–36.4; 2,218)</w:t>
            </w:r>
          </w:p>
        </w:tc>
        <w:tc>
          <w:tcPr>
            <w:tcW w:w="2256" w:type="dxa"/>
          </w:tcPr>
          <w:p>
            <w:pPr/>
            <w:r>
              <w:t xml:space="preserve">4.8 (3.4–6.3; 3,304)</w:t>
            </w:r>
          </w:p>
        </w:tc>
      </w:tr>
      <w:tr>
        <w:tc>
          <w:tcPr>
            <w:tcW w:w="2249" w:type="dxa"/>
          </w:tcPr>
          <w:p>
            <w:pPr/>
            <w:r>
              <w:t xml:space="preserve">≥ 3, &lt; 10⁻³</w:t>
            </w:r>
          </w:p>
        </w:tc>
        <w:tc>
          <w:tcPr>
            <w:tcW w:w="2445" w:type="dxa"/>
          </w:tcPr>
          <w:p>
            <w:pPr/>
            <w:r>
              <w:t xml:space="preserve">22.4 (17.0–28.3; 1,995)</w:t>
            </w:r>
          </w:p>
        </w:tc>
        <w:tc>
          <w:tcPr>
            <w:tcW w:w="2409" w:type="dxa"/>
          </w:tcPr>
          <w:p>
            <w:pPr/>
            <w:r>
              <w:t xml:space="preserve">24.5 (20.1–29.0; 2,844)</w:t>
            </w:r>
          </w:p>
        </w:tc>
        <w:tc>
          <w:tcPr>
            <w:tcW w:w="2256" w:type="dxa"/>
          </w:tcPr>
          <w:p>
            <w:pPr/>
            <w:r>
              <w:t xml:space="preserve">4.2 (3.1–5.4; 4,451)</w:t>
            </w:r>
          </w:p>
        </w:tc>
      </w:tr>
      <w:tr>
        <w:tc>
          <w:tcPr>
            <w:tcW w:w="2249" w:type="dxa"/>
          </w:tcPr>
          <w:p>
            <w:pPr/>
            <w:r>
              <w:rPr>
                <w:b/>
              </w:rPr>
              <w:t xml:space="preserve">≥ 3, &lt; 10⁻⁵ (production)</w:t>
            </w:r>
          </w:p>
        </w:tc>
        <w:tc>
          <w:tcPr>
            <w:tcW w:w="2445" w:type="dxa"/>
          </w:tcPr>
          <w:p>
            <w:pPr/>
            <w:r>
              <w:t xml:space="preserve">24.3 (18.4–30.3; 1,834)</w:t>
            </w:r>
          </w:p>
        </w:tc>
        <w:tc>
          <w:tcPr>
            <w:tcW w:w="2409" w:type="dxa"/>
          </w:tcPr>
          <w:p>
            <w:pPr/>
            <w:r>
              <w:t xml:space="preserve">27.7 (23.0–32.5; 2,483)</w:t>
            </w:r>
          </w:p>
        </w:tc>
        <w:tc>
          <w:tcPr>
            <w:tcW w:w="2256" w:type="dxa"/>
          </w:tcPr>
          <w:p>
            <w:pPr/>
            <w:r>
              <w:t xml:space="preserve">4.4 (3.2–5.8; 3,844)</w:t>
            </w:r>
          </w:p>
        </w:tc>
      </w:tr>
      <w:tr>
        <w:tc>
          <w:tcPr>
            <w:tcW w:w="2249" w:type="dxa"/>
          </w:tcPr>
          <w:p>
            <w:pPr/>
            <w:r>
              <w:t xml:space="preserve">≥ 3, &lt; 10⁻⁷</w:t>
            </w:r>
          </w:p>
        </w:tc>
        <w:tc>
          <w:tcPr>
            <w:tcW w:w="2445" w:type="dxa"/>
          </w:tcPr>
          <w:p>
            <w:pPr/>
            <w:r>
              <w:t xml:space="preserve">26.7 (20.1–33.4; 1,633)</w:t>
            </w:r>
          </w:p>
        </w:tc>
        <w:tc>
          <w:tcPr>
            <w:tcW w:w="2409" w:type="dxa"/>
          </w:tcPr>
          <w:p>
            <w:pPr/>
            <w:r>
              <w:t xml:space="preserve">30.8 (25.5–36.1; 2,213)</w:t>
            </w:r>
          </w:p>
        </w:tc>
        <w:tc>
          <w:tcPr>
            <w:tcW w:w="2256" w:type="dxa"/>
          </w:tcPr>
          <w:p>
            <w:pPr/>
            <w:r>
              <w:t xml:space="preserve">4.7 (3.4–6.3; 3,298)</w:t>
            </w:r>
          </w:p>
        </w:tc>
      </w:tr>
      <w:tr>
        <w:tc>
          <w:tcPr>
            <w:tcW w:w="2249" w:type="dxa"/>
          </w:tcPr>
          <w:p>
            <w:pPr/>
            <w:r>
              <w:t xml:space="preserve">≥ 4, &lt; 10⁻³</w:t>
            </w:r>
          </w:p>
        </w:tc>
        <w:tc>
          <w:tcPr>
            <w:tcW w:w="2445" w:type="dxa"/>
          </w:tcPr>
          <w:p>
            <w:pPr/>
            <w:r>
              <w:t xml:space="preserve">23.1 (17.3–29.3; 1,857)</w:t>
            </w:r>
          </w:p>
        </w:tc>
        <w:tc>
          <w:tcPr>
            <w:tcW w:w="2409" w:type="dxa"/>
          </w:tcPr>
          <w:p>
            <w:pPr/>
            <w:r>
              <w:t xml:space="preserve">25.5 (21.0–30.2; 2,649)</w:t>
            </w:r>
          </w:p>
        </w:tc>
        <w:tc>
          <w:tcPr>
            <w:tcW w:w="2256" w:type="dxa"/>
          </w:tcPr>
          <w:p>
            <w:pPr/>
            <w:r>
              <w:t xml:space="preserve">4.2 (3.1–5.5; 4,121)</w:t>
            </w:r>
          </w:p>
        </w:tc>
      </w:tr>
      <w:tr>
        <w:tc>
          <w:tcPr>
            <w:tcW w:w="2249" w:type="dxa"/>
          </w:tcPr>
          <w:p>
            <w:pPr/>
            <w:r>
              <w:t xml:space="preserve">≥ 4, &lt; 10⁻⁵</w:t>
            </w:r>
          </w:p>
        </w:tc>
        <w:tc>
          <w:tcPr>
            <w:tcW w:w="2445" w:type="dxa"/>
          </w:tcPr>
          <w:p>
            <w:pPr/>
            <w:r>
              <w:t xml:space="preserve">24.1 (18.2–30.5; 1,769)</w:t>
            </w:r>
          </w:p>
        </w:tc>
        <w:tc>
          <w:tcPr>
            <w:tcW w:w="2409" w:type="dxa"/>
          </w:tcPr>
          <w:p>
            <w:pPr/>
            <w:r>
              <w:t xml:space="preserve">28.0 (23.1–33.0; 2,391)</w:t>
            </w:r>
          </w:p>
        </w:tc>
        <w:tc>
          <w:tcPr>
            <w:tcW w:w="2256" w:type="dxa"/>
          </w:tcPr>
          <w:p>
            <w:pPr/>
            <w:r>
              <w:t xml:space="preserve">4.5 (3.2–5.9; 3,717)</w:t>
            </w:r>
          </w:p>
        </w:tc>
      </w:tr>
      <w:tr>
        <w:tc>
          <w:tcPr>
            <w:tcW w:w="2249" w:type="dxa"/>
          </w:tcPr>
          <w:p>
            <w:pPr/>
            <w:r>
              <w:t xml:space="preserve">≥ 4, &lt; 10⁻⁷</w:t>
            </w:r>
          </w:p>
        </w:tc>
        <w:tc>
          <w:tcPr>
            <w:tcW w:w="2445" w:type="dxa"/>
          </w:tcPr>
          <w:p>
            <w:pPr/>
            <w:r>
              <w:t xml:space="preserve">26.1 (19.7–33.0; 1,599)</w:t>
            </w:r>
          </w:p>
        </w:tc>
        <w:tc>
          <w:tcPr>
            <w:tcW w:w="2409" w:type="dxa"/>
          </w:tcPr>
          <w:p>
            <w:pPr/>
            <w:r>
              <w:t xml:space="preserve">30.4 (25.2–36.0; 2,181)</w:t>
            </w:r>
          </w:p>
        </w:tc>
        <w:tc>
          <w:tcPr>
            <w:tcW w:w="2256" w:type="dxa"/>
          </w:tcPr>
          <w:p>
            <w:pPr/>
            <w:r>
              <w:t xml:space="preserve">4.7 (3.4–6.3; 3,251)</w:t>
            </w:r>
          </w:p>
        </w:tc>
      </w:tr>
      <w:tr>
        <w:tc>
          <w:tcPr>
            <w:tcW w:w="2249" w:type="dxa"/>
          </w:tcPr>
          <w:p>
            <w:pPr/>
            <w:r>
              <w:t xml:space="preserve">≥ 5, &lt; 10⁻³</w:t>
            </w:r>
          </w:p>
        </w:tc>
        <w:tc>
          <w:tcPr>
            <w:tcW w:w="2445" w:type="dxa"/>
          </w:tcPr>
          <w:p>
            <w:pPr/>
            <w:r>
              <w:t xml:space="preserve">22.9 (16.7–29.1; 1,762)</w:t>
            </w:r>
          </w:p>
        </w:tc>
        <w:tc>
          <w:tcPr>
            <w:tcW w:w="2409" w:type="dxa"/>
          </w:tcPr>
          <w:p>
            <w:pPr/>
            <w:r>
              <w:t xml:space="preserve">26.0 (21.3–30.9; 2,546)</w:t>
            </w:r>
          </w:p>
        </w:tc>
        <w:tc>
          <w:tcPr>
            <w:tcW w:w="2256" w:type="dxa"/>
          </w:tcPr>
          <w:p>
            <w:pPr/>
            <w:r>
              <w:t xml:space="preserve">4.2 (3.0–5.5; 3,873)</w:t>
            </w:r>
          </w:p>
        </w:tc>
      </w:tr>
      <w:tr>
        <w:tc>
          <w:tcPr>
            <w:tcW w:w="2249" w:type="dxa"/>
          </w:tcPr>
          <w:p>
            <w:pPr/>
            <w:r>
              <w:t xml:space="preserve">≥ 5, &lt; 10⁻⁵</w:t>
            </w:r>
          </w:p>
        </w:tc>
        <w:tc>
          <w:tcPr>
            <w:tcW w:w="2445" w:type="dxa"/>
          </w:tcPr>
          <w:p>
            <w:pPr/>
            <w:r>
              <w:t xml:space="preserve">23.7 (17.5–30.1; 1,697)</w:t>
            </w:r>
          </w:p>
        </w:tc>
        <w:tc>
          <w:tcPr>
            <w:tcW w:w="2409" w:type="dxa"/>
          </w:tcPr>
          <w:p>
            <w:pPr/>
            <w:r>
              <w:t xml:space="preserve">28.3 (23.2–33.4; 2,325)</w:t>
            </w:r>
          </w:p>
        </w:tc>
        <w:tc>
          <w:tcPr>
            <w:tcW w:w="2256" w:type="dxa"/>
          </w:tcPr>
          <w:p>
            <w:pPr/>
            <w:r>
              <w:t xml:space="preserve">4.4 (3.1–5.8; 3,543)</w:t>
            </w:r>
          </w:p>
        </w:tc>
      </w:tr>
      <w:tr>
        <w:tc>
          <w:tcPr>
            <w:tcW w:w="2249" w:type="dxa"/>
          </w:tcPr>
          <w:p>
            <w:pPr/>
            <w:r>
              <w:t xml:space="preserve">≥ 5, &lt; 10⁻⁷</w:t>
            </w:r>
          </w:p>
        </w:tc>
        <w:tc>
          <w:tcPr>
            <w:tcW w:w="2445" w:type="dxa"/>
          </w:tcPr>
          <w:p>
            <w:pPr/>
            <w:r>
              <w:t xml:space="preserve">25.9 (19.2–33.0; 1,551)</w:t>
            </w:r>
          </w:p>
        </w:tc>
        <w:tc>
          <w:tcPr>
            <w:tcW w:w="2409" w:type="dxa"/>
          </w:tcPr>
          <w:p>
            <w:pPr/>
            <w:r>
              <w:t xml:space="preserve">30.5 (25.2–36.0; 2,144)</w:t>
            </w:r>
          </w:p>
        </w:tc>
        <w:tc>
          <w:tcPr>
            <w:tcW w:w="2256" w:type="dxa"/>
          </w:tcPr>
          <w:p>
            <w:pPr/>
            <w:r>
              <w:t xml:space="preserve">4.5 (3.2–6.1; 3,164)</w:t>
            </w:r>
          </w:p>
        </w:tc>
      </w:tr>
      <w:tr>
        <w:tc>
          <w:tcPr>
            <w:tcW w:w="2249" w:type="dxa"/>
          </w:tcPr>
          <w:p>
            <w:pPr/>
            <w:r>
              <w:t xml:space="preserve">≥ 3, &lt; 10⁻⁵, ≥ 3 specific genes</w:t>
            </w:r>
          </w:p>
        </w:tc>
        <w:tc>
          <w:tcPr>
            <w:tcW w:w="2445" w:type="dxa"/>
          </w:tcPr>
          <w:p>
            <w:pPr/>
            <w:r>
              <w:t xml:space="preserve">31.0 (23.0–38.7; 1,237)</w:t>
            </w:r>
          </w:p>
        </w:tc>
        <w:tc>
          <w:tcPr>
            <w:tcW w:w="2409" w:type="dxa"/>
          </w:tcPr>
          <w:p>
            <w:pPr/>
            <w:r>
              <w:t xml:space="preserve">34.1 (28.1–40.1; 1,788)</w:t>
            </w:r>
          </w:p>
        </w:tc>
        <w:tc>
          <w:tcPr>
            <w:tcW w:w="2256" w:type="dxa"/>
          </w:tcPr>
          <w:p>
            <w:pPr/>
            <w:r>
              <w:t xml:space="preserve">4.8 (3.4–6.5; 2,905)</w:t>
            </w:r>
          </w:p>
        </w:tc>
      </w:tr>
      <w:tr>
        <w:tc>
          <w:tcPr>
            <w:tcW w:w="2249" w:type="dxa"/>
          </w:tcPr>
          <w:p>
            <w:pPr/>
            <w:r>
              <w:t xml:space="preserve">Before the correction: ≥ 3, &lt; 10⁻⁶, population counting diseases too</w:t>
            </w:r>
          </w:p>
        </w:tc>
        <w:tc>
          <w:tcPr>
            <w:tcW w:w="2445" w:type="dxa"/>
          </w:tcPr>
          <w:p>
            <w:pPr/>
            <w:r>
              <w:t xml:space="preserve">22.7 (17.3–28.6; 1,992)</w:t>
            </w:r>
          </w:p>
        </w:tc>
        <w:tc>
          <w:tcPr>
            <w:tcW w:w="2409" w:type="dxa"/>
          </w:tcPr>
          <w:p>
            <w:pPr/>
            <w:r>
              <w:t xml:space="preserve">25.2 (20.8–29.6; 2,725)</w:t>
            </w:r>
          </w:p>
        </w:tc>
        <w:tc>
          <w:tcPr>
            <w:tcW w:w="2256"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node/5705ebe6-3020@194 docx-w7</dc:description>
  <cp:revision>194</cp:revision>
</cp:coreProperties>
</file>