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Universidad de Deusto</w:t>
        <w:br/>
      </w:r>
      <w:r>
        <w:t>Competitividad Empresarial y Territorial, Innovación y Sostenibilidad (CETIS)</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el programa CETIS y en la agenda de competitividad territorial e innovación regional del Instituto Orkestra (Wilson, Magro): el constructo GDA opera como un mecanismo de upgrading en cadenas globales que reposiciona competitivamente a los territorios productores, traduciendo capacidades de gobernanza colectiva en retención de valor (VCO) y diferenciación regional sostenible.</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