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Universidad de Deusto</w:t>
        <w:br/>
      </w:r>
      <w:r>
        <w:t>Business and Territorial Competitiveness, Innovation and Sustainability (CETIS)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CETIS programme and the territorial competitiveness and regional innovation agenda of the Orkestra Institute (Wilson, Magro): the ADG construct operates as an upgrading mechanism in global chains that competitively repositions producer territories, translating collective-governance capabilities into value retention (VCO) and sustainable regional differentiation.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