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Mondragon Unibertsitatea</w:t>
        <w:br/>
      </w:r>
      <w:r>
        <w:t>Gestión Avanzada de Organizaciones y Economía Social</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dialoga con la tradición de economía social y gobernanza cooperativa democrática que define a Mondragón: el subsistema social de la GDA se fundamenta en los principios ostromianos de acción colectiva y autogobierno, y examina cómo las organizaciones asociativas caficultoras pueden gobernar democráticamente una infraestructura digital común para capturar valor en origen.</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