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PROPUESTA DE INVESTIGACIÓN</w:t>
      </w:r>
    </w:p>
    <w:p>
      <w:pPr>
        <w:jc w:val="center"/>
      </w:pPr>
      <w:r>
        <w:rPr>
          <w:b/>
        </w:rPr>
        <w:t>Universitat Politècnica de València</w:t>
        <w:br/>
      </w:r>
      <w:r>
        <w:t>Doctorado (Cadenas agroalimentarias digitales)</w:t>
        <w:br/>
      </w:r>
      <w:r>
        <w:t>Proponente: Daniel Alejandro Pajoy Bastos</w:t>
      </w:r>
    </w:p>
    <w:p/>
    <w:p>
      <w:pPr>
        <w:pStyle w:val="Heading1"/>
      </w:pPr>
      <w:r>
        <w:t>1. Título provisional y palabras clave</w:t>
      </w:r>
    </w:p>
    <w:p>
      <w:r>
        <w:rPr>
          <w:b/>
        </w:rPr>
        <w:t xml:space="preserve">Título: </w:t>
      </w:r>
      <w:r>
        <w:t>Gobernanza digital asociativa: un modelo sociotécnico para la captura de valor en origen en organizaciones caficultoras de territorios PDET de Colombia</w:t>
      </w:r>
    </w:p>
    <w:p>
      <w:r>
        <w:rPr>
          <w:b/>
        </w:rPr>
        <w:t xml:space="preserve">Pregunta de investigación: </w:t>
      </w:r>
      <w:r>
        <w:t>¿Cómo un modelo sociotécnico de gobernanza digital asociativa habilita a las organizaciones caficultoras de pequeña escala en territorios PDET de Colombia para incrementar la proporción de valor capturado en origen (VCO) en la cadena global de valor del café?</w:t>
      </w:r>
    </w:p>
    <w:p>
      <w:r>
        <w:rPr>
          <w:b/>
        </w:rPr>
        <w:t xml:space="preserve">Palabras clave: </w:t>
      </w:r>
      <w:r>
        <w:t>Gobernanza digital asociativa; Cadenas globales de valor; Captura de valor en origen; Acción colectiva; Soberanía de datos.</w:t>
      </w:r>
    </w:p>
    <w:p>
      <w:pPr>
        <w:pStyle w:val="Heading1"/>
      </w:pPr>
      <w:r>
        <w:t>2. Planteamiento del problema y justificación</w:t>
      </w:r>
    </w:p>
    <w:p>
      <w:pPr>
        <w:spacing w:after="160"/>
        <w:jc w:val="both"/>
      </w:pPr>
      <w:r>
        <w:t>Las organizaciones productoras de café en el Sur Global retienen apenas entre el 7 % y el 10 % del precio final al consumidor (Fitter &amp; Kaplinsky, 2001; Talbot, 1997). Esta brecha no es una anomalía de mercado, sino el efecto de arquitecturas de gobernanza cautiva en las cadenas globales de valor (CGV), que concentran la captura de renta en los eslabones de torrefacción y distribución y transfieren los riesgos climáticos y de precio hacia la base productora (Gereffi et al., 2005; Grabs &amp; Ponte, 2019). El problema central de esta investigación es, por tanto, la baja proporción de valor capturado en origen (VCO): la fracción del valor de la cadena que las organizaciones caficultoras logran retener en el territorio.</w:t>
      </w:r>
    </w:p>
    <w:p>
      <w:pPr>
        <w:spacing w:after="160"/>
        <w:jc w:val="both"/>
      </w:pPr>
      <w:r>
        <w:t>En Colombia, este problema se agudiza en los territorios de los Programas de Desarrollo con Enfoque Territorial (PDET), política de implementación del Acuerdo de Paz de 2016 que abarca 170 municipios, 16 subregiones y más de seis millones de personas en zonas de alta vulnerabilidad histórica (Decreto 893/2017). Allí, las organizaciones caficultoras de pequeña escala enfrentan cuatro déficits estructurales que, combinados, bloquean cualquier incremento sostenible del VCO: (i) déficits de gobernanza organizacional heredados del conflicto armado (Ostrom, 1990; Rettberg, 2010); (ii) posicionamiento cautivo en la CGV (Gereffi et al., 2005; Hornborg, 2016); (iii) exclusión digital que amenaza el cumplimiento del Reglamento de Deforestación de la Unión Europea (EUDR, Reglamento 2023/1115), vigente para el café desde 2026; y (iv) exclusión de las arquitecturas de financiamiento y trazabilidad que podrían reposicionarlas en la cadena. Estos déficits se retroalimentan y reproducen la posición periférica del productor colombiano en el sistema-mundo del café (Wallerstein, 1974): los instrumentos parciales —tecnología sin gobernanza colectiva, certificación sin poder de negociación, financiamiento sin trazabilidad— no se traducen en retención de renta.</w:t>
      </w:r>
    </w:p>
    <w:p>
      <w:pPr>
        <w:spacing w:after="160"/>
        <w:jc w:val="both"/>
      </w:pPr>
      <w:r>
        <w:t>La literatura sobre CGV describe con precisión los mecanismos de extracción de renta, pero no especifica las condiciones de gobernanza bajo las cuales las organizaciones de pequeños productores pueden reposicionarse para incrementar su VCO (Gereffi et al., 2005; Grabs &amp; Ponte, 2019). La teoría ostromiana de la acción colectiva establece los principios institucionales para la gobernanza sostenible de los comunes, pero no incorpora ni la mediación digital ni los contextos de posconflicto de baja madurez institucional (Ostrom, 1990; Agrawal, 2001). La literatura emergente sobre gobernanza digital y registros distribuidos explora la reducción de asimetrías de información, pero no la articula con la gobernanza institucional colectiva en territorios de alta fragilidad (Werbach, 2018). Persiste así un vacío: ningún modelo integra la gobernanza asociativa, la arquitectura sociotécnica y la medición del valor retenido en un constructo aplicable a organizaciones caficultoras de pequeña escala en posconflicto.</w:t>
      </w:r>
    </w:p>
    <w:p>
      <w:pPr>
        <w:spacing w:after="160"/>
        <w:jc w:val="both"/>
      </w:pPr>
      <w:r>
        <w:t>Esta investigación responde a ese vacío mediante un modelo sociotécnico de Gobernanza Digital Asociativa (GDA): un constructo en el que la gobernanza institucional colectiva (subsistema social) y una arquitectura digital de confianza —trazabilidad y soberanía de datos— (subsistema técnico) se optimizan conjuntamente —el principio nuclear de la teoría sociotécnica (Abbas &amp; Michael, 2026), cuyo origen (Trist &amp; Bamforth, 1951) conserva plena vigencia analítica en la era de la Industria 4.0 (Horváth &amp; Kemser, 2026)— para habilitar el incremento del VCO. La contribución esperada es triple: teórica —un modelo integrador de gobernanza digital-institucional para el posconflicto agroalimentario—; metodológica —un protocolo de Design Science Research mixto y secuencial, replicable en otros contextos del Sur Global—; y praxeológica —artefactos directamente implementables por las organizaciones y escalables a otras cadenas agroalimentarias—. El proyecto es viable en cuatro años (2026–2029) y cuenta con acceso directo al campo a través de la Federación Mesa Nacional del Café, que agremia a las asociaciones caficultoras firmantes de paz.</w:t>
      </w:r>
    </w:p>
    <w:p>
      <w:pPr>
        <w:pStyle w:val="Heading1"/>
      </w:pPr>
      <w:r>
        <w:t>3. Estado del arte y encuadre teórico</w:t>
      </w:r>
    </w:p>
    <w:p>
      <w:pPr>
        <w:spacing w:after="160"/>
        <w:jc w:val="both"/>
      </w:pPr>
      <w:r>
        <w:t>Las cadenas globales de valor (CGV) constituyen el marco analítico central de esta investigación: determinan quién define los estándares de calidad y sostenibilidad, quién fija los precios de referencia y, en última instancia, quién retiene la renta generada a lo largo de la cadena (Gereffi et al., 2005). En las cadenas cautivas que caracterizan al café convencional colombiano, los compradores internacionales ejercen un poder estructural que Wallerstein (1974) denominó intercambio desigual y que Grabs y Ponte (2019) mostraron reproducido, paradójicamente, por los propios estándares privados de sostenibilidad. La teoría del upgrading (Humphrey &amp; Schmitz, 2002) identifica trayectorias de mejora de posición cuya activación exige una combinación de capacidades organizacionales, acceso tecnológico y vínculos institucionales que las organizaciones caficultoras en posconflicto raramente poseen de manera simultánea. El marco de las redes de producción global (GPN 2.0) (Yeung &amp; Coe, 2015) completa el encuadre al incorporar los actores no empresariales —Estado, sociedad civil y cooperación internacional— que configuran las condiciones territoriales del posconflicto y resultan invisibles en la tipología clásica de CGV.</w:t>
      </w:r>
    </w:p>
    <w:p>
      <w:pPr>
        <w:spacing w:after="160"/>
        <w:jc w:val="both"/>
      </w:pPr>
      <w:r>
        <w:t>La tradición de la gobernanza de los comunes (Ostrom, 1990) ofrece el marco más robusto para entender las condiciones bajo las cuales las organizaciones de pequeños productores gestionan recursos colectivos de manera sostenible. Sus ocho principios de diseño institucional han sido validados en múltiples contextos agroalimentarios (Agrawal, 2001) y constituyen la base empírica para construir indicadores de gobernanza colectiva. Sin embargo, su extensión a entornos posconflicto —donde el capital social fue sistemáticamente destruido por el conflicto armado (Rettberg, 2010) y los fallos de gobernanza cooperativa son estructurales (Ortmann &amp; King, 2007)— exige adaptar los principios originales a condiciones de alta fragilidad institucional. La investigación-acción participativa (Fals Borda, 1986) aporta el fundamento epistemológico: el conocimiento sobre la gobernanza territorial posconflicto debe co-construirse con las comunidades, no imponerse desde marcos diseñados en contextos de alta madurez institucional.</w:t>
      </w:r>
    </w:p>
    <w:p>
      <w:pPr>
        <w:spacing w:after="160"/>
        <w:jc w:val="both"/>
      </w:pPr>
      <w:r>
        <w:t>El puente entre la gobernanza colectiva y la dimensión digital lo provee la teoría sociotécnica, que conceptualiza todo sistema de trabajo como la articulación de un subsistema social y uno técnico cuyo desempeño depende de su optimización conjunta (Abbas &amp; Michael, 2026). Originada en los estudios del Instituto Tavistock sobre la mecanización minera (Trist &amp; Bamforth, 1951) y desarrollada hacia el análisis de entornos organizacionales complejos (Emery &amp; Trist, 1965; Trist, 1981), esta tradición demuestra que la introducción de tecnología que ignora el subsistema social degrada el desempeño del conjunto —un principio cuya vigencia se reafirma en la era de la Industria 4.0 (Horváth &amp; Kemser, 2026). Para esta investigación, ello implica que ninguna arquitectura digital puede incrementar el VCO si no se diseña conjuntamente con la gobernanza asociativa que la opera.</w:t>
      </w:r>
    </w:p>
    <w:p>
      <w:pPr>
        <w:spacing w:after="160"/>
        <w:jc w:val="both"/>
      </w:pPr>
      <w:r>
        <w:t>Sobre esa base, la gobernanza digital y los registros distribuidos emergen como mecanismos con potencial transformador para las cadenas agroalimentarias: reducen asimetrías de información, habilitan trazabilidad georreferenciada verificable —condición técnica del EUDR— y pueden automatizar la distribución de beneficios dentro de las organizaciones (Werbach, 2018; Elmatsani et al., 2026). No obstante, estos mecanismos solo producen retención de renta territorial cuando operan sobre una base de gobernanza colectiva sólida (Cong et al., 2020; Schletz et al., 2023): la tecnología sin gobernanza reproduce y amplifica las asimetrías de poder existentes. De la articulación de estas cuatro tradiciones —CGV, gobernanza de los comunes, teoría sociotécnica y gobernanza digital— surge el constructo de Gobernanza Digital Asociativa (GDA), que especifica las condiciones de gobernanza bajo las cuales un subsistema social asociativo y un subsistema técnico digital, optimizados conjuntamente, habilitan a las organizaciones caficultoras de pequeña escala para incrementar su valor capturado en origen.</w:t>
      </w:r>
    </w:p>
    <w:p>
      <w:pPr>
        <w:spacing w:after="160"/>
        <w:jc w:val="both"/>
      </w:pPr>
      <w:r>
        <w:t>Esta investigación se inscribe en la línea de digitalización de cadenas agroalimentarias: el subsistema técnico de la GDA —trazabilidad inmutable, IoT y cumplimiento del EUDR— se diseña conjuntamente con la gobernanza asociativa que lo opera, demostrando que la arquitectura digital solo produce retención de valor cuando se ancla en una base institucional colectiva.</w:t>
      </w:r>
    </w:p>
    <w:p>
      <w:pPr>
        <w:pStyle w:val="Heading1"/>
      </w:pPr>
      <w:r>
        <w:t>4. Orientación metodológica</w:t>
      </w:r>
    </w:p>
    <w:p>
      <w:pPr>
        <w:spacing w:after="160"/>
        <w:jc w:val="both"/>
      </w:pPr>
      <w:r>
        <w:t>La investigación adopta el paradigma de Design Science Research (DSR) (Hevner et al., 2004), que combina el rigor empírico de la investigación científica con la relevancia práctica del diseño de artefactos implementables. El enfoque es mixto secuencial: el diagnóstico cualitativo de la Fase I calibra el diseño del modelo en la Fase II, y el consenso experto de la Fase II provee las distribuciones de entrada de la simulación estocástica de la Fase III.</w:t>
      </w:r>
    </w:p>
    <w:p>
      <w:pPr>
        <w:spacing w:after="160"/>
        <w:jc w:val="both"/>
      </w:pPr>
      <w:r>
        <w:t>La Fase I — Diagnóstica establece la línea base del Valor Capturado en Origen (VCO₀): la proporción del precio final que retiene hoy la organización en la cadena global de valor. Combina entrevistas semiestructuradas con líderes de organizaciones caficultoras, análisis de redes sociales (SNA) para mapear el capital social posconflicto, y mapeo de la CGV para cuantificar la distribución actual del valor a lo largo de la cadena del café colombiano. En paralelo, se construye el Índice de Consolidación PDET (IPDET) —que integra consolidación institucional, condiciones de seguridad e implementación del Acuerdo de Paz— como variable moderadora que permite extrapolar el efecto del modelo desde el caso de validación hacia los distintos contextos de los territorios PDET del país.</w:t>
      </w:r>
    </w:p>
    <w:p>
      <w:pPr>
        <w:spacing w:after="160"/>
        <w:jc w:val="both"/>
      </w:pPr>
      <w:r>
        <w:t>La Fase II — Constructiva diseña, prototipa e itera los mecanismos del modelo GDA mediante talleres de diseño participativo con las comunidades caficultoras y un panel Delphi de validación de consenso. El Delphi no solo valida el diseño: sus rangos de estimación sobre el Índice de Gobernanza (IG), el componente tecnológico y el comportamiento del IPDET constituyen las distribuciones a priori que alimentan la simulación de la Fase III.</w:t>
      </w:r>
    </w:p>
    <w:p>
      <w:pPr>
        <w:spacing w:after="160"/>
        <w:jc w:val="both"/>
      </w:pPr>
      <w:r>
        <w:t>La Fase III — Evaluativa cuantifica el efecto del modelo sobre el VCO y prueba la hipótesis central mediante una simulación de Monte Carlo de al menos 10.000 iteraciones con índices de sensibilidad de Sobol. La pregunta evaluativa principal es: ¿qué subsistema contribuye más a la varianza del VCO, el bloque de gobernanza (IG) o el bloque tecnológico? Los índices de Sobol descomponen la varianza total del VCO en la contribución de cada variable, permitiendo una evaluación empírica de la hipótesis central —la gobernanza explica más varianza que la tecnología en la captura de valor en origen—. Como prueba de robustez, un análisis de escenarios adversos (pruebas de estrés) —caída de precios, deterioro de seguridad, fallo institucional— verifica si el incremento del VCO se sostiene bajo condiciones de estrés y resulta generalizable más allá del escenario base. Un estudio de caso embebido longitudinal en organizaciones piloto de territorios PDET y una encuesta a la red FEMNCAFE completan la validación empírica y de transferibilidad. El diseño ético incluye aprobación del comité de ética institucional, protocolos de consentimiento informado adaptados al contexto cultural y de seguridad de los territorios PDET, y mecanismos de soberanía de datos de la trazabilidad digital.</w:t>
      </w:r>
    </w:p>
    <w:p>
      <w:pPr>
        <w:pStyle w:val="Heading1"/>
      </w:pPr>
      <w:r>
        <w:t>5. Referencias</w:t>
      </w:r>
    </w:p>
    <w:p>
      <w:pPr>
        <w:spacing w:after="80"/>
        <w:ind w:left="360" w:hanging="360"/>
      </w:pPr>
      <w:r>
        <w:t>Abbas, R., &amp; Michael, K. (2026). Socio-technical theory: A review. En S. Papagiannidis (Ed.), TheoryHub book. https://open.ncl.ac.uk (ISBN 9781739604400)</w:t>
      </w:r>
    </w:p>
    <w:p>
      <w:pPr>
        <w:spacing w:after="80"/>
        <w:ind w:left="360" w:hanging="360"/>
      </w:pPr>
      <w:r>
        <w:t>Agrawal, A. (2001). Common property institutions and sustainable governance of resources. World Development, 29(10), 1649–1672. https://doi.org/10.1016/S0305-750X(01)00063-8</w:t>
      </w:r>
    </w:p>
    <w:p>
      <w:pPr>
        <w:spacing w:after="80"/>
        <w:ind w:left="360" w:hanging="360"/>
      </w:pPr>
      <w:r>
        <w:t>Cong, L. W., Li, Y., &amp; Wang, N. (2020). Tokenomics: Dynamic adoption and valuation. The Review of Financial Studies, 34(3), 1105–1155. https://doi.org/10.1093/rfs/hhaa089</w:t>
      </w:r>
    </w:p>
    <w:p>
      <w:pPr>
        <w:spacing w:after="80"/>
        <w:ind w:left="360" w:hanging="360"/>
      </w:pPr>
      <w:r>
        <w:t>Elmatsani, H. M., et al. (2026). Bridging the governance gap in agricultural blockchain-based smart contracts. Frontiers in Blockchain. https://doi.org/10.3389/fbloc.2026.1762861</w:t>
      </w:r>
    </w:p>
    <w:p>
      <w:pPr>
        <w:spacing w:after="80"/>
        <w:ind w:left="360" w:hanging="360"/>
      </w:pPr>
      <w:r>
        <w:t>Emery, F. E., &amp; Trist, E. L. (1965). The causal texture of organizational environments. Human Relations, 18(1), 21–32. https://doi.org/10.1177/001872676501800103</w:t>
      </w:r>
    </w:p>
    <w:p>
      <w:pPr>
        <w:spacing w:after="80"/>
        <w:ind w:left="360" w:hanging="360"/>
      </w:pPr>
      <w:r>
        <w:t>Fals Borda, O. (1986). Conocimiento y poder popular. Siglo XXI Editores.</w:t>
      </w:r>
    </w:p>
    <w:p>
      <w:pPr>
        <w:spacing w:after="80"/>
        <w:ind w:left="360" w:hanging="360"/>
      </w:pPr>
      <w:r>
        <w:t>Fitter, R., &amp; Kaplinsky, R. (2001). Who gains from product rents as the coffee market becomes more differentiated? IDS Bulletin, 32(3), 69–82. https://doi.org/10.1111/j.1759-5436.2001.mp32003008.x</w:t>
      </w:r>
    </w:p>
    <w:p>
      <w:pPr>
        <w:spacing w:after="80"/>
        <w:ind w:left="360" w:hanging="360"/>
      </w:pPr>
      <w:r>
        <w:t>Gereffi, G., Humphrey, J., &amp; Sturgeon, T. (2005). The governance of global value chains. Review of International Political Economy, 12(1), 78–104. https://doi.org/10.1080/09692290500049805</w:t>
      </w:r>
    </w:p>
    <w:p>
      <w:pPr>
        <w:spacing w:after="80"/>
        <w:ind w:left="360" w:hanging="360"/>
      </w:pPr>
      <w:r>
        <w:t>Grabs, J., &amp; Ponte, S. (2019). The evolution of power in the global coffee value chain and production network. Journal of Economic Geography, 19(4), 803–828. https://doi.org/10.1093/jeg/lbz008</w:t>
      </w:r>
    </w:p>
    <w:p>
      <w:pPr>
        <w:spacing w:after="80"/>
        <w:ind w:left="360" w:hanging="360"/>
      </w:pPr>
      <w:r>
        <w:t>Hevner, A. R., March, S. T., Park, J., &amp; Ram, S. (2004). Design science in information systems research. MIS Quarterly, 28(1), 75–105. https://doi.org/10.2307/25148625</w:t>
      </w:r>
    </w:p>
    <w:p>
      <w:pPr>
        <w:spacing w:after="80"/>
        <w:ind w:left="360" w:hanging="360"/>
      </w:pPr>
      <w:r>
        <w:t>Hornborg, A. (2016). Global magic: Technologies of appropriation from ancient Rome to Wall Street. Palgrave Macmillan.</w:t>
      </w:r>
    </w:p>
    <w:p>
      <w:pPr>
        <w:spacing w:after="80"/>
        <w:ind w:left="360" w:hanging="360"/>
      </w:pPr>
      <w:r>
        <w:t>Horváth, A., &amp; Kemser, H.-P. (2026). Human, organisation and social system in the intelligent factory: The contemporary relevance of socio-technical systems theory in the age of Industry 4.0. International Review of Applied Sciences and Engineering. https://doi.org/10.1556/1848.2026.01263</w:t>
      </w:r>
    </w:p>
    <w:p>
      <w:pPr>
        <w:spacing w:after="80"/>
        <w:ind w:left="360" w:hanging="360"/>
      </w:pPr>
      <w:r>
        <w:t>Humphrey, J., &amp; Schmitz, H. (2002). How does insertion in global value chains affect upgrading in industrial clusters? Regional Studies, 36(9), 1017–1027. https://doi.org/10.1080/0034340022000022198</w:t>
      </w:r>
    </w:p>
    <w:p>
      <w:pPr>
        <w:spacing w:after="80"/>
        <w:ind w:left="360" w:hanging="360"/>
      </w:pPr>
      <w:r>
        <w:t>Ortmann, G. F., &amp; King, R. P. (2007). Agricultural cooperatives I: History, theory and problems. Agrekon, 46(1), 18–46. https://doi.org/10.1080/03031853.2007.9523760</w:t>
      </w:r>
    </w:p>
    <w:p>
      <w:pPr>
        <w:spacing w:after="80"/>
        <w:ind w:left="360" w:hanging="360"/>
      </w:pPr>
      <w:r>
        <w:t>Ostrom, E. (1990). Governing the commons: The evolution of institutions for collective action. Cambridge University Press.</w:t>
      </w:r>
    </w:p>
    <w:p>
      <w:pPr>
        <w:spacing w:after="80"/>
        <w:ind w:left="360" w:hanging="360"/>
      </w:pPr>
      <w:r>
        <w:t>Parlamento Europeo y Consejo de la Unión Europea. (2023). Reglamento (UE) 2023/1115 relativo a la comercialización de determinadas materias primas y productos asociados a la deforestación. Diario Oficial de la Unión Europea. https://eur-lex.europa.eu/legal-content/ES/TXT/?uri=CELEX%3A32023R1115</w:t>
      </w:r>
    </w:p>
    <w:p>
      <w:pPr>
        <w:spacing w:after="80"/>
        <w:ind w:left="360" w:hanging="360"/>
      </w:pPr>
      <w:r>
        <w:t>Presidencia de la República de Colombia. (2017). Decreto 893 de 2017. Diario Oficial No. 50.230.</w:t>
      </w:r>
    </w:p>
    <w:p>
      <w:pPr>
        <w:spacing w:after="80"/>
        <w:ind w:left="360" w:hanging="360"/>
      </w:pPr>
      <w:r>
        <w:t>Rettberg, A. (2010). Global markets, local conflict: Violence in the Colombian coffee region after the breakdown of the International Coffee Agreement. Latin American Perspectives, 37(2), 111–132. https://doi.org/10.1177/0094582x09356961</w:t>
      </w:r>
    </w:p>
    <w:p>
      <w:pPr>
        <w:spacing w:after="80"/>
        <w:ind w:left="360" w:hanging="360"/>
      </w:pPr>
      <w:r>
        <w:t>Schletz, M., et al. (2023). Blockchain and regenerative finance: Charting a path toward regeneration. Frontiers in Blockchain, 6, Article 1165133. https://doi.org/10.3389/fbloc.2023.1165133</w:t>
      </w:r>
    </w:p>
    <w:p>
      <w:pPr>
        <w:spacing w:after="80"/>
        <w:ind w:left="360" w:hanging="360"/>
      </w:pPr>
      <w:r>
        <w:t>Talbot, J. M. (1997). Where does your coffee dollar go? The division of income and surplus along the coffee commodity chain. Studies in Comparative International Development, 32(1), 56–91. https://doi.org/10.1007/bf02696306</w:t>
      </w:r>
    </w:p>
    <w:p>
      <w:pPr>
        <w:spacing w:after="80"/>
        <w:ind w:left="360" w:hanging="360"/>
      </w:pPr>
      <w:r>
        <w:t>Trist, E. L. (1981). The evolution of socio-technical systems: A conceptual framework and an action research program (Occasional Paper No. 2). Ontario Quality of Working Life Centre.</w:t>
      </w:r>
    </w:p>
    <w:p>
      <w:pPr>
        <w:spacing w:after="80"/>
        <w:ind w:left="360" w:hanging="360"/>
      </w:pPr>
      <w:r>
        <w:t>Trist, E. L., &amp; Bamforth, K. W. (1951). Some social and psychological consequences of the longwall method of coal-getting. Human Relations, 4(1), 3–38. https://doi.org/10.1177/001872675100400101</w:t>
      </w:r>
    </w:p>
    <w:p>
      <w:pPr>
        <w:spacing w:after="80"/>
        <w:ind w:left="360" w:hanging="360"/>
      </w:pPr>
      <w:r>
        <w:t>Wallerstein, I. (1974). The modern world-system I: Capitalist agriculture and the origins of the European world-economy in the sixteenth century. Academic Press.</w:t>
      </w:r>
    </w:p>
    <w:p>
      <w:pPr>
        <w:spacing w:after="80"/>
        <w:ind w:left="360" w:hanging="360"/>
      </w:pPr>
      <w:r>
        <w:t>Werbach, K. (2018). The blockchain and the new architecture of trust. MIT Press.</w:t>
      </w:r>
    </w:p>
    <w:p>
      <w:pPr>
        <w:spacing w:after="80"/>
        <w:ind w:left="360" w:hanging="360"/>
      </w:pPr>
      <w:r>
        <w:t>Yeung, H. W.-C., &amp; Coe, N. M. (2015). Toward a dynamic theory of global production networks. Economic Geography, 91(1), 29–58. https://doi.org/10.1111/ecge.12063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