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Universitat Politècnica de València</w:t>
        <w:br/>
      </w:r>
      <w:r>
        <w:t>PhD (Digital agri-food chains)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digitalisation of agri-food chains line: the technical subsystem of ADG —immutable traceability, IoT and EUDR compliance— is designed jointly with the associative governance that operates it, demonstrating that digital architecture only produces value retention when anchored in a collective institutional base.</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