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RESEARCH PROPOSAL</w:t>
      </w:r>
    </w:p>
    <w:p>
      <w:pPr>
        <w:jc w:val="center"/>
      </w:pPr>
      <w:r>
        <w:rPr>
          <w:b/>
        </w:rPr>
        <w:t>Universidad Autónoma de Madrid</w:t>
        <w:br/>
      </w:r>
      <w:r>
        <w:t>PhD in Development Economics</w:t>
        <w:br/>
      </w:r>
      <w:r>
        <w:t>Applicant: Daniel Alejandro Pajoy Bastos</w:t>
      </w:r>
    </w:p>
    <w:p/>
    <w:p>
      <w:pPr>
        <w:pStyle w:val="Heading1"/>
      </w:pPr>
      <w:r>
        <w:t>1. Working title and keywords</w:t>
      </w:r>
    </w:p>
    <w:p>
      <w:r>
        <w:rPr>
          <w:b/>
        </w:rPr>
        <w:t xml:space="preserve">Title: </w:t>
      </w:r>
      <w:r>
        <w:t>Associative digital governance: a socio-technical model for value capture at origin in smallholder coffee organisations in Colombia's PDET territories</w:t>
      </w:r>
    </w:p>
    <w:p>
      <w:r>
        <w:rPr>
          <w:b/>
        </w:rPr>
        <w:t xml:space="preserve">Research question: </w:t>
      </w:r>
      <w:r>
        <w:t>How does a socio-technical model of associative digital governance enable smallholder coffee organisations in Colombia's PDET territories to increase the share of value captured at origin (VCO) in the global coffee value chain?</w:t>
      </w:r>
    </w:p>
    <w:p>
      <w:r>
        <w:rPr>
          <w:b/>
        </w:rPr>
        <w:t xml:space="preserve">Keywords: </w:t>
      </w:r>
      <w:r>
        <w:t>Associative digital governance; Global value chains; Value capture at origin; Collective action; Data sovereignty.</w:t>
      </w:r>
    </w:p>
    <w:p>
      <w:pPr>
        <w:pStyle w:val="Heading1"/>
      </w:pPr>
      <w:r>
        <w:t>2. Problem statement and justification</w:t>
      </w:r>
    </w:p>
    <w:p>
      <w:pPr>
        <w:spacing w:after="160"/>
        <w:jc w:val="both"/>
      </w:pPr>
      <w:r>
        <w:t>Coffee-producing organisations in the Global South retain barely 7–10% of the final consumer price (Fitter &amp; Kaplinsky, 2001; Talbot, 1997). This gap is not a market anomaly but the effect of captive governance architectures in global value chains (GVCs), which concentrate rent capture in the roasting and distribution links and transfer climatic and price risks onto the producer base (Gereffi et al., 2005; Grabs &amp; Ponte, 2019). The central problem of this research is therefore the low share of value captured at origin (VCO): the fraction of chain value that coffee organisations manage to retain in the territory.</w:t>
      </w:r>
    </w:p>
    <w:p>
      <w:pPr>
        <w:spacing w:after="160"/>
        <w:jc w:val="both"/>
      </w:pPr>
      <w:r>
        <w:t>In Colombia, this problem is most acute in the territories of the Development Programmes with a Territorial Focus (PDET), the policy implementing the 2016 Peace Agreement, covering 170 municipalities, 16 subregions and more than six million people in areas of high historical vulnerability (Decree 893/2017). There, smallholder coffee organisations face four structural deficits that, combined, block any sustainable increase in VCO: (i) organisational governance deficits inherited from the armed conflict (Ostrom, 1990; Rettberg, 2010); (ii) captive positioning in the GVC (Gereffi et al., 2005; Hornborg, 2016); (iii) digital exclusion that threatens compliance with the European Union Deforestation Regulation (EUDR, Regulation 2023/1115), in force for coffee since 2026; and (iv) exclusion from the financing and traceability architectures that could reposition them in the chain. These deficits reinforce one another and reproduce the peripheral position of the Colombian producer in the world coffee system (Wallerstein, 1974): partial instruments —technology without collective governance, certification without bargaining power, financing without traceability— do not translate into rent retention.</w:t>
      </w:r>
    </w:p>
    <w:p>
      <w:pPr>
        <w:spacing w:after="160"/>
        <w:jc w:val="both"/>
      </w:pPr>
      <w:r>
        <w:t>The GVC literature describes rent-extraction mechanisms with precision but does not specify the governance conditions under which smallholder organisations can reposition themselves to increase their VCO (Gereffi et al., 2005; Grabs &amp; Ponte, 2019). Ostromian collective-action theory establishes the institutional principles for the sustainable governance of the commons but incorporates neither digital mediation nor post-conflict contexts of low institutional maturity (Ostrom, 1990; Agrawal, 2001). The emerging literature on digital governance and distributed ledgers explores the reduction of information asymmetries but does not articulate it with collective institutional governance in highly fragile territories (Werbach, 2018). A gap thus persists: no model integrates associative governance, socio-technical architecture and the measurement of retained value into a construct applicable to smallholder coffee organisations in post-conflict settings.</w:t>
      </w:r>
    </w:p>
    <w:p>
      <w:pPr>
        <w:spacing w:after="160"/>
        <w:jc w:val="both"/>
      </w:pPr>
      <w:r>
        <w:t>This research addresses that gap through a socio-technical model of Associative Digital Governance (ADG): a construct in which collective institutional governance (social subsystem) and a digital architecture of trust —traceability and data sovereignty— (technical subsystem) are jointly optimised —the core principle of socio-technical theory (Abbas &amp; Michael, 2026), whose origin (Trist &amp; Bamforth, 1951) retains full analytical relevance in the age of Industry 4.0 (Horváth &amp; Kemser, 2026)— to enable the increase of VCO. The expected contribution is threefold: theoretical —an integrative model of digital-institutional governance for the agri-food post-conflict—; methodological —a sequential mixed-methods Design Science Research protocol, replicable in other Global South contexts—; and praxeological —artefacts directly implementable by the organisations and scalable to other agri-food chains—. The project is feasible within four years (2026–2029) and has direct field access through the National Coffee Roundtable Federation (FEMNCAFE), which brings together the associations of peace-signatory coffee growers.</w:t>
      </w:r>
    </w:p>
    <w:p>
      <w:pPr>
        <w:pStyle w:val="Heading1"/>
      </w:pPr>
      <w:r>
        <w:t>3. State of the art and theoretical framework</w:t>
      </w:r>
    </w:p>
    <w:p>
      <w:pPr>
        <w:spacing w:after="160"/>
        <w:jc w:val="both"/>
      </w:pPr>
      <w:r>
        <w:t>Global value chains (GVCs) constitute the central analytical framework of this research: they determine who sets quality and sustainability standards, who fixes reference prices and, ultimately, who retains the rent generated along the chain (Gereffi et al., 2005). In the captive chains that characterise conventional Colombian coffee, international buyers exert a structural power that Wallerstein (1974) termed unequal exchange and that Grabs and Ponte (2019) showed to be reproduced, paradoxically, by private sustainability standards themselves. Upgrading theory (Humphrey &amp; Schmitz, 2002) identifies trajectories for improving position whose activation requires a combination of organisational capabilities, technological access and institutional links that post-conflict coffee organisations rarely possess simultaneously. The global production networks framework (GPN 2.0) (Yeung &amp; Coe, 2015) completes the framing by incorporating the non-firm actors —State, civil society and international cooperation— that shape the territorial conditions of the post-conflict and remain invisible in the classic GVC typology.</w:t>
      </w:r>
    </w:p>
    <w:p>
      <w:pPr>
        <w:spacing w:after="160"/>
        <w:jc w:val="both"/>
      </w:pPr>
      <w:r>
        <w:t>The tradition of the governance of the commons (Ostrom, 1990) offers the most robust framework for understanding the conditions under which smallholder organisations sustainably manage collective resources. Its eight institutional design principles have been validated in multiple agri-food contexts (Agrawal, 2001) and provide the empirical basis for constructing collective-governance indicators. However, extending this framework to post-conflict settings —where social capital was systematically destroyed by the armed conflict (Rettberg, 2010) and cooperative governance failures are structural (Ortmann &amp; King, 2007)— requires adapting the original principles to conditions of high institutional fragility. Participatory action research (Fals Borda, 1986) provides the epistemological foundation: knowledge about post-conflict territorial governance must be co-constructed with communities, not imposed from frameworks designed in contexts of high institutional maturity.</w:t>
      </w:r>
    </w:p>
    <w:p>
      <w:pPr>
        <w:spacing w:after="160"/>
        <w:jc w:val="both"/>
      </w:pPr>
      <w:r>
        <w:t>The bridge between collective governance and the digital dimension is provided by socio-technical theory, which conceptualises every work system as the articulation of a social and a technical subsystem whose performance depends on their joint optimisation (Abbas &amp; Michael, 2026). Originating in the Tavistock Institute studies on the mechanisation of mining (Trist &amp; Bamforth, 1951) and developed towards the analysis of complex organisational environments (Emery &amp; Trist, 1965; Trist, 1981), this tradition demonstrates that introducing technology that ignores the social subsystem degrades the performance of the whole —a principle whose relevance is reaffirmed in the age of Industry 4.0 (Horváth &amp; Kemser, 2026). For this research, this implies that no digital architecture can increase VCO unless it is designed jointly with the associative governance that operates it.</w:t>
      </w:r>
    </w:p>
    <w:p>
      <w:pPr>
        <w:spacing w:after="160"/>
        <w:jc w:val="both"/>
      </w:pPr>
      <w:r>
        <w:t>On this basis, digital governance and distributed ledgers emerge as mechanisms with transformative potential for agri-food chains: they reduce information asymmetries, enable verifiable geo-referenced traceability —a technical condition of the EUDR— and can automate the distribution of benefits within organisations (Werbach, 2018; Elmatsani et al., 2026). Nevertheless, these mechanisms only produce territorial rent retention when they operate on a solid base of collective governance (Cong et al., 2020; Schletz et al., 2023): technology without governance reproduces and amplifies existing power asymmetries. From the articulation of these four traditions —GVCs, governance of the commons, socio-technical theory and digital governance— emerges the construct of Associative Digital Governance (ADG), which specifies the governance conditions under which an associative social subsystem and a digital technical subsystem, jointly optimised, enable smallholder coffee organisations to increase their value captured at origin.</w:t>
      </w:r>
    </w:p>
    <w:p>
      <w:pPr>
        <w:spacing w:after="160"/>
        <w:jc w:val="both"/>
      </w:pPr>
      <w:r>
        <w:t>This research is situated within the development economics tradition of UAM: ADG models the institutional conditions that allow Global South producer economies to overcome unequal exchange (Wallerstein, 1974) and reverse the deterioration of the terms of trade through value retention at origin in global chains.</w:t>
      </w:r>
    </w:p>
    <w:p>
      <w:pPr>
        <w:pStyle w:val="Heading1"/>
      </w:pPr>
      <w:r>
        <w:t>4. Methodological approach</w:t>
      </w:r>
    </w:p>
    <w:p>
      <w:pPr>
        <w:spacing w:after="160"/>
        <w:jc w:val="both"/>
      </w:pPr>
      <w:r>
        <w:t>This research adopts the Design Science Research (DSR) paradigm (Hevner et al., 2004), which combines the empirical rigour of scientific research with the practical relevance of designing implementable artefacts. The approach is sequential mixed-methods: the qualitative diagnosis of Phase I calibrates the model design in Phase II, and the expert consensus of Phase II provides the input distributions for the stochastic simulation of Phase III.</w:t>
      </w:r>
    </w:p>
    <w:p>
      <w:pPr>
        <w:spacing w:after="160"/>
        <w:jc w:val="both"/>
      </w:pPr>
      <w:r>
        <w:t>Phase I — Diagnostic establishes the baseline Value Captured at Origin (VCO₀): the share of the final price that the organisation currently retains in the global value chain. It combines semi-structured interviews with leaders of coffee organisations, social network analysis (SNA) to map post-conflict social capital, and GVC mapping to quantify the current distribution of value along the Colombian coffee chain. In parallel, the PDET Consolidation Index (IPDET) —integrating institutional consolidation, security conditions and Peace Agreement implementation— is constructed as a moderating variable that allows the model's effect to be extrapolated from the validation case to the diverse contexts of the country's PDET territories.</w:t>
      </w:r>
    </w:p>
    <w:p>
      <w:pPr>
        <w:spacing w:after="160"/>
        <w:jc w:val="both"/>
      </w:pPr>
      <w:r>
        <w:t>Phase II — Constructive designs, prototypes and iterates the ADG model's mechanisms through participatory design workshops with coffee communities and a Delphi consensus-validation panel. The Delphi does not merely validate the design: its estimation ranges for the Governance Index (IG), the technological component and the behaviour of the IPDET constitute the prior distributions that feed the Phase III simulation.</w:t>
      </w:r>
    </w:p>
    <w:p>
      <w:pPr>
        <w:spacing w:after="160"/>
        <w:jc w:val="both"/>
      </w:pPr>
      <w:r>
        <w:t>Phase III — Evaluative quantifies the model's effect on VCO and tests the central hypothesis through a Monte Carlo simulation of at least 10,000 iterations with Sobol sensitivity indices. The main evaluative question is: which subsystem contributes most to VCO variance, the governance block (IG) or the technological block? Sobol indices decompose the total VCO variance into the contribution of each variable, enabling an empirical evaluation of the central hypothesis —governance explains more variance than technology in value capture at origin—. As a robustness test, an adverse-scenario analysis (stress testing) —price collapse, security deterioration, institutional failure— verifies whether the VCO increase holds under stress conditions and is generalisable beyond the baseline scenario. A longitudinal embedded case study in pilot organisations in PDET territories and a survey of the FEMNCAFE network complete the empirical and transferability validation. The ethical design includes institutional ethics-committee approval, informed-consent protocols adapted to the cultural and security context of PDET territories, and data-sovereignty mechanisms for the digital traceability.</w:t>
      </w:r>
    </w:p>
    <w:p>
      <w:pPr>
        <w:pStyle w:val="Heading1"/>
      </w:pPr>
      <w:r>
        <w:t>5. References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