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Università degli Studi di Firenze</w:t>
        <w:br/>
      </w:r>
      <w:r>
        <w:t>PhD in Gestione Sostenibile delle Risorse Agrarie, Forestali e Alimentari</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gestión sostenible de los recursos agroalimentarios: la GDA integra la gobernanza colectiva y la trazabilidad digital para una gestión territorial sostenible de la cadena del café, alineando el cumplimiento ambiental (EUDR) con la retención de valor en las organizaciones productoras del Sur Global.</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