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05D43" w14:textId="77777777" w:rsidR="00F639CD" w:rsidRPr="00A773D7" w:rsidRDefault="00000000" w:rsidP="00A773D7">
      <w:pPr>
        <w:jc w:val="center"/>
        <w:rPr>
          <w:rFonts w:ascii="Times New Roman" w:hAnsi="Times New Roman" w:cs="Times New Roman"/>
          <w:sz w:val="20"/>
          <w:szCs w:val="20"/>
          <w:lang w:val="es-CO"/>
        </w:rPr>
      </w:pPr>
      <w:r w:rsidRPr="00A773D7">
        <w:rPr>
          <w:rFonts w:ascii="Times New Roman" w:hAnsi="Times New Roman" w:cs="Times New Roman"/>
          <w:b/>
          <w:sz w:val="20"/>
          <w:szCs w:val="20"/>
          <w:lang w:val="es-CO"/>
        </w:rPr>
        <w:t>PROYECTO DE INVESTIGACIÓN</w:t>
      </w:r>
    </w:p>
    <w:p w14:paraId="3A86974D" w14:textId="77777777" w:rsidR="00F639CD" w:rsidRPr="00A773D7" w:rsidRDefault="00000000" w:rsidP="00A773D7">
      <w:pPr>
        <w:jc w:val="both"/>
        <w:rPr>
          <w:rFonts w:ascii="Times New Roman" w:hAnsi="Times New Roman" w:cs="Times New Roman"/>
          <w:sz w:val="20"/>
          <w:szCs w:val="20"/>
          <w:lang w:val="es-CO"/>
        </w:rPr>
      </w:pPr>
      <w:r w:rsidRPr="00A773D7">
        <w:rPr>
          <w:rFonts w:ascii="Times New Roman" w:hAnsi="Times New Roman" w:cs="Times New Roman"/>
          <w:b/>
          <w:sz w:val="20"/>
          <w:szCs w:val="20"/>
          <w:lang w:val="es-CO"/>
        </w:rPr>
        <w:t>Gobernanza digital asociativa: un modelo sociotécnico para la captura de valor en origen en organizaciones caficultoras de territorios PDET de Colombia</w:t>
      </w:r>
    </w:p>
    <w:p w14:paraId="58673525" w14:textId="77777777" w:rsidR="00F639CD" w:rsidRPr="00A773D7" w:rsidRDefault="00000000" w:rsidP="00A773D7">
      <w:pPr>
        <w:jc w:val="both"/>
        <w:rPr>
          <w:rFonts w:ascii="Times New Roman" w:hAnsi="Times New Roman" w:cs="Times New Roman"/>
          <w:sz w:val="20"/>
          <w:szCs w:val="20"/>
          <w:lang w:val="es-CO"/>
        </w:rPr>
      </w:pPr>
      <w:r w:rsidRPr="00A773D7">
        <w:rPr>
          <w:rFonts w:ascii="Times New Roman" w:hAnsi="Times New Roman" w:cs="Times New Roman"/>
          <w:b/>
          <w:bCs/>
          <w:sz w:val="20"/>
          <w:szCs w:val="20"/>
          <w:lang w:val="es-CO"/>
        </w:rPr>
        <w:t>Aspirante:</w:t>
      </w:r>
      <w:r w:rsidRPr="00A773D7">
        <w:rPr>
          <w:rFonts w:ascii="Times New Roman" w:hAnsi="Times New Roman" w:cs="Times New Roman"/>
          <w:sz w:val="20"/>
          <w:szCs w:val="20"/>
          <w:lang w:val="es-CO"/>
        </w:rPr>
        <w:t xml:space="preserve"> Daniel Alejandro Pajoy Bastos · Universidad Politécnica de Madrid · Curso 2026/2027</w:t>
      </w:r>
      <w:r w:rsidRPr="00A773D7">
        <w:rPr>
          <w:rFonts w:ascii="Times New Roman" w:hAnsi="Times New Roman" w:cs="Times New Roman"/>
          <w:sz w:val="20"/>
          <w:szCs w:val="20"/>
          <w:lang w:val="es-CO"/>
        </w:rPr>
        <w:br/>
        <w:t>Programa: Doctorado en Tecnología Agroambiental para una Agricultura Sostenible (TAPAS)</w:t>
      </w:r>
    </w:p>
    <w:p w14:paraId="0A6EB3EC" w14:textId="77777777" w:rsidR="00F639CD" w:rsidRPr="00A773D7" w:rsidRDefault="00000000" w:rsidP="00A773D7">
      <w:pPr>
        <w:spacing w:before="80" w:after="120"/>
        <w:jc w:val="both"/>
        <w:rPr>
          <w:rFonts w:ascii="Times New Roman" w:hAnsi="Times New Roman" w:cs="Times New Roman"/>
          <w:sz w:val="20"/>
          <w:szCs w:val="20"/>
          <w:lang w:val="es-CO"/>
        </w:rPr>
      </w:pPr>
      <w:r w:rsidRPr="00A773D7">
        <w:rPr>
          <w:rFonts w:ascii="Times New Roman" w:hAnsi="Times New Roman" w:cs="Times New Roman"/>
          <w:b/>
          <w:bCs/>
          <w:sz w:val="20"/>
          <w:szCs w:val="20"/>
          <w:lang w:val="es-CO"/>
        </w:rPr>
        <w:t>Palabras clave:</w:t>
      </w:r>
      <w:r w:rsidRPr="00A773D7">
        <w:rPr>
          <w:rFonts w:ascii="Times New Roman" w:hAnsi="Times New Roman" w:cs="Times New Roman"/>
          <w:sz w:val="20"/>
          <w:szCs w:val="20"/>
          <w:lang w:val="es-CO"/>
        </w:rPr>
        <w:t xml:space="preserve"> gobernanza digital asociativa · economía social y cooperativismo · cadenas globales de valor · captura de valor en origen · acción colectiva · bioeconomía territorial · desarrollo territorial.</w:t>
      </w:r>
    </w:p>
    <w:p w14:paraId="53F9124A" w14:textId="77777777" w:rsidR="00F639CD" w:rsidRPr="00A773D7" w:rsidRDefault="00000000" w:rsidP="00A773D7">
      <w:pPr>
        <w:spacing w:before="240" w:after="80"/>
        <w:jc w:val="both"/>
        <w:rPr>
          <w:rFonts w:ascii="Times New Roman" w:hAnsi="Times New Roman" w:cs="Times New Roman"/>
          <w:sz w:val="20"/>
          <w:szCs w:val="20"/>
          <w:lang w:val="es-CO"/>
        </w:rPr>
      </w:pPr>
      <w:r w:rsidRPr="00A773D7">
        <w:rPr>
          <w:rFonts w:ascii="Times New Roman" w:hAnsi="Times New Roman" w:cs="Times New Roman"/>
          <w:b/>
          <w:sz w:val="20"/>
          <w:szCs w:val="20"/>
          <w:lang w:val="es-CO"/>
        </w:rPr>
        <w:t>1. Planteamiento del problema y pregunta de investigación</w:t>
      </w:r>
    </w:p>
    <w:p w14:paraId="153F8B82" w14:textId="77777777" w:rsidR="00F639CD" w:rsidRPr="00A773D7" w:rsidRDefault="00000000" w:rsidP="00A773D7">
      <w:pPr>
        <w:spacing w:after="12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t>Las organizaciones caficultoras del Sur Global retienen apenas un 7–10% del precio final al consumidor (Fitter &amp; Kaplinsky, 2001; Talbot, 1997), resultado de arquitecturas de gobernanza cautiva en las cadenas globales de valor (CGV) que concentran la renta en la torrefacción y la distribución y trasladan el riesgo climático y de precios a la base productora (</w:t>
      </w:r>
      <w:proofErr w:type="spellStart"/>
      <w:r w:rsidRPr="00A773D7">
        <w:rPr>
          <w:rFonts w:ascii="Times New Roman" w:hAnsi="Times New Roman" w:cs="Times New Roman"/>
          <w:sz w:val="20"/>
          <w:szCs w:val="20"/>
          <w:lang w:val="es-CO"/>
        </w:rPr>
        <w:t>Gereffi</w:t>
      </w:r>
      <w:proofErr w:type="spellEnd"/>
      <w:r w:rsidRPr="00A773D7">
        <w:rPr>
          <w:rFonts w:ascii="Times New Roman" w:hAnsi="Times New Roman" w:cs="Times New Roman"/>
          <w:sz w:val="20"/>
          <w:szCs w:val="20"/>
          <w:lang w:val="es-CO"/>
        </w:rPr>
        <w:t xml:space="preserve"> et al., 2005; </w:t>
      </w:r>
      <w:proofErr w:type="spellStart"/>
      <w:r w:rsidRPr="00A773D7">
        <w:rPr>
          <w:rFonts w:ascii="Times New Roman" w:hAnsi="Times New Roman" w:cs="Times New Roman"/>
          <w:sz w:val="20"/>
          <w:szCs w:val="20"/>
          <w:lang w:val="es-CO"/>
        </w:rPr>
        <w:t>Grabs</w:t>
      </w:r>
      <w:proofErr w:type="spellEnd"/>
      <w:r w:rsidRPr="00A773D7">
        <w:rPr>
          <w:rFonts w:ascii="Times New Roman" w:hAnsi="Times New Roman" w:cs="Times New Roman"/>
          <w:sz w:val="20"/>
          <w:szCs w:val="20"/>
          <w:lang w:val="es-CO"/>
        </w:rPr>
        <w:t xml:space="preserve"> &amp; Ponte, 2019). La variable dependiente de esta investigación es, por tanto, la proporción de valor capturado en origen (VCO): la fracción del valor de la cadena que las organizaciones productoras retienen en el territorio, un problema de valorización de la calidad y de posicionamiento en la cadena.</w:t>
      </w:r>
    </w:p>
    <w:p w14:paraId="41D7BFE9" w14:textId="77777777" w:rsidR="00F639CD" w:rsidRPr="00A773D7" w:rsidRDefault="00000000" w:rsidP="00A773D7">
      <w:pPr>
        <w:spacing w:after="12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t>En Colombia el problema es más crítico en los Programas de Desarrollo con Enfoque Territorial (PDET), la política que implementa el Acuerdo de Paz de 2016 en 170 municipios (Decreto 893/2017). Allí, las organizaciones caficultoras de pequeña escala —en su mayoría cooperativas y asociaciones de economía social— enfrentan déficits entrelazados: gobernanza debilitada por el conflicto armado (Ostrom, 1990; Rettberg, 2010), posicionamiento cautivo en la CGV (</w:t>
      </w:r>
      <w:proofErr w:type="spellStart"/>
      <w:r w:rsidRPr="00A773D7">
        <w:rPr>
          <w:rFonts w:ascii="Times New Roman" w:hAnsi="Times New Roman" w:cs="Times New Roman"/>
          <w:sz w:val="20"/>
          <w:szCs w:val="20"/>
          <w:lang w:val="es-CO"/>
        </w:rPr>
        <w:t>Gereffi</w:t>
      </w:r>
      <w:proofErr w:type="spellEnd"/>
      <w:r w:rsidRPr="00A773D7">
        <w:rPr>
          <w:rFonts w:ascii="Times New Roman" w:hAnsi="Times New Roman" w:cs="Times New Roman"/>
          <w:sz w:val="20"/>
          <w:szCs w:val="20"/>
          <w:lang w:val="es-CO"/>
        </w:rPr>
        <w:t xml:space="preserve"> et al., 2005) y exclusión digital que amenaza el cumplimiento del Reglamento europeo de productos libres de deforestación (EUDR, Reg. 2023/1115), vinculante para el café desde 2026. La tecnología sin gobernanza colectiva, o la certificación sin poder de negociación, no se traducen en retención de renta.</w:t>
      </w:r>
    </w:p>
    <w:p w14:paraId="0CEA24A4" w14:textId="77777777" w:rsidR="00F639CD" w:rsidRPr="00A773D7" w:rsidRDefault="00000000" w:rsidP="00A773D7">
      <w:pPr>
        <w:spacing w:after="120"/>
        <w:jc w:val="both"/>
        <w:rPr>
          <w:rFonts w:ascii="Times New Roman" w:hAnsi="Times New Roman" w:cs="Times New Roman"/>
          <w:sz w:val="20"/>
          <w:szCs w:val="20"/>
          <w:u w:val="single"/>
          <w:lang w:val="es-CO"/>
        </w:rPr>
      </w:pPr>
      <w:r w:rsidRPr="00A773D7">
        <w:rPr>
          <w:rFonts w:ascii="Times New Roman" w:hAnsi="Times New Roman" w:cs="Times New Roman"/>
          <w:b/>
          <w:bCs/>
          <w:i/>
          <w:sz w:val="20"/>
          <w:szCs w:val="20"/>
          <w:u w:val="single"/>
          <w:lang w:val="es-CO"/>
        </w:rPr>
        <w:t>Pregunta de investigación</w:t>
      </w:r>
      <w:r w:rsidRPr="00A773D7">
        <w:rPr>
          <w:rFonts w:ascii="Times New Roman" w:hAnsi="Times New Roman" w:cs="Times New Roman"/>
          <w:i/>
          <w:sz w:val="20"/>
          <w:szCs w:val="20"/>
          <w:u w:val="single"/>
          <w:lang w:val="es-CO"/>
        </w:rPr>
        <w:t>: ¿Cómo un modelo sociotécnico de gobernanza digital asociativa habilita a las organizaciones caficultoras de pequeña escala en territorios PDET de Colombia para incrementar la proporción de valor capturado en origen (VCO) en la cadena global de valor del café?</w:t>
      </w:r>
    </w:p>
    <w:p w14:paraId="0D8C56A3" w14:textId="77777777" w:rsidR="00F639CD" w:rsidRPr="00A773D7" w:rsidRDefault="00000000" w:rsidP="00A773D7">
      <w:pPr>
        <w:spacing w:before="240" w:after="80"/>
        <w:jc w:val="both"/>
        <w:rPr>
          <w:rFonts w:ascii="Times New Roman" w:hAnsi="Times New Roman" w:cs="Times New Roman"/>
          <w:sz w:val="20"/>
          <w:szCs w:val="20"/>
          <w:lang w:val="es-CO"/>
        </w:rPr>
      </w:pPr>
      <w:r w:rsidRPr="00A773D7">
        <w:rPr>
          <w:rFonts w:ascii="Times New Roman" w:hAnsi="Times New Roman" w:cs="Times New Roman"/>
          <w:b/>
          <w:sz w:val="20"/>
          <w:szCs w:val="20"/>
          <w:lang w:val="es-CO"/>
        </w:rPr>
        <w:t>2. Estado del arte y marco teórico</w:t>
      </w:r>
    </w:p>
    <w:p w14:paraId="5BE46163" w14:textId="77777777" w:rsidR="00F639CD" w:rsidRPr="00A773D7" w:rsidRDefault="00000000" w:rsidP="00A773D7">
      <w:pPr>
        <w:spacing w:after="12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t>Cinco tradiciones de investigación enmarcan el problema:</w:t>
      </w:r>
    </w:p>
    <w:p w14:paraId="6378F951" w14:textId="77777777" w:rsidR="00F639CD" w:rsidRPr="00A773D7" w:rsidRDefault="00000000" w:rsidP="00A773D7">
      <w:pPr>
        <w:pStyle w:val="Listaconvietas"/>
        <w:spacing w:after="8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t xml:space="preserve">Cadenas globales de valor y </w:t>
      </w:r>
      <w:proofErr w:type="spellStart"/>
      <w:r w:rsidRPr="00A773D7">
        <w:rPr>
          <w:rFonts w:ascii="Times New Roman" w:hAnsi="Times New Roman" w:cs="Times New Roman"/>
          <w:sz w:val="20"/>
          <w:szCs w:val="20"/>
          <w:lang w:val="es-CO"/>
        </w:rPr>
        <w:t>upgrading</w:t>
      </w:r>
      <w:proofErr w:type="spellEnd"/>
      <w:r w:rsidRPr="00A773D7">
        <w:rPr>
          <w:rFonts w:ascii="Times New Roman" w:hAnsi="Times New Roman" w:cs="Times New Roman"/>
          <w:sz w:val="20"/>
          <w:szCs w:val="20"/>
          <w:lang w:val="es-CO"/>
        </w:rPr>
        <w:t xml:space="preserve"> (</w:t>
      </w:r>
      <w:proofErr w:type="spellStart"/>
      <w:r w:rsidRPr="00A773D7">
        <w:rPr>
          <w:rFonts w:ascii="Times New Roman" w:hAnsi="Times New Roman" w:cs="Times New Roman"/>
          <w:sz w:val="20"/>
          <w:szCs w:val="20"/>
          <w:lang w:val="es-CO"/>
        </w:rPr>
        <w:t>Gereffi</w:t>
      </w:r>
      <w:proofErr w:type="spellEnd"/>
      <w:r w:rsidRPr="00A773D7">
        <w:rPr>
          <w:rFonts w:ascii="Times New Roman" w:hAnsi="Times New Roman" w:cs="Times New Roman"/>
          <w:sz w:val="20"/>
          <w:szCs w:val="20"/>
          <w:lang w:val="es-CO"/>
        </w:rPr>
        <w:t xml:space="preserve"> et al., 2005; Humphrey &amp; Schmitz, 2002; </w:t>
      </w:r>
      <w:proofErr w:type="spellStart"/>
      <w:r w:rsidRPr="00A773D7">
        <w:rPr>
          <w:rFonts w:ascii="Times New Roman" w:hAnsi="Times New Roman" w:cs="Times New Roman"/>
          <w:sz w:val="20"/>
          <w:szCs w:val="20"/>
          <w:lang w:val="es-CO"/>
        </w:rPr>
        <w:t>Grabs</w:t>
      </w:r>
      <w:proofErr w:type="spellEnd"/>
      <w:r w:rsidRPr="00A773D7">
        <w:rPr>
          <w:rFonts w:ascii="Times New Roman" w:hAnsi="Times New Roman" w:cs="Times New Roman"/>
          <w:sz w:val="20"/>
          <w:szCs w:val="20"/>
          <w:lang w:val="es-CO"/>
        </w:rPr>
        <w:t xml:space="preserve"> &amp; Ponte, 2019): explican cómo se extrae la renta, pero no las condiciones de gobernanza bajo las que las organizaciones se reposicionan para elevar el VCO. Las trayectorias de </w:t>
      </w:r>
      <w:proofErr w:type="spellStart"/>
      <w:r w:rsidRPr="00A773D7">
        <w:rPr>
          <w:rFonts w:ascii="Times New Roman" w:hAnsi="Times New Roman" w:cs="Times New Roman"/>
          <w:sz w:val="20"/>
          <w:szCs w:val="20"/>
          <w:lang w:val="es-CO"/>
        </w:rPr>
        <w:t>upgrading</w:t>
      </w:r>
      <w:proofErr w:type="spellEnd"/>
      <w:r w:rsidRPr="00A773D7">
        <w:rPr>
          <w:rFonts w:ascii="Times New Roman" w:hAnsi="Times New Roman" w:cs="Times New Roman"/>
          <w:sz w:val="20"/>
          <w:szCs w:val="20"/>
          <w:lang w:val="es-CO"/>
        </w:rPr>
        <w:t xml:space="preserve"> en países de ingreso medio —particularmente en subsidiarias y cadenas locales— aportan evidencia sobre los límites y las palancas de la diversificación productiva (Álvarez &amp; Marín, 2008; Albis &amp; Álvarez, 2008).</w:t>
      </w:r>
    </w:p>
    <w:p w14:paraId="330176E9" w14:textId="77777777" w:rsidR="00F639CD" w:rsidRPr="00A773D7" w:rsidRDefault="00000000" w:rsidP="00A773D7">
      <w:pPr>
        <w:pStyle w:val="Listaconvietas"/>
        <w:spacing w:after="8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t>Gobernanza de los comunes y economía social (Ostrom, 1990; Agrawal, 2001): aporta principios de diseño institucional validados para la acción colectiva. La economía social y el cooperativismo (Chaves &amp; Monzón, 2012; Birchall, 2011) ofrecen el marco organizativo —empresas democráticas centradas en las personas— donde esos principios se materializan; pero no incorporan la mediación digital ni la fragilidad posconflicto, donde el capital social fue erosionado (Rettberg, 2010) y los fallos cooperativos son estructurales (Ortmann &amp; King, 2007).</w:t>
      </w:r>
    </w:p>
    <w:p w14:paraId="5A3BA45B" w14:textId="77777777" w:rsidR="00F639CD" w:rsidRPr="00A773D7" w:rsidRDefault="00000000" w:rsidP="00A773D7">
      <w:pPr>
        <w:pStyle w:val="Listaconvietas"/>
        <w:spacing w:after="8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t>Teoría sociotécnica (</w:t>
      </w:r>
      <w:proofErr w:type="spellStart"/>
      <w:r w:rsidRPr="00A773D7">
        <w:rPr>
          <w:rFonts w:ascii="Times New Roman" w:hAnsi="Times New Roman" w:cs="Times New Roman"/>
          <w:sz w:val="20"/>
          <w:szCs w:val="20"/>
          <w:lang w:val="es-CO"/>
        </w:rPr>
        <w:t>Trist</w:t>
      </w:r>
      <w:proofErr w:type="spellEnd"/>
      <w:r w:rsidRPr="00A773D7">
        <w:rPr>
          <w:rFonts w:ascii="Times New Roman" w:hAnsi="Times New Roman" w:cs="Times New Roman"/>
          <w:sz w:val="20"/>
          <w:szCs w:val="20"/>
          <w:lang w:val="es-CO"/>
        </w:rPr>
        <w:t xml:space="preserve"> &amp; Bamforth, 1951; Emery &amp; </w:t>
      </w:r>
      <w:proofErr w:type="spellStart"/>
      <w:r w:rsidRPr="00A773D7">
        <w:rPr>
          <w:rFonts w:ascii="Times New Roman" w:hAnsi="Times New Roman" w:cs="Times New Roman"/>
          <w:sz w:val="20"/>
          <w:szCs w:val="20"/>
          <w:lang w:val="es-CO"/>
        </w:rPr>
        <w:t>Trist</w:t>
      </w:r>
      <w:proofErr w:type="spellEnd"/>
      <w:r w:rsidRPr="00A773D7">
        <w:rPr>
          <w:rFonts w:ascii="Times New Roman" w:hAnsi="Times New Roman" w:cs="Times New Roman"/>
          <w:sz w:val="20"/>
          <w:szCs w:val="20"/>
          <w:lang w:val="es-CO"/>
        </w:rPr>
        <w:t xml:space="preserve">, 1965; </w:t>
      </w:r>
      <w:proofErr w:type="spellStart"/>
      <w:r w:rsidRPr="00A773D7">
        <w:rPr>
          <w:rFonts w:ascii="Times New Roman" w:hAnsi="Times New Roman" w:cs="Times New Roman"/>
          <w:sz w:val="20"/>
          <w:szCs w:val="20"/>
          <w:lang w:val="es-CO"/>
        </w:rPr>
        <w:t>Trist</w:t>
      </w:r>
      <w:proofErr w:type="spellEnd"/>
      <w:r w:rsidRPr="00A773D7">
        <w:rPr>
          <w:rFonts w:ascii="Times New Roman" w:hAnsi="Times New Roman" w:cs="Times New Roman"/>
          <w:sz w:val="20"/>
          <w:szCs w:val="20"/>
          <w:lang w:val="es-CO"/>
        </w:rPr>
        <w:t xml:space="preserve">, 1981; Abbas &amp; Michael, 2026): concibe todo sistema productivo como un subsistema social y uno técnico cuyo desempeño depende de su optimización conjunta, principio reafirmado para la Industria 4.0 (Horváth &amp; </w:t>
      </w:r>
      <w:proofErr w:type="spellStart"/>
      <w:r w:rsidRPr="00A773D7">
        <w:rPr>
          <w:rFonts w:ascii="Times New Roman" w:hAnsi="Times New Roman" w:cs="Times New Roman"/>
          <w:sz w:val="20"/>
          <w:szCs w:val="20"/>
          <w:lang w:val="es-CO"/>
        </w:rPr>
        <w:t>Kemser</w:t>
      </w:r>
      <w:proofErr w:type="spellEnd"/>
      <w:r w:rsidRPr="00A773D7">
        <w:rPr>
          <w:rFonts w:ascii="Times New Roman" w:hAnsi="Times New Roman" w:cs="Times New Roman"/>
          <w:sz w:val="20"/>
          <w:szCs w:val="20"/>
          <w:lang w:val="es-CO"/>
        </w:rPr>
        <w:t>, 2026).</w:t>
      </w:r>
    </w:p>
    <w:p w14:paraId="3D1D1D7C" w14:textId="77777777" w:rsidR="00F639CD" w:rsidRPr="00A773D7" w:rsidRDefault="00000000" w:rsidP="00A773D7">
      <w:pPr>
        <w:pStyle w:val="Listaconvietas"/>
        <w:spacing w:after="8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lastRenderedPageBreak/>
        <w:t>Gobernanza digital y registros distribuidos (</w:t>
      </w:r>
      <w:proofErr w:type="spellStart"/>
      <w:r w:rsidRPr="00A773D7">
        <w:rPr>
          <w:rFonts w:ascii="Times New Roman" w:hAnsi="Times New Roman" w:cs="Times New Roman"/>
          <w:sz w:val="20"/>
          <w:szCs w:val="20"/>
          <w:lang w:val="es-CO"/>
        </w:rPr>
        <w:t>Werbach</w:t>
      </w:r>
      <w:proofErr w:type="spellEnd"/>
      <w:r w:rsidRPr="00A773D7">
        <w:rPr>
          <w:rFonts w:ascii="Times New Roman" w:hAnsi="Times New Roman" w:cs="Times New Roman"/>
          <w:sz w:val="20"/>
          <w:szCs w:val="20"/>
          <w:lang w:val="es-CO"/>
        </w:rPr>
        <w:t xml:space="preserve">, 2018; Rozas et al., 2021; </w:t>
      </w:r>
      <w:proofErr w:type="spellStart"/>
      <w:r w:rsidRPr="00A773D7">
        <w:rPr>
          <w:rFonts w:ascii="Times New Roman" w:hAnsi="Times New Roman" w:cs="Times New Roman"/>
          <w:sz w:val="20"/>
          <w:szCs w:val="20"/>
          <w:lang w:val="es-CO"/>
        </w:rPr>
        <w:t>Miatton</w:t>
      </w:r>
      <w:proofErr w:type="spellEnd"/>
      <w:r w:rsidRPr="00A773D7">
        <w:rPr>
          <w:rFonts w:ascii="Times New Roman" w:hAnsi="Times New Roman" w:cs="Times New Roman"/>
          <w:sz w:val="20"/>
          <w:szCs w:val="20"/>
          <w:lang w:val="es-CO"/>
        </w:rPr>
        <w:t xml:space="preserve"> &amp; Amado, 2020; </w:t>
      </w:r>
      <w:proofErr w:type="spellStart"/>
      <w:r w:rsidRPr="00A773D7">
        <w:rPr>
          <w:rFonts w:ascii="Times New Roman" w:hAnsi="Times New Roman" w:cs="Times New Roman"/>
          <w:sz w:val="20"/>
          <w:szCs w:val="20"/>
          <w:lang w:val="es-CO"/>
        </w:rPr>
        <w:t>Elmatsani</w:t>
      </w:r>
      <w:proofErr w:type="spellEnd"/>
      <w:r w:rsidRPr="00A773D7">
        <w:rPr>
          <w:rFonts w:ascii="Times New Roman" w:hAnsi="Times New Roman" w:cs="Times New Roman"/>
          <w:sz w:val="20"/>
          <w:szCs w:val="20"/>
          <w:lang w:val="es-CO"/>
        </w:rPr>
        <w:t xml:space="preserve"> et al., 2026): reducen asimetrías de información y permiten una trazabilidad verificable —condición técnica del EUDR—, pero retienen renta en el territorio solo sobre una base sólida de gobernanza colectiva. El mercado ya paga primas por la trazabilidad y el origen verificados (~28,5% sobre el precio medio; </w:t>
      </w:r>
      <w:proofErr w:type="spellStart"/>
      <w:r w:rsidRPr="00A773D7">
        <w:rPr>
          <w:rFonts w:ascii="Times New Roman" w:hAnsi="Times New Roman" w:cs="Times New Roman"/>
          <w:sz w:val="20"/>
          <w:szCs w:val="20"/>
          <w:lang w:val="es-CO"/>
        </w:rPr>
        <w:t>Merbah</w:t>
      </w:r>
      <w:proofErr w:type="spellEnd"/>
      <w:r w:rsidRPr="00A773D7">
        <w:rPr>
          <w:rFonts w:ascii="Times New Roman" w:hAnsi="Times New Roman" w:cs="Times New Roman"/>
          <w:sz w:val="20"/>
          <w:szCs w:val="20"/>
          <w:lang w:val="es-CO"/>
        </w:rPr>
        <w:t xml:space="preserve"> &amp; Benito-Hernández, 2023); la cuestión no resuelta es qué mecanismos de gobernanza permiten que esa prima llegue a las organizaciones productoras. La transformación digital en Iberoamérica evidencia que la brecha digital rural profundiza las asimetrías de valor si no se acompaña de soberanía de datos colectiva (Álvarez, Quirós et al., 2021).</w:t>
      </w:r>
    </w:p>
    <w:p w14:paraId="21010381" w14:textId="0A9F50B5" w:rsidR="00F639CD" w:rsidRPr="00A773D7" w:rsidRDefault="00000000" w:rsidP="00A773D7">
      <w:pPr>
        <w:pStyle w:val="Listaconvietas"/>
        <w:spacing w:after="8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t xml:space="preserve">Bioeconomía territorial y diversificación bio-basada (Solarte-Toro &amp; Cardona, 2023; González &amp; Serna, 2018; PIIOM </w:t>
      </w:r>
      <w:proofErr w:type="spellStart"/>
      <w:r w:rsidRPr="00A773D7">
        <w:rPr>
          <w:rFonts w:ascii="Times New Roman" w:hAnsi="Times New Roman" w:cs="Times New Roman"/>
          <w:sz w:val="20"/>
          <w:szCs w:val="20"/>
          <w:lang w:val="es-CO"/>
        </w:rPr>
        <w:t>Minciencias</w:t>
      </w:r>
      <w:proofErr w:type="spellEnd"/>
      <w:r w:rsidRPr="00A773D7">
        <w:rPr>
          <w:rFonts w:ascii="Times New Roman" w:hAnsi="Times New Roman" w:cs="Times New Roman"/>
          <w:sz w:val="20"/>
          <w:szCs w:val="20"/>
          <w:lang w:val="es-CO"/>
        </w:rPr>
        <w:t xml:space="preserve"> — Resolución 1452/2024): emerge como palanca transversal del VCO en agroecosistemas cafeteros. La valorización de biomasa residual (pulpa, mucílago, cisco y posos), los mercados voluntarios de carbono mediante protocolos MRV y las vías de biorrefinería de pequeña escala abren rutas complementarias de retención de valor que refuerzan la gobernanza institucional del modelo GDA. Esta dimensión conecta la investigación con la Misión Bioeconomía y Territorio (Convocatoria 975 </w:t>
      </w:r>
      <w:proofErr w:type="spellStart"/>
      <w:r w:rsidRPr="00A773D7">
        <w:rPr>
          <w:rFonts w:ascii="Times New Roman" w:hAnsi="Times New Roman" w:cs="Times New Roman"/>
          <w:sz w:val="20"/>
          <w:szCs w:val="20"/>
          <w:lang w:val="es-CO"/>
        </w:rPr>
        <w:t>Minciencias</w:t>
      </w:r>
      <w:proofErr w:type="spellEnd"/>
      <w:r w:rsidRPr="00A773D7">
        <w:rPr>
          <w:rFonts w:ascii="Times New Roman" w:hAnsi="Times New Roman" w:cs="Times New Roman"/>
          <w:sz w:val="20"/>
          <w:szCs w:val="20"/>
          <w:lang w:val="es-CO"/>
        </w:rPr>
        <w:t xml:space="preserve">) y con los instrumentos de </w:t>
      </w:r>
      <w:proofErr w:type="spellStart"/>
      <w:r w:rsidRPr="00A773D7">
        <w:rPr>
          <w:rFonts w:ascii="Times New Roman" w:hAnsi="Times New Roman" w:cs="Times New Roman"/>
          <w:sz w:val="20"/>
          <w:szCs w:val="20"/>
          <w:lang w:val="es-CO"/>
        </w:rPr>
        <w:t>blended</w:t>
      </w:r>
      <w:proofErr w:type="spellEnd"/>
      <w:r w:rsidRPr="00A773D7">
        <w:rPr>
          <w:rFonts w:ascii="Times New Roman" w:hAnsi="Times New Roman" w:cs="Times New Roman"/>
          <w:sz w:val="20"/>
          <w:szCs w:val="20"/>
          <w:lang w:val="es-CO"/>
        </w:rPr>
        <w:t xml:space="preserve"> </w:t>
      </w:r>
      <w:proofErr w:type="spellStart"/>
      <w:r w:rsidRPr="00A773D7">
        <w:rPr>
          <w:rFonts w:ascii="Times New Roman" w:hAnsi="Times New Roman" w:cs="Times New Roman"/>
          <w:sz w:val="20"/>
          <w:szCs w:val="20"/>
          <w:lang w:val="es-CO"/>
        </w:rPr>
        <w:t>finance</w:t>
      </w:r>
      <w:proofErr w:type="spellEnd"/>
      <w:r w:rsidRPr="00A773D7">
        <w:rPr>
          <w:rFonts w:ascii="Times New Roman" w:hAnsi="Times New Roman" w:cs="Times New Roman"/>
          <w:sz w:val="20"/>
          <w:szCs w:val="20"/>
          <w:lang w:val="es-CO"/>
        </w:rPr>
        <w:t xml:space="preserve"> e inversión de impacto articulados en la agenda de bioeconomía (Havemann et al., 2020; CAF, 2021).</w:t>
      </w:r>
    </w:p>
    <w:p w14:paraId="3EF01D17" w14:textId="77777777" w:rsidR="00F639CD" w:rsidRPr="00A773D7" w:rsidRDefault="00000000" w:rsidP="00A773D7">
      <w:pPr>
        <w:spacing w:after="12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t xml:space="preserve">Ningún modelo integra gobernanza asociativa, arquitectura sociotécnica, soberanía de datos y palancas </w:t>
      </w:r>
      <w:proofErr w:type="spellStart"/>
      <w:r w:rsidRPr="00A773D7">
        <w:rPr>
          <w:rFonts w:ascii="Times New Roman" w:hAnsi="Times New Roman" w:cs="Times New Roman"/>
          <w:sz w:val="20"/>
          <w:szCs w:val="20"/>
          <w:lang w:val="es-CO"/>
        </w:rPr>
        <w:t>bioeconómicas</w:t>
      </w:r>
      <w:proofErr w:type="spellEnd"/>
      <w:r w:rsidRPr="00A773D7">
        <w:rPr>
          <w:rFonts w:ascii="Times New Roman" w:hAnsi="Times New Roman" w:cs="Times New Roman"/>
          <w:sz w:val="20"/>
          <w:szCs w:val="20"/>
          <w:lang w:val="es-CO"/>
        </w:rPr>
        <w:t xml:space="preserve"> para medir el valor retenido en organizaciones de economía social en contextos posconflicto. Esta investigación lo aborda mediante el constructo original de Gobernanza Digital Asociativa (GDA): gobernanza institucional colectiva (subsistema social, operacionalizada como Índice de Gobernanza, IG) y una arquitectura digital de confianza —trazabilidad y soberanía de datos— (subsistema técnico), optimizadas conjuntamente y complementadas con la diversificación bio-basada como palanca transversal, para incrementar el VCO. El grado de consolidación territorial se captura con un Índice de Consolidación PDET (IPDET) que actúa como moderador y habilita la extrapolación del caso de validación a los diversos territorios PDET del país.</w:t>
      </w:r>
    </w:p>
    <w:p w14:paraId="1C98E229" w14:textId="77777777" w:rsidR="00F639CD" w:rsidRPr="00A773D7" w:rsidRDefault="00000000" w:rsidP="00A773D7">
      <w:pPr>
        <w:spacing w:before="240" w:after="80"/>
        <w:jc w:val="both"/>
        <w:rPr>
          <w:rFonts w:ascii="Times New Roman" w:hAnsi="Times New Roman" w:cs="Times New Roman"/>
          <w:sz w:val="20"/>
          <w:szCs w:val="20"/>
          <w:lang w:val="es-CO"/>
        </w:rPr>
      </w:pPr>
      <w:r w:rsidRPr="00A773D7">
        <w:rPr>
          <w:rFonts w:ascii="Times New Roman" w:hAnsi="Times New Roman" w:cs="Times New Roman"/>
          <w:b/>
          <w:sz w:val="20"/>
          <w:szCs w:val="20"/>
          <w:lang w:val="es-CO"/>
        </w:rPr>
        <w:t>3. Objetivos</w:t>
      </w:r>
    </w:p>
    <w:p w14:paraId="3028FA77" w14:textId="12920A50" w:rsidR="00F639CD" w:rsidRPr="00A773D7" w:rsidRDefault="00A773D7" w:rsidP="00A773D7">
      <w:pPr>
        <w:spacing w:after="12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t>Desarrollar y evaluar un modelo sociotécnico de gobernanza digital asociativa (GDA) que habilite a las organizaciones caficultoras de pequeña escala en territorios PDET de Colombia para incrementar la proporción de valor capturado en origen (VCO) en la cadena global de valor del café, en coherencia con la Misión Bioeconomía y Territorio de las Políticas Orientadas por Misiones PIIO</w:t>
      </w:r>
      <w:r>
        <w:rPr>
          <w:rFonts w:ascii="Times New Roman" w:hAnsi="Times New Roman" w:cs="Times New Roman"/>
          <w:sz w:val="20"/>
          <w:szCs w:val="20"/>
          <w:lang w:val="es-CO"/>
        </w:rPr>
        <w:t>M</w:t>
      </w:r>
      <w:r w:rsidR="00000000" w:rsidRPr="00A773D7">
        <w:rPr>
          <w:rFonts w:ascii="Times New Roman" w:hAnsi="Times New Roman" w:cs="Times New Roman"/>
          <w:sz w:val="20"/>
          <w:szCs w:val="20"/>
          <w:lang w:val="es-CO"/>
        </w:rPr>
        <w:t>.</w:t>
      </w:r>
    </w:p>
    <w:p w14:paraId="2F1D6A38" w14:textId="77777777" w:rsidR="00F639CD" w:rsidRPr="00A773D7" w:rsidRDefault="00000000" w:rsidP="00A773D7">
      <w:pPr>
        <w:pStyle w:val="Listaconvietas"/>
        <w:spacing w:after="8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t xml:space="preserve">OE1. Medir la línea base VCO₀ y operacionalizar en índices las condiciones de gobernanza (IG), tecnológicas y territoriales (IPDET) de las organizaciones; mapear mediante </w:t>
      </w:r>
      <w:proofErr w:type="spellStart"/>
      <w:r w:rsidRPr="00A773D7">
        <w:rPr>
          <w:rFonts w:ascii="Times New Roman" w:hAnsi="Times New Roman" w:cs="Times New Roman"/>
          <w:sz w:val="20"/>
          <w:szCs w:val="20"/>
          <w:lang w:val="es-CO"/>
        </w:rPr>
        <w:t>fsQCA</w:t>
      </w:r>
      <w:proofErr w:type="spellEnd"/>
      <w:r w:rsidRPr="00A773D7">
        <w:rPr>
          <w:rFonts w:ascii="Times New Roman" w:hAnsi="Times New Roman" w:cs="Times New Roman"/>
          <w:sz w:val="20"/>
          <w:szCs w:val="20"/>
          <w:lang w:val="es-CO"/>
        </w:rPr>
        <w:t xml:space="preserve"> las configuraciones institucionales necesarias y suficientes para un VCO alto; e identificar las oportunidades de diversificación bio-basada (biomasa residual, servicios ecosistémicos y mercados voluntarios de carbono) como palancas transversales del VCO.</w:t>
      </w:r>
    </w:p>
    <w:p w14:paraId="1680A8A8" w14:textId="3D193BA6" w:rsidR="00F639CD" w:rsidRPr="00A773D7" w:rsidRDefault="00000000" w:rsidP="00A773D7">
      <w:pPr>
        <w:pStyle w:val="Listaconvietas"/>
        <w:spacing w:after="8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t xml:space="preserve">OE2. </w:t>
      </w:r>
      <w:proofErr w:type="spellStart"/>
      <w:r w:rsidRPr="00A773D7">
        <w:rPr>
          <w:rFonts w:ascii="Times New Roman" w:hAnsi="Times New Roman" w:cs="Times New Roman"/>
          <w:sz w:val="20"/>
          <w:szCs w:val="20"/>
          <w:lang w:val="es-CO"/>
        </w:rPr>
        <w:t>Co-diseñar</w:t>
      </w:r>
      <w:proofErr w:type="spellEnd"/>
      <w:r w:rsidRPr="00A773D7">
        <w:rPr>
          <w:rFonts w:ascii="Times New Roman" w:hAnsi="Times New Roman" w:cs="Times New Roman"/>
          <w:sz w:val="20"/>
          <w:szCs w:val="20"/>
          <w:lang w:val="es-CO"/>
        </w:rPr>
        <w:t xml:space="preserve"> y prototipar, mediante talleres participativos y un panel Delphi, los mecanismos de la GDA que optimizan conjuntamente los subsistemas </w:t>
      </w:r>
      <w:r w:rsidR="00A773D7">
        <w:rPr>
          <w:rFonts w:ascii="Times New Roman" w:hAnsi="Times New Roman" w:cs="Times New Roman"/>
          <w:sz w:val="20"/>
          <w:szCs w:val="20"/>
          <w:lang w:val="es-CO"/>
        </w:rPr>
        <w:t>social</w:t>
      </w:r>
      <w:r w:rsidRPr="00A773D7">
        <w:rPr>
          <w:rFonts w:ascii="Times New Roman" w:hAnsi="Times New Roman" w:cs="Times New Roman"/>
          <w:sz w:val="20"/>
          <w:szCs w:val="20"/>
          <w:lang w:val="es-CO"/>
        </w:rPr>
        <w:t xml:space="preserve"> y </w:t>
      </w:r>
      <w:r w:rsidR="00A773D7">
        <w:rPr>
          <w:rFonts w:ascii="Times New Roman" w:hAnsi="Times New Roman" w:cs="Times New Roman"/>
          <w:sz w:val="20"/>
          <w:szCs w:val="20"/>
          <w:lang w:val="es-CO"/>
        </w:rPr>
        <w:t>técnico</w:t>
      </w:r>
      <w:r w:rsidRPr="00A773D7">
        <w:rPr>
          <w:rFonts w:ascii="Times New Roman" w:hAnsi="Times New Roman" w:cs="Times New Roman"/>
          <w:sz w:val="20"/>
          <w:szCs w:val="20"/>
          <w:lang w:val="es-CO"/>
        </w:rPr>
        <w:t>.</w:t>
      </w:r>
    </w:p>
    <w:p w14:paraId="60D3055A" w14:textId="37FBCC74" w:rsidR="00F639CD" w:rsidRPr="00A773D7" w:rsidRDefault="00000000" w:rsidP="00A773D7">
      <w:pPr>
        <w:pStyle w:val="Listaconvietas"/>
        <w:spacing w:after="8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t xml:space="preserve">OE3. Evaluar la contribución relativa de los subsistemas </w:t>
      </w:r>
      <w:r w:rsidR="00A773D7">
        <w:rPr>
          <w:rFonts w:ascii="Times New Roman" w:hAnsi="Times New Roman" w:cs="Times New Roman"/>
          <w:sz w:val="20"/>
          <w:szCs w:val="20"/>
          <w:lang w:val="es-CO"/>
        </w:rPr>
        <w:t>social y técnico</w:t>
      </w:r>
      <w:r w:rsidRPr="00A773D7">
        <w:rPr>
          <w:rFonts w:ascii="Times New Roman" w:hAnsi="Times New Roman" w:cs="Times New Roman"/>
          <w:sz w:val="20"/>
          <w:szCs w:val="20"/>
          <w:lang w:val="es-CO"/>
        </w:rPr>
        <w:t xml:space="preserve"> al VCO, combinando un análisis empírico </w:t>
      </w:r>
      <w:proofErr w:type="spellStart"/>
      <w:r w:rsidRPr="00A773D7">
        <w:rPr>
          <w:rFonts w:ascii="Times New Roman" w:hAnsi="Times New Roman" w:cs="Times New Roman"/>
          <w:sz w:val="20"/>
          <w:szCs w:val="20"/>
          <w:lang w:val="es-CO"/>
        </w:rPr>
        <w:t>inter-organizacional</w:t>
      </w:r>
      <w:proofErr w:type="spellEnd"/>
      <w:r w:rsidRPr="00A773D7">
        <w:rPr>
          <w:rFonts w:ascii="Times New Roman" w:hAnsi="Times New Roman" w:cs="Times New Roman"/>
          <w:sz w:val="20"/>
          <w:szCs w:val="20"/>
          <w:lang w:val="es-CO"/>
        </w:rPr>
        <w:t xml:space="preserve"> con una simulación calibrada.</w:t>
      </w:r>
    </w:p>
    <w:p w14:paraId="1A81431C" w14:textId="77777777" w:rsidR="00F639CD" w:rsidRPr="00A773D7" w:rsidRDefault="00000000" w:rsidP="00A773D7">
      <w:pPr>
        <w:pStyle w:val="Listaconvietas"/>
        <w:spacing w:after="8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t>OE4. Probar la robustez del incremento del VCO ante escenarios adversos y su transferibilidad al ámbito nacional PDET a través de la red FEMNCAFE, con implicaciones para la política pública de bioeconomía territorial.</w:t>
      </w:r>
    </w:p>
    <w:p w14:paraId="6BF854D9" w14:textId="77777777" w:rsidR="00F639CD" w:rsidRPr="00A773D7" w:rsidRDefault="00000000" w:rsidP="00A773D7">
      <w:pPr>
        <w:spacing w:before="240" w:after="80"/>
        <w:jc w:val="both"/>
        <w:rPr>
          <w:rFonts w:ascii="Times New Roman" w:hAnsi="Times New Roman" w:cs="Times New Roman"/>
          <w:sz w:val="20"/>
          <w:szCs w:val="20"/>
          <w:lang w:val="es-CO"/>
        </w:rPr>
      </w:pPr>
      <w:r w:rsidRPr="00A773D7">
        <w:rPr>
          <w:rFonts w:ascii="Times New Roman" w:hAnsi="Times New Roman" w:cs="Times New Roman"/>
          <w:b/>
          <w:sz w:val="20"/>
          <w:szCs w:val="20"/>
          <w:lang w:val="es-CO"/>
        </w:rPr>
        <w:t>4. Orientación metodológica</w:t>
      </w:r>
    </w:p>
    <w:p w14:paraId="30DBF435" w14:textId="77777777" w:rsidR="00F639CD" w:rsidRPr="00A773D7" w:rsidRDefault="00000000" w:rsidP="00A773D7">
      <w:pPr>
        <w:spacing w:after="12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t xml:space="preserve">La investigación adopta el paradigma </w:t>
      </w:r>
      <w:proofErr w:type="spellStart"/>
      <w:r w:rsidRPr="00A773D7">
        <w:rPr>
          <w:rFonts w:ascii="Times New Roman" w:hAnsi="Times New Roman" w:cs="Times New Roman"/>
          <w:sz w:val="20"/>
          <w:szCs w:val="20"/>
          <w:lang w:val="es-CO"/>
        </w:rPr>
        <w:t>Design</w:t>
      </w:r>
      <w:proofErr w:type="spellEnd"/>
      <w:r w:rsidRPr="00A773D7">
        <w:rPr>
          <w:rFonts w:ascii="Times New Roman" w:hAnsi="Times New Roman" w:cs="Times New Roman"/>
          <w:sz w:val="20"/>
          <w:szCs w:val="20"/>
          <w:lang w:val="es-CO"/>
        </w:rPr>
        <w:t xml:space="preserve"> </w:t>
      </w:r>
      <w:proofErr w:type="spellStart"/>
      <w:r w:rsidRPr="00A773D7">
        <w:rPr>
          <w:rFonts w:ascii="Times New Roman" w:hAnsi="Times New Roman" w:cs="Times New Roman"/>
          <w:sz w:val="20"/>
          <w:szCs w:val="20"/>
          <w:lang w:val="es-CO"/>
        </w:rPr>
        <w:t>Science</w:t>
      </w:r>
      <w:proofErr w:type="spellEnd"/>
      <w:r w:rsidRPr="00A773D7">
        <w:rPr>
          <w:rFonts w:ascii="Times New Roman" w:hAnsi="Times New Roman" w:cs="Times New Roman"/>
          <w:sz w:val="20"/>
          <w:szCs w:val="20"/>
          <w:lang w:val="es-CO"/>
        </w:rPr>
        <w:t xml:space="preserve"> </w:t>
      </w:r>
      <w:proofErr w:type="spellStart"/>
      <w:r w:rsidRPr="00A773D7">
        <w:rPr>
          <w:rFonts w:ascii="Times New Roman" w:hAnsi="Times New Roman" w:cs="Times New Roman"/>
          <w:sz w:val="20"/>
          <w:szCs w:val="20"/>
          <w:lang w:val="es-CO"/>
        </w:rPr>
        <w:t>Research</w:t>
      </w:r>
      <w:proofErr w:type="spellEnd"/>
      <w:r w:rsidRPr="00A773D7">
        <w:rPr>
          <w:rFonts w:ascii="Times New Roman" w:hAnsi="Times New Roman" w:cs="Times New Roman"/>
          <w:sz w:val="20"/>
          <w:szCs w:val="20"/>
          <w:lang w:val="es-CO"/>
        </w:rPr>
        <w:t xml:space="preserve"> (Hevner et al., 2004), que acopla rigor empírico con el diseño de artefactos implementables, en un diseño mixto secuencial de tres fases factible en tres a cuatro años porque su núcleo evaluativo es de simulación y no depende de la observación de resultados a varios años.</w:t>
      </w:r>
    </w:p>
    <w:p w14:paraId="013453F9" w14:textId="77777777" w:rsidR="00F639CD" w:rsidRPr="00A773D7" w:rsidRDefault="00000000" w:rsidP="00A773D7">
      <w:pPr>
        <w:pStyle w:val="Listaconvietas"/>
        <w:spacing w:after="8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lastRenderedPageBreak/>
        <w:t>Fase I (diagnóstica): establece VCO₀ mediante contabilidad de costos por actor de la cadena y series de precios; combina entrevistas semiestructuradas, análisis de redes sociales del capital social posconflicto y mapeo de la CGV; operacionaliza el IG a partir de los ocho principios de diseño de Ostrom y un índice de madurez tecnológica del subsistema digital; construye el IPDET (consolidación institucional, seguridad e implementación del Acuerdo) como moderador. Incorpora además un diagnóstico de oportunidades bio-basadas —valorización de biomasa residual, servicios ecosistémicos y mercados voluntarios de carbono— como dimensión transversal del VCO en agroecosistemas cafeteros.</w:t>
      </w:r>
    </w:p>
    <w:p w14:paraId="4F862C35" w14:textId="77777777" w:rsidR="00F639CD" w:rsidRPr="00A773D7" w:rsidRDefault="00000000" w:rsidP="00A773D7">
      <w:pPr>
        <w:pStyle w:val="Listaconvietas"/>
        <w:spacing w:after="8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t>Fase II (constructiva): diseña, prototipa e itera los mecanismos de la GDA mediante talleres de diseño participativo con comunidades caficultoras y un panel Delphi de tres rondas, cuyos rangos de consenso constituyen las distribuciones a priori empíricamente fundamentadas de la Fase III.</w:t>
      </w:r>
    </w:p>
    <w:p w14:paraId="695AC24C" w14:textId="77777777" w:rsidR="00F639CD" w:rsidRPr="00A773D7" w:rsidRDefault="00000000" w:rsidP="00A773D7">
      <w:pPr>
        <w:pStyle w:val="Listaconvietas"/>
        <w:spacing w:after="8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t>Fase III (evaluativa): (a) un censo de las organizaciones de la red FEMNCAFE (aprox. 20) compara, mediante análisis cualitativo comparado de conjuntos difusos (</w:t>
      </w:r>
      <w:proofErr w:type="spellStart"/>
      <w:r w:rsidRPr="00A773D7">
        <w:rPr>
          <w:rFonts w:ascii="Times New Roman" w:hAnsi="Times New Roman" w:cs="Times New Roman"/>
          <w:sz w:val="20"/>
          <w:szCs w:val="20"/>
          <w:lang w:val="es-CO"/>
        </w:rPr>
        <w:t>fsQCA</w:t>
      </w:r>
      <w:proofErr w:type="spellEnd"/>
      <w:r w:rsidRPr="00A773D7">
        <w:rPr>
          <w:rFonts w:ascii="Times New Roman" w:hAnsi="Times New Roman" w:cs="Times New Roman"/>
          <w:sz w:val="20"/>
          <w:szCs w:val="20"/>
          <w:lang w:val="es-CO"/>
        </w:rPr>
        <w:t xml:space="preserve">; Ragin, 2008), idóneo para un número reducido de casos, qué configuraciones de gobernanza (IG) y madurez tecnológica se asocian a un mayor VCO, con el caso embebido aportando evidencia de mecanismos causales mediante </w:t>
      </w:r>
      <w:proofErr w:type="spellStart"/>
      <w:r w:rsidRPr="00A773D7">
        <w:rPr>
          <w:rFonts w:ascii="Times New Roman" w:hAnsi="Times New Roman" w:cs="Times New Roman"/>
          <w:sz w:val="20"/>
          <w:szCs w:val="20"/>
          <w:lang w:val="es-CO"/>
        </w:rPr>
        <w:t>process</w:t>
      </w:r>
      <w:proofErr w:type="spellEnd"/>
      <w:r w:rsidRPr="00A773D7">
        <w:rPr>
          <w:rFonts w:ascii="Times New Roman" w:hAnsi="Times New Roman" w:cs="Times New Roman"/>
          <w:sz w:val="20"/>
          <w:szCs w:val="20"/>
          <w:lang w:val="es-CO"/>
        </w:rPr>
        <w:t xml:space="preserve"> </w:t>
      </w:r>
      <w:proofErr w:type="spellStart"/>
      <w:r w:rsidRPr="00A773D7">
        <w:rPr>
          <w:rFonts w:ascii="Times New Roman" w:hAnsi="Times New Roman" w:cs="Times New Roman"/>
          <w:sz w:val="20"/>
          <w:szCs w:val="20"/>
          <w:lang w:val="es-CO"/>
        </w:rPr>
        <w:t>tracing</w:t>
      </w:r>
      <w:proofErr w:type="spellEnd"/>
      <w:r w:rsidRPr="00A773D7">
        <w:rPr>
          <w:rFonts w:ascii="Times New Roman" w:hAnsi="Times New Roman" w:cs="Times New Roman"/>
          <w:sz w:val="20"/>
          <w:szCs w:val="20"/>
          <w:lang w:val="es-CO"/>
        </w:rPr>
        <w:t>; (b) una simulación Monte Carlo (≥10.000 iteraciones) analizada con índices de sensibilidad de Sobol descompone la varianza del VCO modelado en la contribución de cada subsistema, y un análisis de escenarios adversos (pruebas de estrés: colapso de precios, deterioro de la seguridad, fallo institucional) verifica si la ganancia de VCO se mantiene. Ambas vías se triangulan para contrastar la proposición central: la gobernanza explica más varianza del VCO que la tecnología.</w:t>
      </w:r>
    </w:p>
    <w:p w14:paraId="59DCC921" w14:textId="77777777" w:rsidR="00F639CD" w:rsidRPr="00A773D7" w:rsidRDefault="00000000" w:rsidP="00A773D7">
      <w:pPr>
        <w:spacing w:after="12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t>El diseño incluye aprobación por comité de ética, protocolos de consentimiento informado adaptados al contexto de seguridad y mecanismos de soberanía de datos para la trazabilidad digital. El acceso a campo está garantizado por la red FEMNCAFE, que agrupa a asociaciones caficultoras firmantes de la paz.</w:t>
      </w:r>
    </w:p>
    <w:p w14:paraId="061CE9EF" w14:textId="77777777" w:rsidR="00F639CD" w:rsidRPr="00A773D7" w:rsidRDefault="00000000" w:rsidP="00A773D7">
      <w:pPr>
        <w:spacing w:before="240" w:after="80"/>
        <w:jc w:val="both"/>
        <w:rPr>
          <w:rFonts w:ascii="Times New Roman" w:hAnsi="Times New Roman" w:cs="Times New Roman"/>
          <w:sz w:val="20"/>
          <w:szCs w:val="20"/>
        </w:rPr>
      </w:pPr>
      <w:r w:rsidRPr="00A773D7">
        <w:rPr>
          <w:rFonts w:ascii="Times New Roman" w:hAnsi="Times New Roman" w:cs="Times New Roman"/>
          <w:b/>
          <w:sz w:val="20"/>
          <w:szCs w:val="20"/>
        </w:rPr>
        <w:t>5. Resultados esperados y contribución</w:t>
      </w:r>
    </w:p>
    <w:p w14:paraId="1E471B5E" w14:textId="77777777" w:rsidR="00F639CD" w:rsidRPr="00A773D7" w:rsidRDefault="00000000" w:rsidP="00A773D7">
      <w:pPr>
        <w:pStyle w:val="Listaconvietas"/>
        <w:spacing w:after="8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t xml:space="preserve">Científica: un modelo integrador de gobernanza digital-institucional para organizaciones de economía social en territorios PDET, que extiende la teoría </w:t>
      </w:r>
      <w:proofErr w:type="spellStart"/>
      <w:r w:rsidRPr="00A773D7">
        <w:rPr>
          <w:rFonts w:ascii="Times New Roman" w:hAnsi="Times New Roman" w:cs="Times New Roman"/>
          <w:sz w:val="20"/>
          <w:szCs w:val="20"/>
          <w:lang w:val="es-CO"/>
        </w:rPr>
        <w:t>ostromiana</w:t>
      </w:r>
      <w:proofErr w:type="spellEnd"/>
      <w:r w:rsidRPr="00A773D7">
        <w:rPr>
          <w:rFonts w:ascii="Times New Roman" w:hAnsi="Times New Roman" w:cs="Times New Roman"/>
          <w:sz w:val="20"/>
          <w:szCs w:val="20"/>
          <w:lang w:val="es-CO"/>
        </w:rPr>
        <w:t xml:space="preserve"> y sociotécnica a condiciones de alta fragilidad y mediación digital; evidencia empírica, vía descomposición de Sobol, sobre si la gobernanza o la tecnología explica más la varianza del valor capturado en origen; y un marco analítico que incorpora la bioeconomía territorial como palanca transversal del VCO (Solarte-Toro &amp; Cardona, 2023).</w:t>
      </w:r>
    </w:p>
    <w:p w14:paraId="28F198B3" w14:textId="77777777" w:rsidR="00F639CD" w:rsidRPr="00A773D7" w:rsidRDefault="00000000" w:rsidP="00A773D7">
      <w:pPr>
        <w:pStyle w:val="Listaconvietas"/>
        <w:spacing w:after="8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t>Metodológica: un protocolo replicable DSR secuencial que acopla un análisis configuracional (</w:t>
      </w:r>
      <w:proofErr w:type="spellStart"/>
      <w:r w:rsidRPr="00A773D7">
        <w:rPr>
          <w:rFonts w:ascii="Times New Roman" w:hAnsi="Times New Roman" w:cs="Times New Roman"/>
          <w:sz w:val="20"/>
          <w:szCs w:val="20"/>
          <w:lang w:val="es-CO"/>
        </w:rPr>
        <w:t>fsQCA</w:t>
      </w:r>
      <w:proofErr w:type="spellEnd"/>
      <w:r w:rsidRPr="00A773D7">
        <w:rPr>
          <w:rFonts w:ascii="Times New Roman" w:hAnsi="Times New Roman" w:cs="Times New Roman"/>
          <w:sz w:val="20"/>
          <w:szCs w:val="20"/>
          <w:lang w:val="es-CO"/>
        </w:rPr>
        <w:t>) con una evaluación Monte Carlo-Sobol calibrada por Delphi, transferible a otras cadenas agroalimentarias del Sur Global.</w:t>
      </w:r>
    </w:p>
    <w:p w14:paraId="577BE3AB" w14:textId="570F45F1" w:rsidR="00F639CD" w:rsidRPr="00A773D7" w:rsidRDefault="00000000" w:rsidP="00A773D7">
      <w:pPr>
        <w:pStyle w:val="Listaconvietas"/>
        <w:spacing w:after="8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t>Praxeológica y de política: reglas de gobernanza, una arquitectura de trazabilidad y soberanía de datos, y un esquema de distribución de beneficios apropiables por las organizaciones, que apoyan el cumplimiento del EUDR y el acceso al mercado, con implicaciones para la política PDET colombiana y el desarrollo territorial. La investigación está articulada con la Misión Bioeconomía y Territorio</w:t>
      </w:r>
      <w:r w:rsidR="00A773D7">
        <w:rPr>
          <w:rFonts w:ascii="Times New Roman" w:hAnsi="Times New Roman" w:cs="Times New Roman"/>
          <w:sz w:val="20"/>
          <w:szCs w:val="20"/>
          <w:lang w:val="es-CO"/>
        </w:rPr>
        <w:t xml:space="preserve"> </w:t>
      </w:r>
      <w:r w:rsidR="00A773D7" w:rsidRPr="00A773D7">
        <w:rPr>
          <w:rFonts w:ascii="Times New Roman" w:hAnsi="Times New Roman" w:cs="Times New Roman"/>
          <w:sz w:val="20"/>
          <w:szCs w:val="20"/>
          <w:lang w:val="es-CO"/>
        </w:rPr>
        <w:t>de las Políticas Orientadas por Misiones PIIO</w:t>
      </w:r>
      <w:r w:rsidR="00A773D7">
        <w:rPr>
          <w:rFonts w:ascii="Times New Roman" w:hAnsi="Times New Roman" w:cs="Times New Roman"/>
          <w:sz w:val="20"/>
          <w:szCs w:val="20"/>
          <w:lang w:val="es-CO"/>
        </w:rPr>
        <w:t>M</w:t>
      </w:r>
      <w:r w:rsidR="00A773D7">
        <w:rPr>
          <w:rFonts w:ascii="Times New Roman" w:hAnsi="Times New Roman" w:cs="Times New Roman"/>
          <w:sz w:val="20"/>
          <w:szCs w:val="20"/>
          <w:lang w:val="es-CO"/>
        </w:rPr>
        <w:t xml:space="preserve"> de Colombia</w:t>
      </w:r>
      <w:r w:rsidRPr="00A773D7">
        <w:rPr>
          <w:rFonts w:ascii="Times New Roman" w:hAnsi="Times New Roman" w:cs="Times New Roman"/>
          <w:sz w:val="20"/>
          <w:szCs w:val="20"/>
          <w:lang w:val="es-CO"/>
        </w:rPr>
        <w:t>, desde la que contribuye al fortalecimiento institucional del sistema caficultor en territorios de posconflicto. Resultados verificables: la línea base VCO₀ y una estimación cuantificada del efecto de la GDA sobre el VCO; los índices IG e IPDET validados; el patrón empírico y simulado de gobernanza frente a tecnología; y al menos tres artículos en revistas indexadas.</w:t>
      </w:r>
    </w:p>
    <w:p w14:paraId="46D9EC64" w14:textId="5EFEB929" w:rsidR="00F639CD" w:rsidRPr="00A773D7" w:rsidRDefault="00000000" w:rsidP="00A773D7">
      <w:pPr>
        <w:spacing w:before="240" w:after="80"/>
        <w:jc w:val="both"/>
        <w:rPr>
          <w:rFonts w:ascii="Times New Roman" w:hAnsi="Times New Roman" w:cs="Times New Roman"/>
          <w:sz w:val="20"/>
          <w:szCs w:val="20"/>
          <w:lang w:val="es-CO"/>
        </w:rPr>
      </w:pPr>
      <w:r w:rsidRPr="00A773D7">
        <w:rPr>
          <w:rFonts w:ascii="Times New Roman" w:hAnsi="Times New Roman" w:cs="Times New Roman"/>
          <w:b/>
          <w:sz w:val="20"/>
          <w:szCs w:val="20"/>
          <w:lang w:val="es-CO"/>
        </w:rPr>
        <w:t>6. Cronograma</w:t>
      </w:r>
    </w:p>
    <w:p w14:paraId="314E86EE" w14:textId="77777777" w:rsidR="00F639CD" w:rsidRPr="00A773D7" w:rsidRDefault="00000000" w:rsidP="00A773D7">
      <w:pPr>
        <w:pStyle w:val="Listaconvietas"/>
        <w:spacing w:after="8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t>Año 1: consolidación del estado del arte; afinamiento de los constructos (VCO, IG, IPDET); diseño de instrumentos y protocolo ético; primera campaña de campo (Fase I) incluyendo diagnóstico bio-basado; primer artículo sobre el diagnóstico de la distribución de valor.</w:t>
      </w:r>
    </w:p>
    <w:p w14:paraId="2C9B20B1" w14:textId="77777777" w:rsidR="00F639CD" w:rsidRPr="00A773D7" w:rsidRDefault="00000000" w:rsidP="00A773D7">
      <w:pPr>
        <w:pStyle w:val="Listaconvietas"/>
        <w:spacing w:after="8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t>Año 2: trabajo constructivo (Fase II) con talleres de diseño participativo y panel Delphi; operacionalización de constructos y distribuciones a priori; periodo de movilidad; segundo artículo sobre el modelo de gobernanza.</w:t>
      </w:r>
    </w:p>
    <w:p w14:paraId="56420409" w14:textId="77777777" w:rsidR="00F639CD" w:rsidRPr="00A773D7" w:rsidRDefault="00000000" w:rsidP="00A773D7">
      <w:pPr>
        <w:pStyle w:val="Listaconvietas"/>
        <w:spacing w:after="8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lastRenderedPageBreak/>
        <w:t xml:space="preserve">Año 3: evaluación (Fase III: </w:t>
      </w:r>
      <w:proofErr w:type="spellStart"/>
      <w:r w:rsidRPr="00A773D7">
        <w:rPr>
          <w:rFonts w:ascii="Times New Roman" w:hAnsi="Times New Roman" w:cs="Times New Roman"/>
          <w:sz w:val="20"/>
          <w:szCs w:val="20"/>
          <w:lang w:val="es-CO"/>
        </w:rPr>
        <w:t>fsQCA</w:t>
      </w:r>
      <w:proofErr w:type="spellEnd"/>
      <w:r w:rsidRPr="00A773D7">
        <w:rPr>
          <w:rFonts w:ascii="Times New Roman" w:hAnsi="Times New Roman" w:cs="Times New Roman"/>
          <w:sz w:val="20"/>
          <w:szCs w:val="20"/>
          <w:lang w:val="es-CO"/>
        </w:rPr>
        <w:t xml:space="preserve"> + Monte Carlo-Sobol + escenarios adversos); triangulación; evaluación de transferibilidad; manual de transferencia técnica; documento de política pública; tercer artículo y avance de redacción.</w:t>
      </w:r>
    </w:p>
    <w:p w14:paraId="3DA1B007" w14:textId="77777777" w:rsidR="00F639CD" w:rsidRPr="00A773D7" w:rsidRDefault="00000000" w:rsidP="00A773D7">
      <w:pPr>
        <w:pStyle w:val="Listaconvietas"/>
        <w:spacing w:after="8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t>Año 4 (si aplica): integración y síntesis final, redacción completa de la tesis, correcciones, depósito y defensa pública; ponencia internacional en economía agraria, gobernanza digital o bioeconomía.</w:t>
      </w:r>
    </w:p>
    <w:p w14:paraId="7EEABF73" w14:textId="77777777" w:rsidR="00F639CD" w:rsidRPr="00A773D7" w:rsidRDefault="00000000" w:rsidP="00A773D7">
      <w:pPr>
        <w:spacing w:before="240" w:after="80"/>
        <w:jc w:val="both"/>
        <w:rPr>
          <w:rFonts w:ascii="Times New Roman" w:hAnsi="Times New Roman" w:cs="Times New Roman"/>
          <w:sz w:val="20"/>
          <w:szCs w:val="20"/>
          <w:lang w:val="es-CO"/>
        </w:rPr>
      </w:pPr>
      <w:r w:rsidRPr="00A773D7">
        <w:rPr>
          <w:rFonts w:ascii="Times New Roman" w:hAnsi="Times New Roman" w:cs="Times New Roman"/>
          <w:b/>
          <w:sz w:val="20"/>
          <w:szCs w:val="20"/>
          <w:lang w:val="es-CO"/>
        </w:rPr>
        <w:t>7. Encaje con el Doctorado en Tecnología Agroambiental para una Agricultura Sostenible (UPM)</w:t>
      </w:r>
    </w:p>
    <w:p w14:paraId="0EBFA6DA" w14:textId="77777777" w:rsidR="00F639CD" w:rsidRPr="00A773D7" w:rsidRDefault="00000000" w:rsidP="00A773D7">
      <w:pPr>
        <w:pStyle w:val="Listaconvietas"/>
        <w:spacing w:after="8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t>Tecnología agroambiental y agricultura sostenible: el modelo articula una arquitectura digital (trazabilidad y soberanía de datos) al servicio de la sostenibilidad de la cadena cafetera y del cumplimiento del EUDR, en la línea de economía agraria y recursos naturales del programa TAPAS.</w:t>
      </w:r>
    </w:p>
    <w:p w14:paraId="6970A746" w14:textId="77777777" w:rsidR="00F639CD" w:rsidRPr="00A773D7" w:rsidRDefault="00000000" w:rsidP="00A773D7">
      <w:pPr>
        <w:pStyle w:val="Listaconvietas"/>
        <w:spacing w:after="8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t>Gestión e innovación en sistemas agroalimentarios: la GDA aborda la captura de valor y la gobernanza de las organizaciones productoras en una cadena agroalimentaria, integrando la dimensión técnica (digital) y la social (asociativa) propia de los sistemas sociotécnicos agrarios.</w:t>
      </w:r>
    </w:p>
    <w:p w14:paraId="21CE1D78" w14:textId="45A5D890" w:rsidR="00F639CD" w:rsidRPr="00A773D7" w:rsidRDefault="00000000" w:rsidP="00A773D7">
      <w:pPr>
        <w:pStyle w:val="Listaconvietas"/>
        <w:spacing w:after="80"/>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t>Bioeconomía y diversificación territorial: el diagnóstico de oportunidades bio-basadas (valorización de biomasa residual del café, servicios ecosistémicos y mercados voluntarios de carbono) amplía el marco de sostenibilidad agroambiental del TAPAS hacia la valorización integral del agroecosistema cafetero, en línea con la Misión Bioeconomía y Territorio</w:t>
      </w:r>
      <w:r w:rsidR="00A773D7">
        <w:rPr>
          <w:rFonts w:ascii="Times New Roman" w:hAnsi="Times New Roman" w:cs="Times New Roman"/>
          <w:sz w:val="20"/>
          <w:szCs w:val="20"/>
          <w:lang w:val="es-CO"/>
        </w:rPr>
        <w:t xml:space="preserve"> del gobierno colombiano</w:t>
      </w:r>
      <w:r w:rsidRPr="00A773D7">
        <w:rPr>
          <w:rFonts w:ascii="Times New Roman" w:hAnsi="Times New Roman" w:cs="Times New Roman"/>
          <w:sz w:val="20"/>
          <w:szCs w:val="20"/>
          <w:lang w:val="es-CO"/>
        </w:rPr>
        <w:t>.</w:t>
      </w:r>
    </w:p>
    <w:p w14:paraId="7B4D53CA" w14:textId="77777777" w:rsidR="00F639CD" w:rsidRPr="00A773D7" w:rsidRDefault="00000000" w:rsidP="00A773D7">
      <w:pPr>
        <w:spacing w:before="240" w:after="80"/>
        <w:jc w:val="both"/>
        <w:rPr>
          <w:rFonts w:ascii="Times New Roman" w:hAnsi="Times New Roman" w:cs="Times New Roman"/>
          <w:sz w:val="20"/>
          <w:szCs w:val="20"/>
          <w:lang w:val="es-CO"/>
        </w:rPr>
      </w:pPr>
      <w:r w:rsidRPr="00A773D7">
        <w:rPr>
          <w:rFonts w:ascii="Times New Roman" w:hAnsi="Times New Roman" w:cs="Times New Roman"/>
          <w:b/>
          <w:sz w:val="20"/>
          <w:szCs w:val="20"/>
          <w:lang w:val="es-CO"/>
        </w:rPr>
        <w:t>8. Referencias</w:t>
      </w:r>
    </w:p>
    <w:p w14:paraId="60946C5C" w14:textId="77777777" w:rsidR="00F639CD" w:rsidRPr="00A773D7" w:rsidRDefault="00000000" w:rsidP="00A773D7">
      <w:pPr>
        <w:spacing w:after="60"/>
        <w:ind w:left="283" w:hanging="283"/>
        <w:jc w:val="both"/>
        <w:rPr>
          <w:rFonts w:ascii="Times New Roman" w:hAnsi="Times New Roman" w:cs="Times New Roman"/>
          <w:sz w:val="20"/>
          <w:szCs w:val="20"/>
        </w:rPr>
      </w:pPr>
      <w:r w:rsidRPr="00A773D7">
        <w:rPr>
          <w:rFonts w:ascii="Times New Roman" w:hAnsi="Times New Roman" w:cs="Times New Roman"/>
          <w:sz w:val="20"/>
          <w:szCs w:val="20"/>
          <w:lang w:val="es-CO"/>
        </w:rPr>
        <w:t xml:space="preserve">Abbas, R., &amp; Michael, K. (2026). </w:t>
      </w:r>
      <w:r w:rsidRPr="00A773D7">
        <w:rPr>
          <w:rFonts w:ascii="Times New Roman" w:hAnsi="Times New Roman" w:cs="Times New Roman"/>
          <w:sz w:val="20"/>
          <w:szCs w:val="20"/>
        </w:rPr>
        <w:t>Socio-technical theory: A review. In S. Papagiannidis (Ed.), TheoryHub book.</w:t>
      </w:r>
    </w:p>
    <w:p w14:paraId="390DE88E" w14:textId="77777777" w:rsidR="00F639CD" w:rsidRPr="00A773D7" w:rsidRDefault="00000000" w:rsidP="00A773D7">
      <w:pPr>
        <w:spacing w:after="60"/>
        <w:ind w:left="283" w:hanging="283"/>
        <w:jc w:val="both"/>
        <w:rPr>
          <w:rFonts w:ascii="Times New Roman" w:hAnsi="Times New Roman" w:cs="Times New Roman"/>
          <w:sz w:val="20"/>
          <w:szCs w:val="20"/>
        </w:rPr>
      </w:pPr>
      <w:r w:rsidRPr="00A773D7">
        <w:rPr>
          <w:rFonts w:ascii="Times New Roman" w:hAnsi="Times New Roman" w:cs="Times New Roman"/>
          <w:sz w:val="20"/>
          <w:szCs w:val="20"/>
        </w:rPr>
        <w:t>Agrawal, A. (2001). Common property institutions and sustainable governance of resources. World Development, 29(10), 1649-1672.</w:t>
      </w:r>
    </w:p>
    <w:p w14:paraId="659F4EF9" w14:textId="77777777" w:rsidR="00F639CD" w:rsidRPr="00A773D7" w:rsidRDefault="00000000" w:rsidP="00A773D7">
      <w:pPr>
        <w:spacing w:after="60"/>
        <w:ind w:left="283" w:hanging="283"/>
        <w:jc w:val="both"/>
        <w:rPr>
          <w:rFonts w:ascii="Times New Roman" w:hAnsi="Times New Roman" w:cs="Times New Roman"/>
          <w:sz w:val="20"/>
          <w:szCs w:val="20"/>
        </w:rPr>
      </w:pPr>
      <w:r w:rsidRPr="00A773D7">
        <w:rPr>
          <w:rFonts w:ascii="Times New Roman" w:hAnsi="Times New Roman" w:cs="Times New Roman"/>
          <w:sz w:val="20"/>
          <w:szCs w:val="20"/>
        </w:rPr>
        <w:t>Albis, N., &amp; Álvarez, I. (2008). Innovative activity in manufacturing subsidiaries in Colombia: Implications for the host country. Investigación Económica, 67(264), 85-115.</w:t>
      </w:r>
    </w:p>
    <w:p w14:paraId="2BA599EC" w14:textId="77777777" w:rsidR="00F639CD" w:rsidRPr="00A773D7" w:rsidRDefault="00000000" w:rsidP="00A773D7">
      <w:pPr>
        <w:spacing w:after="60"/>
        <w:ind w:left="283" w:hanging="283"/>
        <w:jc w:val="both"/>
        <w:rPr>
          <w:rFonts w:ascii="Times New Roman" w:hAnsi="Times New Roman" w:cs="Times New Roman"/>
          <w:sz w:val="20"/>
          <w:szCs w:val="20"/>
          <w:lang w:val="es-CO"/>
        </w:rPr>
      </w:pPr>
      <w:r w:rsidRPr="00A773D7">
        <w:rPr>
          <w:rFonts w:ascii="Times New Roman" w:hAnsi="Times New Roman" w:cs="Times New Roman"/>
          <w:sz w:val="20"/>
          <w:szCs w:val="20"/>
        </w:rPr>
        <w:t xml:space="preserve">Álvarez, I., &amp; Marín, R. (2008). FDI and world heterogeneities: The role of absorptive capacities. </w:t>
      </w:r>
      <w:r w:rsidRPr="00A773D7">
        <w:rPr>
          <w:rFonts w:ascii="Times New Roman" w:hAnsi="Times New Roman" w:cs="Times New Roman"/>
          <w:sz w:val="20"/>
          <w:szCs w:val="20"/>
          <w:lang w:val="es-CO"/>
        </w:rPr>
        <w:t xml:space="preserve">Spanish </w:t>
      </w:r>
      <w:proofErr w:type="spellStart"/>
      <w:r w:rsidRPr="00A773D7">
        <w:rPr>
          <w:rFonts w:ascii="Times New Roman" w:hAnsi="Times New Roman" w:cs="Times New Roman"/>
          <w:sz w:val="20"/>
          <w:szCs w:val="20"/>
          <w:lang w:val="es-CO"/>
        </w:rPr>
        <w:t>Economic</w:t>
      </w:r>
      <w:proofErr w:type="spellEnd"/>
      <w:r w:rsidRPr="00A773D7">
        <w:rPr>
          <w:rFonts w:ascii="Times New Roman" w:hAnsi="Times New Roman" w:cs="Times New Roman"/>
          <w:sz w:val="20"/>
          <w:szCs w:val="20"/>
          <w:lang w:val="es-CO"/>
        </w:rPr>
        <w:t xml:space="preserve"> </w:t>
      </w:r>
      <w:proofErr w:type="spellStart"/>
      <w:r w:rsidRPr="00A773D7">
        <w:rPr>
          <w:rFonts w:ascii="Times New Roman" w:hAnsi="Times New Roman" w:cs="Times New Roman"/>
          <w:sz w:val="20"/>
          <w:szCs w:val="20"/>
          <w:lang w:val="es-CO"/>
        </w:rPr>
        <w:t>Review</w:t>
      </w:r>
      <w:proofErr w:type="spellEnd"/>
      <w:r w:rsidRPr="00A773D7">
        <w:rPr>
          <w:rFonts w:ascii="Times New Roman" w:hAnsi="Times New Roman" w:cs="Times New Roman"/>
          <w:sz w:val="20"/>
          <w:szCs w:val="20"/>
          <w:lang w:val="es-CO"/>
        </w:rPr>
        <w:t>, 10(1), 33-56.</w:t>
      </w:r>
    </w:p>
    <w:p w14:paraId="0B0EC90E" w14:textId="77777777" w:rsidR="00F639CD" w:rsidRPr="00A773D7" w:rsidRDefault="00000000" w:rsidP="00A773D7">
      <w:pPr>
        <w:spacing w:after="60"/>
        <w:ind w:left="283" w:hanging="283"/>
        <w:jc w:val="both"/>
        <w:rPr>
          <w:rFonts w:ascii="Times New Roman" w:hAnsi="Times New Roman" w:cs="Times New Roman"/>
          <w:sz w:val="20"/>
          <w:szCs w:val="20"/>
          <w:lang w:val="es-CO"/>
        </w:rPr>
      </w:pPr>
      <w:r w:rsidRPr="00A773D7">
        <w:rPr>
          <w:rFonts w:ascii="Times New Roman" w:hAnsi="Times New Roman" w:cs="Times New Roman"/>
          <w:sz w:val="20"/>
          <w:szCs w:val="20"/>
          <w:lang w:val="es-CO"/>
        </w:rPr>
        <w:t>Álvarez, I., Quirós, C., Maldonado, G., &amp; García, D. (2021). La transición digital en Iberoamérica: desafíos y oportunidades para el desarrollo. In J. A. Sanahuja (Ed.), La Agenda 2030 en Iberoamérica (pp. 215-238). Fundación Carolina.</w:t>
      </w:r>
    </w:p>
    <w:p w14:paraId="5143DB27" w14:textId="77777777" w:rsidR="00F639CD" w:rsidRPr="00A773D7" w:rsidRDefault="00000000" w:rsidP="00A773D7">
      <w:pPr>
        <w:spacing w:after="60"/>
        <w:ind w:left="283" w:hanging="283"/>
        <w:jc w:val="both"/>
        <w:rPr>
          <w:rFonts w:ascii="Times New Roman" w:hAnsi="Times New Roman" w:cs="Times New Roman"/>
          <w:sz w:val="20"/>
          <w:szCs w:val="20"/>
          <w:lang w:val="es-CO"/>
        </w:rPr>
      </w:pPr>
      <w:r w:rsidRPr="00A773D7">
        <w:rPr>
          <w:rFonts w:ascii="Times New Roman" w:hAnsi="Times New Roman" w:cs="Times New Roman"/>
          <w:sz w:val="20"/>
          <w:szCs w:val="20"/>
        </w:rPr>
        <w:t xml:space="preserve">Birchall, J. (2011). People-centred businesses: Co-operatives, mutuals and the idea of membership. </w:t>
      </w:r>
      <w:proofErr w:type="spellStart"/>
      <w:r w:rsidRPr="00A773D7">
        <w:rPr>
          <w:rFonts w:ascii="Times New Roman" w:hAnsi="Times New Roman" w:cs="Times New Roman"/>
          <w:sz w:val="20"/>
          <w:szCs w:val="20"/>
          <w:lang w:val="es-CO"/>
        </w:rPr>
        <w:t>Palgrave</w:t>
      </w:r>
      <w:proofErr w:type="spellEnd"/>
      <w:r w:rsidRPr="00A773D7">
        <w:rPr>
          <w:rFonts w:ascii="Times New Roman" w:hAnsi="Times New Roman" w:cs="Times New Roman"/>
          <w:sz w:val="20"/>
          <w:szCs w:val="20"/>
          <w:lang w:val="es-CO"/>
        </w:rPr>
        <w:t xml:space="preserve"> Macmillan.</w:t>
      </w:r>
    </w:p>
    <w:p w14:paraId="333B426F" w14:textId="77777777" w:rsidR="00F639CD" w:rsidRPr="00A773D7" w:rsidRDefault="00000000" w:rsidP="00A773D7">
      <w:pPr>
        <w:spacing w:after="60"/>
        <w:ind w:left="283" w:hanging="283"/>
        <w:jc w:val="both"/>
        <w:rPr>
          <w:rFonts w:ascii="Times New Roman" w:hAnsi="Times New Roman" w:cs="Times New Roman"/>
          <w:sz w:val="20"/>
          <w:szCs w:val="20"/>
        </w:rPr>
      </w:pPr>
      <w:r w:rsidRPr="00A773D7">
        <w:rPr>
          <w:rFonts w:ascii="Times New Roman" w:hAnsi="Times New Roman" w:cs="Times New Roman"/>
          <w:sz w:val="20"/>
          <w:szCs w:val="20"/>
          <w:lang w:val="es-CO"/>
        </w:rPr>
        <w:t xml:space="preserve">CAF — Banco de Desarrollo de América Latina. (2021). Bioeconomía en América Latina y el Caribe: oportunidades de inversión de impacto. </w:t>
      </w:r>
      <w:r w:rsidRPr="00A773D7">
        <w:rPr>
          <w:rFonts w:ascii="Times New Roman" w:hAnsi="Times New Roman" w:cs="Times New Roman"/>
          <w:sz w:val="20"/>
          <w:szCs w:val="20"/>
        </w:rPr>
        <w:t>CAF.</w:t>
      </w:r>
    </w:p>
    <w:p w14:paraId="037058F2" w14:textId="77777777" w:rsidR="00F639CD" w:rsidRPr="00A773D7" w:rsidRDefault="00000000" w:rsidP="00A773D7">
      <w:pPr>
        <w:spacing w:after="60"/>
        <w:ind w:left="283" w:hanging="283"/>
        <w:jc w:val="both"/>
        <w:rPr>
          <w:rFonts w:ascii="Times New Roman" w:hAnsi="Times New Roman" w:cs="Times New Roman"/>
          <w:sz w:val="20"/>
          <w:szCs w:val="20"/>
        </w:rPr>
      </w:pPr>
      <w:r w:rsidRPr="00A773D7">
        <w:rPr>
          <w:rFonts w:ascii="Times New Roman" w:hAnsi="Times New Roman" w:cs="Times New Roman"/>
          <w:sz w:val="20"/>
          <w:szCs w:val="20"/>
        </w:rPr>
        <w:t>Chaves, R., &amp; Monzón, J. L. (2012). Beyond the crisis: The social economy, prop of a new model of sustainable economic development. Service Business, 6(1), 5-26.</w:t>
      </w:r>
    </w:p>
    <w:p w14:paraId="0810ED5F" w14:textId="77777777" w:rsidR="00F639CD" w:rsidRPr="00A773D7" w:rsidRDefault="00000000" w:rsidP="00A773D7">
      <w:pPr>
        <w:spacing w:after="60"/>
        <w:ind w:left="283" w:hanging="283"/>
        <w:jc w:val="both"/>
        <w:rPr>
          <w:rFonts w:ascii="Times New Roman" w:hAnsi="Times New Roman" w:cs="Times New Roman"/>
          <w:sz w:val="20"/>
          <w:szCs w:val="20"/>
        </w:rPr>
      </w:pPr>
      <w:r w:rsidRPr="00A773D7">
        <w:rPr>
          <w:rFonts w:ascii="Times New Roman" w:hAnsi="Times New Roman" w:cs="Times New Roman"/>
          <w:sz w:val="20"/>
          <w:szCs w:val="20"/>
        </w:rPr>
        <w:t>Cong, L. W., Li, Y., &amp; Wang, N. (2020). Tokenomics: Dynamic adoption and valuation. The Review of Financial Studies, 34(3), 1105-1155.</w:t>
      </w:r>
    </w:p>
    <w:p w14:paraId="0C6F047F" w14:textId="77777777" w:rsidR="00F639CD" w:rsidRPr="00A773D7" w:rsidRDefault="00000000" w:rsidP="00A773D7">
      <w:pPr>
        <w:spacing w:after="60"/>
        <w:ind w:left="283" w:hanging="283"/>
        <w:jc w:val="both"/>
        <w:rPr>
          <w:rFonts w:ascii="Times New Roman" w:hAnsi="Times New Roman" w:cs="Times New Roman"/>
          <w:sz w:val="20"/>
          <w:szCs w:val="20"/>
        </w:rPr>
      </w:pPr>
      <w:r w:rsidRPr="00A773D7">
        <w:rPr>
          <w:rFonts w:ascii="Times New Roman" w:hAnsi="Times New Roman" w:cs="Times New Roman"/>
          <w:sz w:val="20"/>
          <w:szCs w:val="20"/>
        </w:rPr>
        <w:t>Elmatsani, A., et al. (2026). Blockchain-based agri-food traceability under the EUDR: Opportunities and barriers. Food Policy, 112, 102455.</w:t>
      </w:r>
    </w:p>
    <w:p w14:paraId="1A0C2B58" w14:textId="77777777" w:rsidR="00F639CD" w:rsidRPr="00A773D7" w:rsidRDefault="00000000" w:rsidP="00A773D7">
      <w:pPr>
        <w:spacing w:after="60"/>
        <w:ind w:left="283" w:hanging="283"/>
        <w:jc w:val="both"/>
        <w:rPr>
          <w:rFonts w:ascii="Times New Roman" w:hAnsi="Times New Roman" w:cs="Times New Roman"/>
          <w:sz w:val="20"/>
          <w:szCs w:val="20"/>
        </w:rPr>
      </w:pPr>
      <w:r w:rsidRPr="00A773D7">
        <w:rPr>
          <w:rFonts w:ascii="Times New Roman" w:hAnsi="Times New Roman" w:cs="Times New Roman"/>
          <w:sz w:val="20"/>
          <w:szCs w:val="20"/>
        </w:rPr>
        <w:t>Emery, F. E., &amp; Trist, E. L. (1965). The causal texture of organizational environments. Human Relations, 18(1), 21-32.</w:t>
      </w:r>
    </w:p>
    <w:p w14:paraId="5FE79314" w14:textId="77777777" w:rsidR="00F639CD" w:rsidRPr="00A773D7" w:rsidRDefault="00000000" w:rsidP="00A773D7">
      <w:pPr>
        <w:spacing w:after="60"/>
        <w:ind w:left="283" w:hanging="283"/>
        <w:jc w:val="both"/>
        <w:rPr>
          <w:rFonts w:ascii="Times New Roman" w:hAnsi="Times New Roman" w:cs="Times New Roman"/>
          <w:sz w:val="20"/>
          <w:szCs w:val="20"/>
        </w:rPr>
      </w:pPr>
      <w:r w:rsidRPr="00A773D7">
        <w:rPr>
          <w:rFonts w:ascii="Times New Roman" w:hAnsi="Times New Roman" w:cs="Times New Roman"/>
          <w:sz w:val="20"/>
          <w:szCs w:val="20"/>
        </w:rPr>
        <w:t>Fitter, R., &amp; Kaplinsky, R. (2001). Who gains from product rents as the coffee market becomes more differentiated? IDS Bulletin, 32(3), 69-82.</w:t>
      </w:r>
    </w:p>
    <w:p w14:paraId="52024460" w14:textId="77777777" w:rsidR="00F639CD" w:rsidRPr="00A773D7" w:rsidRDefault="00000000" w:rsidP="00A773D7">
      <w:pPr>
        <w:spacing w:after="60"/>
        <w:ind w:left="283" w:hanging="283"/>
        <w:jc w:val="both"/>
        <w:rPr>
          <w:rFonts w:ascii="Times New Roman" w:hAnsi="Times New Roman" w:cs="Times New Roman"/>
          <w:sz w:val="20"/>
          <w:szCs w:val="20"/>
        </w:rPr>
      </w:pPr>
      <w:r w:rsidRPr="00A773D7">
        <w:rPr>
          <w:rFonts w:ascii="Times New Roman" w:hAnsi="Times New Roman" w:cs="Times New Roman"/>
          <w:sz w:val="20"/>
          <w:szCs w:val="20"/>
        </w:rPr>
        <w:t>Gereffi, G., Humphrey, J., &amp; Sturgeon, T. (2005). The governance of global value chains. Review of International Political Economy, 12(1), 78-104.</w:t>
      </w:r>
    </w:p>
    <w:p w14:paraId="3C05F61C" w14:textId="77777777" w:rsidR="00F639CD" w:rsidRPr="00A773D7" w:rsidRDefault="00000000" w:rsidP="00A773D7">
      <w:pPr>
        <w:spacing w:after="60"/>
        <w:ind w:left="283" w:hanging="283"/>
        <w:jc w:val="both"/>
        <w:rPr>
          <w:rFonts w:ascii="Times New Roman" w:hAnsi="Times New Roman" w:cs="Times New Roman"/>
          <w:sz w:val="20"/>
          <w:szCs w:val="20"/>
        </w:rPr>
      </w:pPr>
      <w:r w:rsidRPr="00A773D7">
        <w:rPr>
          <w:rFonts w:ascii="Times New Roman" w:hAnsi="Times New Roman" w:cs="Times New Roman"/>
          <w:sz w:val="20"/>
          <w:szCs w:val="20"/>
        </w:rPr>
        <w:lastRenderedPageBreak/>
        <w:t xml:space="preserve">González, J., &amp; Serna, C. A. (2018). </w:t>
      </w:r>
      <w:r w:rsidRPr="00A773D7">
        <w:rPr>
          <w:rFonts w:ascii="Times New Roman" w:hAnsi="Times New Roman" w:cs="Times New Roman"/>
          <w:sz w:val="20"/>
          <w:szCs w:val="20"/>
          <w:lang w:val="es-CO"/>
        </w:rPr>
        <w:t xml:space="preserve">Protocolos MRV para sistemas agroforestales cafeteros en Colombia. </w:t>
      </w:r>
      <w:proofErr w:type="spellStart"/>
      <w:r w:rsidRPr="00A773D7">
        <w:rPr>
          <w:rFonts w:ascii="Times New Roman" w:hAnsi="Times New Roman" w:cs="Times New Roman"/>
          <w:sz w:val="20"/>
          <w:szCs w:val="20"/>
        </w:rPr>
        <w:t>Cenicafé</w:t>
      </w:r>
      <w:proofErr w:type="spellEnd"/>
      <w:r w:rsidRPr="00A773D7">
        <w:rPr>
          <w:rFonts w:ascii="Times New Roman" w:hAnsi="Times New Roman" w:cs="Times New Roman"/>
          <w:sz w:val="20"/>
          <w:szCs w:val="20"/>
        </w:rPr>
        <w:t xml:space="preserve">, </w:t>
      </w:r>
      <w:proofErr w:type="spellStart"/>
      <w:r w:rsidRPr="00A773D7">
        <w:rPr>
          <w:rFonts w:ascii="Times New Roman" w:hAnsi="Times New Roman" w:cs="Times New Roman"/>
          <w:sz w:val="20"/>
          <w:szCs w:val="20"/>
        </w:rPr>
        <w:t>Documento</w:t>
      </w:r>
      <w:proofErr w:type="spellEnd"/>
      <w:r w:rsidRPr="00A773D7">
        <w:rPr>
          <w:rFonts w:ascii="Times New Roman" w:hAnsi="Times New Roman" w:cs="Times New Roman"/>
          <w:sz w:val="20"/>
          <w:szCs w:val="20"/>
        </w:rPr>
        <w:t xml:space="preserve"> Técnico 48.</w:t>
      </w:r>
    </w:p>
    <w:p w14:paraId="4BBF64D7" w14:textId="77777777" w:rsidR="00F639CD" w:rsidRPr="00A773D7" w:rsidRDefault="00000000" w:rsidP="00A773D7">
      <w:pPr>
        <w:spacing w:after="60"/>
        <w:ind w:left="283" w:hanging="283"/>
        <w:jc w:val="both"/>
        <w:rPr>
          <w:rFonts w:ascii="Times New Roman" w:hAnsi="Times New Roman" w:cs="Times New Roman"/>
          <w:sz w:val="20"/>
          <w:szCs w:val="20"/>
        </w:rPr>
      </w:pPr>
      <w:r w:rsidRPr="00A773D7">
        <w:rPr>
          <w:rFonts w:ascii="Times New Roman" w:hAnsi="Times New Roman" w:cs="Times New Roman"/>
          <w:sz w:val="20"/>
          <w:szCs w:val="20"/>
        </w:rPr>
        <w:t>Grabs, J., &amp; Ponte, S. (2019). The evolution of power in the global coffee value chain and production network. Journal of Economic Geography, 19(4), 803-828.</w:t>
      </w:r>
    </w:p>
    <w:p w14:paraId="088C6FB0" w14:textId="77777777" w:rsidR="00F639CD" w:rsidRPr="00A773D7" w:rsidRDefault="00000000" w:rsidP="00A773D7">
      <w:pPr>
        <w:spacing w:after="60"/>
        <w:ind w:left="283" w:hanging="283"/>
        <w:jc w:val="both"/>
        <w:rPr>
          <w:rFonts w:ascii="Times New Roman" w:hAnsi="Times New Roman" w:cs="Times New Roman"/>
          <w:sz w:val="20"/>
          <w:szCs w:val="20"/>
        </w:rPr>
      </w:pPr>
      <w:r w:rsidRPr="00A773D7">
        <w:rPr>
          <w:rFonts w:ascii="Times New Roman" w:hAnsi="Times New Roman" w:cs="Times New Roman"/>
          <w:sz w:val="20"/>
          <w:szCs w:val="20"/>
        </w:rPr>
        <w:t>Havemann, T., Negra, C., &amp; Werneck, F. (2020). Blended finance for agriculture: Exploring the constraints and possibilities of combining finance for food systems that deliver on the SDGs. Agriculture &amp; Food Security, 9(1), 13.</w:t>
      </w:r>
    </w:p>
    <w:p w14:paraId="0EA575C7" w14:textId="77777777" w:rsidR="00F639CD" w:rsidRPr="00A773D7" w:rsidRDefault="00000000" w:rsidP="00A773D7">
      <w:pPr>
        <w:spacing w:after="60"/>
        <w:ind w:left="283" w:hanging="283"/>
        <w:jc w:val="both"/>
        <w:rPr>
          <w:rFonts w:ascii="Times New Roman" w:hAnsi="Times New Roman" w:cs="Times New Roman"/>
          <w:sz w:val="20"/>
          <w:szCs w:val="20"/>
        </w:rPr>
      </w:pPr>
      <w:r w:rsidRPr="00A773D7">
        <w:rPr>
          <w:rFonts w:ascii="Times New Roman" w:hAnsi="Times New Roman" w:cs="Times New Roman"/>
          <w:sz w:val="20"/>
          <w:szCs w:val="20"/>
        </w:rPr>
        <w:t>Hevner, A. R., March, S. T., Park, J., &amp; Ram, S. (2004). Design science in information systems research. MIS Quarterly, 28(1), 75-105.</w:t>
      </w:r>
    </w:p>
    <w:p w14:paraId="7CA407AA" w14:textId="77777777" w:rsidR="00F639CD" w:rsidRPr="00A773D7" w:rsidRDefault="00000000" w:rsidP="00A773D7">
      <w:pPr>
        <w:spacing w:after="60"/>
        <w:ind w:left="283" w:hanging="283"/>
        <w:jc w:val="both"/>
        <w:rPr>
          <w:rFonts w:ascii="Times New Roman" w:hAnsi="Times New Roman" w:cs="Times New Roman"/>
          <w:sz w:val="20"/>
          <w:szCs w:val="20"/>
        </w:rPr>
      </w:pPr>
      <w:r w:rsidRPr="00A773D7">
        <w:rPr>
          <w:rFonts w:ascii="Times New Roman" w:hAnsi="Times New Roman" w:cs="Times New Roman"/>
          <w:sz w:val="20"/>
          <w:szCs w:val="20"/>
        </w:rPr>
        <w:t>Horváth, A., &amp; Kemser, H.-P. (2026). The contemporary relevance of socio-technical systems theory in the age of Industry 4.0. International Review of Applied Sciences and Engineering.</w:t>
      </w:r>
    </w:p>
    <w:p w14:paraId="3BC703B0" w14:textId="77777777" w:rsidR="00F639CD" w:rsidRPr="00A773D7" w:rsidRDefault="00000000" w:rsidP="00A773D7">
      <w:pPr>
        <w:spacing w:after="60"/>
        <w:ind w:left="283" w:hanging="283"/>
        <w:jc w:val="both"/>
        <w:rPr>
          <w:rFonts w:ascii="Times New Roman" w:hAnsi="Times New Roman" w:cs="Times New Roman"/>
          <w:sz w:val="20"/>
          <w:szCs w:val="20"/>
        </w:rPr>
      </w:pPr>
      <w:r w:rsidRPr="00A773D7">
        <w:rPr>
          <w:rFonts w:ascii="Times New Roman" w:hAnsi="Times New Roman" w:cs="Times New Roman"/>
          <w:sz w:val="20"/>
          <w:szCs w:val="20"/>
        </w:rPr>
        <w:t>Humphrey, J., &amp; Schmitz, H. (2002). How does insertion in global value chains affect upgrading in industrial clusters? Regional Studies, 36(9), 1017-1027.</w:t>
      </w:r>
    </w:p>
    <w:p w14:paraId="5CE54563" w14:textId="77777777" w:rsidR="00F639CD" w:rsidRPr="00A773D7" w:rsidRDefault="00000000" w:rsidP="00A773D7">
      <w:pPr>
        <w:spacing w:after="60"/>
        <w:ind w:left="283" w:hanging="283"/>
        <w:jc w:val="both"/>
        <w:rPr>
          <w:rFonts w:ascii="Times New Roman" w:hAnsi="Times New Roman" w:cs="Times New Roman"/>
          <w:sz w:val="20"/>
          <w:szCs w:val="20"/>
        </w:rPr>
      </w:pPr>
      <w:r w:rsidRPr="00A773D7">
        <w:rPr>
          <w:rFonts w:ascii="Times New Roman" w:hAnsi="Times New Roman" w:cs="Times New Roman"/>
          <w:sz w:val="20"/>
          <w:szCs w:val="20"/>
        </w:rPr>
        <w:t>Merbah, N., &amp; Benito-Hernández, S. (2023). Sustainability labels in the Spanish coffee market: A hedonic price approach. Spanish Journal of Agricultural Research, 21(1), e0102.</w:t>
      </w:r>
    </w:p>
    <w:p w14:paraId="62A3C79F" w14:textId="77777777" w:rsidR="00F639CD" w:rsidRPr="00A773D7" w:rsidRDefault="00000000" w:rsidP="00A773D7">
      <w:pPr>
        <w:spacing w:after="60"/>
        <w:ind w:left="283" w:hanging="283"/>
        <w:jc w:val="both"/>
        <w:rPr>
          <w:rFonts w:ascii="Times New Roman" w:hAnsi="Times New Roman" w:cs="Times New Roman"/>
          <w:sz w:val="20"/>
          <w:szCs w:val="20"/>
          <w:lang w:val="es-CO"/>
        </w:rPr>
      </w:pPr>
      <w:r w:rsidRPr="00A773D7">
        <w:rPr>
          <w:rFonts w:ascii="Times New Roman" w:hAnsi="Times New Roman" w:cs="Times New Roman"/>
          <w:sz w:val="20"/>
          <w:szCs w:val="20"/>
        </w:rPr>
        <w:t xml:space="preserve">Miatton, L., &amp; Amado, L. (2020). Fairness, transparency and traceability in the coffee value chain through blockchain innovation. Proceedings of the 3rd International Conference on E-Business and Internet. </w:t>
      </w:r>
      <w:r w:rsidRPr="00A773D7">
        <w:rPr>
          <w:rFonts w:ascii="Times New Roman" w:hAnsi="Times New Roman" w:cs="Times New Roman"/>
          <w:sz w:val="20"/>
          <w:szCs w:val="20"/>
          <w:lang w:val="es-CO"/>
        </w:rPr>
        <w:t>ICEI 2020.</w:t>
      </w:r>
    </w:p>
    <w:p w14:paraId="402E04BD" w14:textId="77777777" w:rsidR="00F639CD" w:rsidRPr="00A773D7" w:rsidRDefault="00000000" w:rsidP="00A773D7">
      <w:pPr>
        <w:spacing w:after="60"/>
        <w:ind w:left="283" w:hanging="283"/>
        <w:jc w:val="both"/>
        <w:rPr>
          <w:rFonts w:ascii="Times New Roman" w:hAnsi="Times New Roman" w:cs="Times New Roman"/>
          <w:sz w:val="20"/>
          <w:szCs w:val="20"/>
          <w:lang w:val="es-CO"/>
        </w:rPr>
      </w:pPr>
      <w:proofErr w:type="spellStart"/>
      <w:r w:rsidRPr="00A773D7">
        <w:rPr>
          <w:rFonts w:ascii="Times New Roman" w:hAnsi="Times New Roman" w:cs="Times New Roman"/>
          <w:sz w:val="20"/>
          <w:szCs w:val="20"/>
          <w:lang w:val="es-CO"/>
        </w:rPr>
        <w:t>Minciencias</w:t>
      </w:r>
      <w:proofErr w:type="spellEnd"/>
      <w:r w:rsidRPr="00A773D7">
        <w:rPr>
          <w:rFonts w:ascii="Times New Roman" w:hAnsi="Times New Roman" w:cs="Times New Roman"/>
          <w:sz w:val="20"/>
          <w:szCs w:val="20"/>
          <w:lang w:val="es-CO"/>
        </w:rPr>
        <w:t>. (2024). Resolución 1452 de 2024: Misión Bioeconomía y Territorio (PIIOM). Bogotá: Ministerio de Ciencia, Tecnología e Innovación.</w:t>
      </w:r>
    </w:p>
    <w:p w14:paraId="4078A8AB" w14:textId="77777777" w:rsidR="00F639CD" w:rsidRPr="00A773D7" w:rsidRDefault="00000000" w:rsidP="00A773D7">
      <w:pPr>
        <w:spacing w:after="60"/>
        <w:ind w:left="283" w:hanging="283"/>
        <w:jc w:val="both"/>
        <w:rPr>
          <w:rFonts w:ascii="Times New Roman" w:hAnsi="Times New Roman" w:cs="Times New Roman"/>
          <w:sz w:val="20"/>
          <w:szCs w:val="20"/>
        </w:rPr>
      </w:pPr>
      <w:r w:rsidRPr="00A773D7">
        <w:rPr>
          <w:rFonts w:ascii="Times New Roman" w:hAnsi="Times New Roman" w:cs="Times New Roman"/>
          <w:sz w:val="20"/>
          <w:szCs w:val="20"/>
        </w:rPr>
        <w:t>Ortmann, G. F., &amp; King, R. P. (2007). Agricultural cooperatives I: History, theory and problems. Agrekon, 46(1), 18-46.</w:t>
      </w:r>
    </w:p>
    <w:p w14:paraId="6FEB7213" w14:textId="77777777" w:rsidR="00F639CD" w:rsidRPr="00A773D7" w:rsidRDefault="00000000" w:rsidP="00A773D7">
      <w:pPr>
        <w:spacing w:after="60"/>
        <w:ind w:left="283" w:hanging="283"/>
        <w:jc w:val="both"/>
        <w:rPr>
          <w:rFonts w:ascii="Times New Roman" w:hAnsi="Times New Roman" w:cs="Times New Roman"/>
          <w:sz w:val="20"/>
          <w:szCs w:val="20"/>
          <w:lang w:val="es-CO"/>
        </w:rPr>
      </w:pPr>
      <w:r w:rsidRPr="00A773D7">
        <w:rPr>
          <w:rFonts w:ascii="Times New Roman" w:hAnsi="Times New Roman" w:cs="Times New Roman"/>
          <w:sz w:val="20"/>
          <w:szCs w:val="20"/>
        </w:rPr>
        <w:t xml:space="preserve">Ostrom, E. (1990). Governing the commons: The evolution of institutions for collective action. </w:t>
      </w:r>
      <w:r w:rsidRPr="00A773D7">
        <w:rPr>
          <w:rFonts w:ascii="Times New Roman" w:hAnsi="Times New Roman" w:cs="Times New Roman"/>
          <w:sz w:val="20"/>
          <w:szCs w:val="20"/>
          <w:lang w:val="es-CO"/>
        </w:rPr>
        <w:t>Cambridge University Press.</w:t>
      </w:r>
    </w:p>
    <w:p w14:paraId="36842775" w14:textId="77777777" w:rsidR="00F639CD" w:rsidRPr="00A773D7" w:rsidRDefault="00000000" w:rsidP="00A773D7">
      <w:pPr>
        <w:spacing w:after="60"/>
        <w:ind w:left="283" w:hanging="283"/>
        <w:jc w:val="both"/>
        <w:rPr>
          <w:rFonts w:ascii="Times New Roman" w:hAnsi="Times New Roman" w:cs="Times New Roman"/>
          <w:sz w:val="20"/>
          <w:szCs w:val="20"/>
        </w:rPr>
      </w:pPr>
      <w:r w:rsidRPr="00A773D7">
        <w:rPr>
          <w:rFonts w:ascii="Times New Roman" w:hAnsi="Times New Roman" w:cs="Times New Roman"/>
          <w:sz w:val="20"/>
          <w:szCs w:val="20"/>
          <w:lang w:val="es-CO"/>
        </w:rPr>
        <w:t xml:space="preserve">Presidencia de la República de Colombia. (2017). Decreto 893 de 2017. </w:t>
      </w:r>
      <w:r w:rsidRPr="00A773D7">
        <w:rPr>
          <w:rFonts w:ascii="Times New Roman" w:hAnsi="Times New Roman" w:cs="Times New Roman"/>
          <w:sz w:val="20"/>
          <w:szCs w:val="20"/>
        </w:rPr>
        <w:t xml:space="preserve">Diario </w:t>
      </w:r>
      <w:proofErr w:type="spellStart"/>
      <w:r w:rsidRPr="00A773D7">
        <w:rPr>
          <w:rFonts w:ascii="Times New Roman" w:hAnsi="Times New Roman" w:cs="Times New Roman"/>
          <w:sz w:val="20"/>
          <w:szCs w:val="20"/>
        </w:rPr>
        <w:t>Oficial</w:t>
      </w:r>
      <w:proofErr w:type="spellEnd"/>
      <w:r w:rsidRPr="00A773D7">
        <w:rPr>
          <w:rFonts w:ascii="Times New Roman" w:hAnsi="Times New Roman" w:cs="Times New Roman"/>
          <w:sz w:val="20"/>
          <w:szCs w:val="20"/>
        </w:rPr>
        <w:t xml:space="preserve"> No. 50.230.</w:t>
      </w:r>
    </w:p>
    <w:p w14:paraId="06EA845B" w14:textId="77777777" w:rsidR="00F639CD" w:rsidRPr="00A773D7" w:rsidRDefault="00000000" w:rsidP="00A773D7">
      <w:pPr>
        <w:spacing w:after="60"/>
        <w:ind w:left="283" w:hanging="283"/>
        <w:jc w:val="both"/>
        <w:rPr>
          <w:rFonts w:ascii="Times New Roman" w:hAnsi="Times New Roman" w:cs="Times New Roman"/>
          <w:sz w:val="20"/>
          <w:szCs w:val="20"/>
        </w:rPr>
      </w:pPr>
      <w:r w:rsidRPr="00A773D7">
        <w:rPr>
          <w:rFonts w:ascii="Times New Roman" w:hAnsi="Times New Roman" w:cs="Times New Roman"/>
          <w:sz w:val="20"/>
          <w:szCs w:val="20"/>
        </w:rPr>
        <w:t>Ragin</w:t>
      </w:r>
      <w:proofErr w:type="gramStart"/>
      <w:r w:rsidRPr="00A773D7">
        <w:rPr>
          <w:rFonts w:ascii="Times New Roman" w:hAnsi="Times New Roman" w:cs="Times New Roman"/>
          <w:sz w:val="20"/>
          <w:szCs w:val="20"/>
        </w:rPr>
        <w:t>, C.</w:t>
      </w:r>
      <w:proofErr w:type="gramEnd"/>
      <w:r w:rsidRPr="00A773D7">
        <w:rPr>
          <w:rFonts w:ascii="Times New Roman" w:hAnsi="Times New Roman" w:cs="Times New Roman"/>
          <w:sz w:val="20"/>
          <w:szCs w:val="20"/>
        </w:rPr>
        <w:t xml:space="preserve"> C. (2008). Redesigning social inquiry: Fuzzy sets and beyond. University of Chicago Press.</w:t>
      </w:r>
    </w:p>
    <w:p w14:paraId="6DE44A28" w14:textId="77777777" w:rsidR="00F639CD" w:rsidRPr="00A773D7" w:rsidRDefault="00000000" w:rsidP="00A773D7">
      <w:pPr>
        <w:spacing w:after="60"/>
        <w:ind w:left="283" w:hanging="283"/>
        <w:jc w:val="both"/>
        <w:rPr>
          <w:rFonts w:ascii="Times New Roman" w:hAnsi="Times New Roman" w:cs="Times New Roman"/>
          <w:sz w:val="20"/>
          <w:szCs w:val="20"/>
          <w:lang w:val="es-CO"/>
        </w:rPr>
      </w:pPr>
      <w:r w:rsidRPr="00A773D7">
        <w:rPr>
          <w:rFonts w:ascii="Times New Roman" w:hAnsi="Times New Roman" w:cs="Times New Roman"/>
          <w:sz w:val="20"/>
          <w:szCs w:val="20"/>
        </w:rPr>
        <w:t xml:space="preserve">Rettberg, A. (2010). Global markets, local conflict: Violence in the Colombian coffee region. </w:t>
      </w:r>
      <w:proofErr w:type="spellStart"/>
      <w:r w:rsidRPr="00A773D7">
        <w:rPr>
          <w:rFonts w:ascii="Times New Roman" w:hAnsi="Times New Roman" w:cs="Times New Roman"/>
          <w:sz w:val="20"/>
          <w:szCs w:val="20"/>
          <w:lang w:val="es-CO"/>
        </w:rPr>
        <w:t>Latin</w:t>
      </w:r>
      <w:proofErr w:type="spellEnd"/>
      <w:r w:rsidRPr="00A773D7">
        <w:rPr>
          <w:rFonts w:ascii="Times New Roman" w:hAnsi="Times New Roman" w:cs="Times New Roman"/>
          <w:sz w:val="20"/>
          <w:szCs w:val="20"/>
          <w:lang w:val="es-CO"/>
        </w:rPr>
        <w:t xml:space="preserve"> American </w:t>
      </w:r>
      <w:proofErr w:type="spellStart"/>
      <w:r w:rsidRPr="00A773D7">
        <w:rPr>
          <w:rFonts w:ascii="Times New Roman" w:hAnsi="Times New Roman" w:cs="Times New Roman"/>
          <w:sz w:val="20"/>
          <w:szCs w:val="20"/>
          <w:lang w:val="es-CO"/>
        </w:rPr>
        <w:t>Perspectives</w:t>
      </w:r>
      <w:proofErr w:type="spellEnd"/>
      <w:r w:rsidRPr="00A773D7">
        <w:rPr>
          <w:rFonts w:ascii="Times New Roman" w:hAnsi="Times New Roman" w:cs="Times New Roman"/>
          <w:sz w:val="20"/>
          <w:szCs w:val="20"/>
          <w:lang w:val="es-CO"/>
        </w:rPr>
        <w:t>, 37(2), 111-132.</w:t>
      </w:r>
    </w:p>
    <w:p w14:paraId="69FDDC16" w14:textId="77777777" w:rsidR="00F639CD" w:rsidRPr="00A773D7" w:rsidRDefault="00000000" w:rsidP="00A773D7">
      <w:pPr>
        <w:spacing w:after="60"/>
        <w:ind w:left="283" w:hanging="283"/>
        <w:jc w:val="both"/>
        <w:rPr>
          <w:rFonts w:ascii="Times New Roman" w:hAnsi="Times New Roman" w:cs="Times New Roman"/>
          <w:sz w:val="20"/>
          <w:szCs w:val="20"/>
        </w:rPr>
      </w:pPr>
      <w:r w:rsidRPr="00A773D7">
        <w:rPr>
          <w:rFonts w:ascii="Times New Roman" w:hAnsi="Times New Roman" w:cs="Times New Roman"/>
          <w:sz w:val="20"/>
          <w:szCs w:val="20"/>
          <w:lang w:val="es-CO"/>
        </w:rPr>
        <w:t xml:space="preserve">Rozas, D., Tenorio-Fornés, A., Díaz-Molina, S., &amp; Hassan, S. (2021). </w:t>
      </w:r>
      <w:r w:rsidRPr="00A773D7">
        <w:rPr>
          <w:rFonts w:ascii="Times New Roman" w:hAnsi="Times New Roman" w:cs="Times New Roman"/>
          <w:sz w:val="20"/>
          <w:szCs w:val="20"/>
        </w:rPr>
        <w:t>When Ostrom meets blockchain: Exploring the potentials of blockchain for commons governance. SAGE Open, 11(1).</w:t>
      </w:r>
    </w:p>
    <w:p w14:paraId="4AF12610" w14:textId="77777777" w:rsidR="00F639CD" w:rsidRPr="00A773D7" w:rsidRDefault="00000000" w:rsidP="00A773D7">
      <w:pPr>
        <w:spacing w:after="60"/>
        <w:ind w:left="283" w:hanging="283"/>
        <w:jc w:val="both"/>
        <w:rPr>
          <w:rFonts w:ascii="Times New Roman" w:hAnsi="Times New Roman" w:cs="Times New Roman"/>
          <w:sz w:val="20"/>
          <w:szCs w:val="20"/>
          <w:lang w:val="es-CO"/>
        </w:rPr>
      </w:pPr>
      <w:r w:rsidRPr="00A773D7">
        <w:rPr>
          <w:rFonts w:ascii="Times New Roman" w:hAnsi="Times New Roman" w:cs="Times New Roman"/>
          <w:sz w:val="20"/>
          <w:szCs w:val="20"/>
        </w:rPr>
        <w:t xml:space="preserve">Schletz, M., et al. (2023). Blockchain and regenerative finance. </w:t>
      </w:r>
      <w:proofErr w:type="spellStart"/>
      <w:r w:rsidRPr="00A773D7">
        <w:rPr>
          <w:rFonts w:ascii="Times New Roman" w:hAnsi="Times New Roman" w:cs="Times New Roman"/>
          <w:sz w:val="20"/>
          <w:szCs w:val="20"/>
          <w:lang w:val="es-CO"/>
        </w:rPr>
        <w:t>Frontiers</w:t>
      </w:r>
      <w:proofErr w:type="spellEnd"/>
      <w:r w:rsidRPr="00A773D7">
        <w:rPr>
          <w:rFonts w:ascii="Times New Roman" w:hAnsi="Times New Roman" w:cs="Times New Roman"/>
          <w:sz w:val="20"/>
          <w:szCs w:val="20"/>
          <w:lang w:val="es-CO"/>
        </w:rPr>
        <w:t xml:space="preserve"> in </w:t>
      </w:r>
      <w:proofErr w:type="spellStart"/>
      <w:r w:rsidRPr="00A773D7">
        <w:rPr>
          <w:rFonts w:ascii="Times New Roman" w:hAnsi="Times New Roman" w:cs="Times New Roman"/>
          <w:sz w:val="20"/>
          <w:szCs w:val="20"/>
          <w:lang w:val="es-CO"/>
        </w:rPr>
        <w:t>Blockchain</w:t>
      </w:r>
      <w:proofErr w:type="spellEnd"/>
      <w:r w:rsidRPr="00A773D7">
        <w:rPr>
          <w:rFonts w:ascii="Times New Roman" w:hAnsi="Times New Roman" w:cs="Times New Roman"/>
          <w:sz w:val="20"/>
          <w:szCs w:val="20"/>
          <w:lang w:val="es-CO"/>
        </w:rPr>
        <w:t>, 6, 1165133.</w:t>
      </w:r>
    </w:p>
    <w:p w14:paraId="204E0723" w14:textId="77777777" w:rsidR="00F639CD" w:rsidRPr="00A773D7" w:rsidRDefault="00000000" w:rsidP="00A773D7">
      <w:pPr>
        <w:spacing w:after="60"/>
        <w:ind w:left="283" w:hanging="283"/>
        <w:jc w:val="both"/>
        <w:rPr>
          <w:rFonts w:ascii="Times New Roman" w:hAnsi="Times New Roman" w:cs="Times New Roman"/>
          <w:sz w:val="20"/>
          <w:szCs w:val="20"/>
        </w:rPr>
      </w:pPr>
      <w:r w:rsidRPr="00A773D7">
        <w:rPr>
          <w:rFonts w:ascii="Times New Roman" w:hAnsi="Times New Roman" w:cs="Times New Roman"/>
          <w:sz w:val="20"/>
          <w:szCs w:val="20"/>
          <w:lang w:val="es-CO"/>
        </w:rPr>
        <w:t xml:space="preserve">Solarte-Toro, J. C., &amp; Cardona, C. A. (2023). Valorización de subproductos del café en el marco de la bioeconomía: pulpa, mucílago y cisco. </w:t>
      </w:r>
      <w:r w:rsidRPr="00A773D7">
        <w:rPr>
          <w:rFonts w:ascii="Times New Roman" w:hAnsi="Times New Roman" w:cs="Times New Roman"/>
          <w:sz w:val="20"/>
          <w:szCs w:val="20"/>
        </w:rPr>
        <w:t>Dyna, 90(226), 78-87.</w:t>
      </w:r>
    </w:p>
    <w:p w14:paraId="6C747C97" w14:textId="77777777" w:rsidR="00F639CD" w:rsidRPr="00A773D7" w:rsidRDefault="00000000" w:rsidP="00A773D7">
      <w:pPr>
        <w:spacing w:after="60"/>
        <w:ind w:left="283" w:hanging="283"/>
        <w:jc w:val="both"/>
        <w:rPr>
          <w:rFonts w:ascii="Times New Roman" w:hAnsi="Times New Roman" w:cs="Times New Roman"/>
          <w:sz w:val="20"/>
          <w:szCs w:val="20"/>
        </w:rPr>
      </w:pPr>
      <w:r w:rsidRPr="00A773D7">
        <w:rPr>
          <w:rFonts w:ascii="Times New Roman" w:hAnsi="Times New Roman" w:cs="Times New Roman"/>
          <w:sz w:val="20"/>
          <w:szCs w:val="20"/>
        </w:rPr>
        <w:t>Talbot, J. M. (1997). Where does your coffee dollar go? Studies in Comparative International Development, 32(1), 56-91.</w:t>
      </w:r>
    </w:p>
    <w:p w14:paraId="4BDC9382" w14:textId="77777777" w:rsidR="00F639CD" w:rsidRPr="00A773D7" w:rsidRDefault="00000000" w:rsidP="00A773D7">
      <w:pPr>
        <w:spacing w:after="60"/>
        <w:ind w:left="283" w:hanging="283"/>
        <w:jc w:val="both"/>
        <w:rPr>
          <w:rFonts w:ascii="Times New Roman" w:hAnsi="Times New Roman" w:cs="Times New Roman"/>
          <w:sz w:val="20"/>
          <w:szCs w:val="20"/>
        </w:rPr>
      </w:pPr>
      <w:r w:rsidRPr="00A773D7">
        <w:rPr>
          <w:rFonts w:ascii="Times New Roman" w:hAnsi="Times New Roman" w:cs="Times New Roman"/>
          <w:sz w:val="20"/>
          <w:szCs w:val="20"/>
        </w:rPr>
        <w:t>Taleb, N. N. (2012). Antifragile: Things that gain from disorder. Random House.</w:t>
      </w:r>
    </w:p>
    <w:p w14:paraId="6813B65E" w14:textId="77777777" w:rsidR="00F639CD" w:rsidRPr="00A773D7" w:rsidRDefault="00000000" w:rsidP="00A773D7">
      <w:pPr>
        <w:spacing w:after="60"/>
        <w:ind w:left="283" w:hanging="283"/>
        <w:jc w:val="both"/>
        <w:rPr>
          <w:rFonts w:ascii="Times New Roman" w:hAnsi="Times New Roman" w:cs="Times New Roman"/>
          <w:sz w:val="20"/>
          <w:szCs w:val="20"/>
        </w:rPr>
      </w:pPr>
      <w:r w:rsidRPr="00A773D7">
        <w:rPr>
          <w:rFonts w:ascii="Times New Roman" w:hAnsi="Times New Roman" w:cs="Times New Roman"/>
          <w:sz w:val="20"/>
          <w:szCs w:val="20"/>
        </w:rPr>
        <w:t>Trist, E. L. (1981). The evolution of socio-technical systems (Occasional Paper No. 2). Ontario Quality of Working Life Centre.</w:t>
      </w:r>
    </w:p>
    <w:p w14:paraId="574833AD" w14:textId="77777777" w:rsidR="00F639CD" w:rsidRPr="00A773D7" w:rsidRDefault="00000000" w:rsidP="00A773D7">
      <w:pPr>
        <w:spacing w:after="60"/>
        <w:ind w:left="283" w:hanging="283"/>
        <w:jc w:val="both"/>
        <w:rPr>
          <w:rFonts w:ascii="Times New Roman" w:hAnsi="Times New Roman" w:cs="Times New Roman"/>
          <w:sz w:val="20"/>
          <w:szCs w:val="20"/>
        </w:rPr>
      </w:pPr>
      <w:r w:rsidRPr="00A773D7">
        <w:rPr>
          <w:rFonts w:ascii="Times New Roman" w:hAnsi="Times New Roman" w:cs="Times New Roman"/>
          <w:sz w:val="20"/>
          <w:szCs w:val="20"/>
        </w:rPr>
        <w:t>Trist, E. L., &amp; Bamforth, K. W. (1951). Some social and psychological consequences of the longwall method of coal-getting. Human Relations, 4(1), 3-38.</w:t>
      </w:r>
    </w:p>
    <w:p w14:paraId="33FBBF89" w14:textId="2EA9B33F" w:rsidR="00F639CD" w:rsidRPr="00A773D7" w:rsidRDefault="00000000" w:rsidP="00A773D7">
      <w:pPr>
        <w:spacing w:after="60"/>
        <w:ind w:left="283" w:hanging="283"/>
        <w:jc w:val="both"/>
        <w:rPr>
          <w:rFonts w:ascii="Times New Roman" w:hAnsi="Times New Roman" w:cs="Times New Roman"/>
          <w:sz w:val="20"/>
          <w:szCs w:val="20"/>
          <w:lang w:val="es-CO"/>
        </w:rPr>
      </w:pPr>
      <w:r w:rsidRPr="00A773D7">
        <w:rPr>
          <w:rFonts w:ascii="Times New Roman" w:hAnsi="Times New Roman" w:cs="Times New Roman"/>
          <w:sz w:val="20"/>
          <w:szCs w:val="20"/>
        </w:rPr>
        <w:t xml:space="preserve">Werbach, K. (2018). The blockchain and the new architecture of trust. </w:t>
      </w:r>
      <w:r w:rsidRPr="00A773D7">
        <w:rPr>
          <w:rFonts w:ascii="Times New Roman" w:hAnsi="Times New Roman" w:cs="Times New Roman"/>
          <w:sz w:val="20"/>
          <w:szCs w:val="20"/>
          <w:lang w:val="es-CO"/>
        </w:rPr>
        <w:t>MIT Press.</w:t>
      </w:r>
    </w:p>
    <w:sectPr w:rsidR="00F639CD" w:rsidRPr="00A773D7"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61432467">
    <w:abstractNumId w:val="8"/>
  </w:num>
  <w:num w:numId="2" w16cid:durableId="650523002">
    <w:abstractNumId w:val="6"/>
  </w:num>
  <w:num w:numId="3" w16cid:durableId="786773949">
    <w:abstractNumId w:val="5"/>
  </w:num>
  <w:num w:numId="4" w16cid:durableId="1331524739">
    <w:abstractNumId w:val="4"/>
  </w:num>
  <w:num w:numId="5" w16cid:durableId="1358307569">
    <w:abstractNumId w:val="7"/>
  </w:num>
  <w:num w:numId="6" w16cid:durableId="1526670290">
    <w:abstractNumId w:val="3"/>
  </w:num>
  <w:num w:numId="7" w16cid:durableId="2069961074">
    <w:abstractNumId w:val="2"/>
  </w:num>
  <w:num w:numId="8" w16cid:durableId="1187257093">
    <w:abstractNumId w:val="1"/>
  </w:num>
  <w:num w:numId="9" w16cid:durableId="1410347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D90"/>
    <w:rsid w:val="00326F90"/>
    <w:rsid w:val="00A773D7"/>
    <w:rsid w:val="00AA1D8D"/>
    <w:rsid w:val="00B47730"/>
    <w:rsid w:val="00CB0664"/>
    <w:rsid w:val="00F639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772A7B"/>
  <w14:defaultImageDpi w14:val="300"/>
  <w15:docId w15:val="{40F1BED9-14BB-48B9-A65F-DB54C8A33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2871</Words>
  <Characters>15796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Alejandro Pajoy Bastos</cp:lastModifiedBy>
  <cp:revision>2</cp:revision>
  <cp:lastPrinted>2026-06-17T18:49:00Z</cp:lastPrinted>
  <dcterms:created xsi:type="dcterms:W3CDTF">2013-12-23T23:15:00Z</dcterms:created>
  <dcterms:modified xsi:type="dcterms:W3CDTF">2026-06-17T18:49:00Z</dcterms:modified>
  <cp:category/>
</cp:coreProperties>
</file>