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71C45" w14:textId="77777777" w:rsidR="000102D8" w:rsidRPr="00B23023" w:rsidRDefault="00000000" w:rsidP="00B23023">
      <w:pPr>
        <w:jc w:val="center"/>
        <w:rPr>
          <w:rFonts w:ascii="Times New Roman" w:hAnsi="Times New Roman" w:cs="Times New Roman"/>
          <w:lang w:val="es-CO"/>
        </w:rPr>
      </w:pPr>
      <w:r w:rsidRPr="00B23023">
        <w:rPr>
          <w:rFonts w:ascii="Times New Roman" w:hAnsi="Times New Roman" w:cs="Times New Roman"/>
          <w:b/>
          <w:lang w:val="es-CO"/>
        </w:rPr>
        <w:t>PROYECTO DE INVESTIGACIÓN</w:t>
      </w:r>
    </w:p>
    <w:p w14:paraId="1FB4647A"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lang w:val="es-CO"/>
        </w:rPr>
        <w:t>Gobernanza digital asociativa: un modelo sociotécnico para la captura de valor en origen en organizaciones caficultoras de territorios PDET de Colombia</w:t>
      </w:r>
    </w:p>
    <w:p w14:paraId="667F54E4" w14:textId="7D3BA487" w:rsidR="000102D8" w:rsidRPr="00B23023" w:rsidRDefault="00B23023" w:rsidP="00B23023">
      <w:pPr>
        <w:jc w:val="both"/>
        <w:rPr>
          <w:rFonts w:ascii="Times New Roman" w:hAnsi="Times New Roman" w:cs="Times New Roman"/>
          <w:lang w:val="es-CO"/>
        </w:rPr>
      </w:pPr>
      <w:r>
        <w:rPr>
          <w:rFonts w:ascii="Times New Roman" w:hAnsi="Times New Roman" w:cs="Times New Roman"/>
          <w:b/>
          <w:bCs/>
          <w:i/>
          <w:lang w:val="es-CO"/>
        </w:rPr>
        <w:t>Aspirante: Daniel Alejandro Pajoy Bastos · Universidad Autónoma de Madrid · Curso 2026/2027</w:t>
        <w:br/>
        <w:t>Programa: Doctorado en Economía y Gestión de la Innovación (interuniversitario UAM · UCM · UPM)</w:t>
      </w:r>
      <w:proofErr w:type="spellStart"/>
      <w:proofErr w:type="spellEnd"/>
    </w:p>
    <w:p w14:paraId="3DE88DFD"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bCs/>
          <w:i/>
          <w:lang w:val="es-CO"/>
        </w:rPr>
        <w:t>Palabras clave: gobernanza digital asociativa · gestión de la innovación · transformación digital · cadenas globales de valor · captura de valor en origen · sistemas de innovación.</w:t>
      </w:r>
    </w:p>
    <w:p w14:paraId="1D9BF09D"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t>1. Planteamiento del problema y pregunta de investigación</w:t>
      </w:r>
    </w:p>
    <w:p w14:paraId="026A7860"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Las organizaciones caficultoras del Sur Global retienen apenas un 7–10% del precio final al consumidor (Fitter &amp; Kaplinsky, 2001; Talbot, 1997), resultado de arquitecturas de gobernanza cautiva en las cadenas globales de valor (CGV) que concentran la renta en la torrefacción y la distribución y trasladan el riesgo climático y de precios a la base productora (</w:t>
      </w:r>
      <w:proofErr w:type="spellStart"/>
      <w:r w:rsidRPr="00B23023">
        <w:rPr>
          <w:rFonts w:ascii="Times New Roman" w:hAnsi="Times New Roman" w:cs="Times New Roman"/>
          <w:lang w:val="es-CO"/>
        </w:rPr>
        <w:t>Gereffi</w:t>
      </w:r>
      <w:proofErr w:type="spellEnd"/>
      <w:r w:rsidRPr="00B23023">
        <w:rPr>
          <w:rFonts w:ascii="Times New Roman" w:hAnsi="Times New Roman" w:cs="Times New Roman"/>
          <w:lang w:val="es-CO"/>
        </w:rPr>
        <w:t xml:space="preserve"> et al., 2005; </w:t>
      </w:r>
      <w:proofErr w:type="spellStart"/>
      <w:r w:rsidRPr="00B23023">
        <w:rPr>
          <w:rFonts w:ascii="Times New Roman" w:hAnsi="Times New Roman" w:cs="Times New Roman"/>
          <w:lang w:val="es-CO"/>
        </w:rPr>
        <w:t>Grabs</w:t>
      </w:r>
      <w:proofErr w:type="spellEnd"/>
      <w:r w:rsidRPr="00B23023">
        <w:rPr>
          <w:rFonts w:ascii="Times New Roman" w:hAnsi="Times New Roman" w:cs="Times New Roman"/>
          <w:lang w:val="es-CO"/>
        </w:rPr>
        <w:t xml:space="preserve"> &amp; Ponte, 2019). La variable dependiente de esta investigación es, por tanto, la proporción de valor capturado en origen (VCO): la fracción del valor de la cadena que las organizaciones productoras retienen en el territorio, un problema de valorización de la calidad y de posicionamiento en la cadena.</w:t>
      </w:r>
    </w:p>
    <w:p w14:paraId="4998BD56"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En Colombia el problema es más crítico en los Programas de Desarrollo con Enfoque Territorial (PDET), la política que implementa el Acuerdo de Paz de 2016 en 170 municipios (Decreto 893/2017). Allí, las organizaciones caficultoras de pequeña escala —en su mayoría cooperativas y asociaciones de economía social— enfrentan déficits entrelazados: gobernanza debilitada por el conflicto armado (Ostrom, 1990; Rettberg, 2010), posicionamiento cautivo en la CGV (</w:t>
      </w:r>
      <w:proofErr w:type="spellStart"/>
      <w:r w:rsidRPr="00B23023">
        <w:rPr>
          <w:rFonts w:ascii="Times New Roman" w:hAnsi="Times New Roman" w:cs="Times New Roman"/>
          <w:lang w:val="es-CO"/>
        </w:rPr>
        <w:t>Gereffi</w:t>
      </w:r>
      <w:proofErr w:type="spellEnd"/>
      <w:r w:rsidRPr="00B23023">
        <w:rPr>
          <w:rFonts w:ascii="Times New Roman" w:hAnsi="Times New Roman" w:cs="Times New Roman"/>
          <w:lang w:val="es-CO"/>
        </w:rPr>
        <w:t xml:space="preserve"> et al., 2005) y exclusión digital que amenaza el cumplimiento del Reglamento europeo de productos libres de deforestación (EUDR, Reg. 2023/1115), vinculante para el café desde 2026. La tecnología sin gobernanza colectiva, o la certificación sin poder de negociación, no se traducen en retención de renta.</w:t>
      </w:r>
    </w:p>
    <w:p w14:paraId="03A46A82"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Pregunta de investigación: ¿Cómo un modelo sociotécnico de gobernanza digital asociativa habilita a las organizaciones caficultoras de pequeña escala en territorios PDET de Colombia para incrementar la proporción de valor capturado en origen (VCO) en la cadena global de valor del café?</w:t>
      </w:r>
    </w:p>
    <w:p w14:paraId="5596B4AC"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t>2. Estado del arte y marco teórico</w:t>
      </w:r>
    </w:p>
    <w:p w14:paraId="119E1436"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Cuatro tradiciones de investigación enmarcan el problema:</w:t>
      </w:r>
    </w:p>
    <w:p w14:paraId="787A1A67"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Cadenas globales de valor y </w:t>
      </w:r>
      <w:proofErr w:type="spellStart"/>
      <w:r w:rsidRPr="00B23023">
        <w:rPr>
          <w:rFonts w:ascii="Times New Roman" w:hAnsi="Times New Roman" w:cs="Times New Roman"/>
          <w:lang w:val="es-CO"/>
        </w:rPr>
        <w:t>upgrading</w:t>
      </w:r>
      <w:proofErr w:type="spellEnd"/>
      <w:r w:rsidRPr="00B23023">
        <w:rPr>
          <w:rFonts w:ascii="Times New Roman" w:hAnsi="Times New Roman" w:cs="Times New Roman"/>
          <w:lang w:val="es-CO"/>
        </w:rPr>
        <w:t xml:space="preserve"> (</w:t>
      </w:r>
      <w:proofErr w:type="spellStart"/>
      <w:r w:rsidRPr="00B23023">
        <w:rPr>
          <w:rFonts w:ascii="Times New Roman" w:hAnsi="Times New Roman" w:cs="Times New Roman"/>
          <w:lang w:val="es-CO"/>
        </w:rPr>
        <w:t>Gereffi</w:t>
      </w:r>
      <w:proofErr w:type="spellEnd"/>
      <w:r w:rsidRPr="00B23023">
        <w:rPr>
          <w:rFonts w:ascii="Times New Roman" w:hAnsi="Times New Roman" w:cs="Times New Roman"/>
          <w:lang w:val="es-CO"/>
        </w:rPr>
        <w:t xml:space="preserve"> et al., 2005; Humphrey &amp; Schmitz, 2002; </w:t>
      </w:r>
      <w:proofErr w:type="spellStart"/>
      <w:r w:rsidRPr="00B23023">
        <w:rPr>
          <w:rFonts w:ascii="Times New Roman" w:hAnsi="Times New Roman" w:cs="Times New Roman"/>
          <w:lang w:val="es-CO"/>
        </w:rPr>
        <w:t>Grabs</w:t>
      </w:r>
      <w:proofErr w:type="spellEnd"/>
      <w:r w:rsidRPr="00B23023">
        <w:rPr>
          <w:rFonts w:ascii="Times New Roman" w:hAnsi="Times New Roman" w:cs="Times New Roman"/>
          <w:lang w:val="es-CO"/>
        </w:rPr>
        <w:t xml:space="preserve"> &amp; Ponte, 2019): explican cómo se extrae la renta, pero no las condiciones de gobernanza bajo las que las organizaciones se reposicionan para elevar el VCO.</w:t>
      </w:r>
    </w:p>
    <w:p w14:paraId="7F53E9DC"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Gobernanza de los comunes y economía social (Ostrom, 1990; Agrawal, 2001): aporta principios de diseño institucional validados para la acción colectiva. La economía social y el </w:t>
      </w:r>
      <w:r w:rsidRPr="00B23023">
        <w:rPr>
          <w:rFonts w:ascii="Times New Roman" w:hAnsi="Times New Roman" w:cs="Times New Roman"/>
          <w:lang w:val="es-CO"/>
        </w:rPr>
        <w:lastRenderedPageBreak/>
        <w:t>cooperativismo (Chaves &amp; Monzón, 2012; Birchall, 2011) ofrecen el marco organizativo —empresas democráticas centradas en las personas— donde esos principios se materializan; pero no incorporan la mediación digital ni la fragilidad posconflicto, donde el capital social fue erosionado (Rettberg, 2010) y los fallos cooperativos son estructurales (Ortmann &amp; King, 2007).</w:t>
      </w:r>
    </w:p>
    <w:p w14:paraId="513F9448"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Teoría sociotécnica (</w:t>
      </w:r>
      <w:proofErr w:type="spellStart"/>
      <w:r w:rsidRPr="00B23023">
        <w:rPr>
          <w:rFonts w:ascii="Times New Roman" w:hAnsi="Times New Roman" w:cs="Times New Roman"/>
          <w:lang w:val="es-CO"/>
        </w:rPr>
        <w:t>Trist</w:t>
      </w:r>
      <w:proofErr w:type="spellEnd"/>
      <w:r w:rsidRPr="00B23023">
        <w:rPr>
          <w:rFonts w:ascii="Times New Roman" w:hAnsi="Times New Roman" w:cs="Times New Roman"/>
          <w:lang w:val="es-CO"/>
        </w:rPr>
        <w:t xml:space="preserve"> &amp; Bamforth, 1951; Emery &amp; </w:t>
      </w:r>
      <w:proofErr w:type="spellStart"/>
      <w:r w:rsidRPr="00B23023">
        <w:rPr>
          <w:rFonts w:ascii="Times New Roman" w:hAnsi="Times New Roman" w:cs="Times New Roman"/>
          <w:lang w:val="es-CO"/>
        </w:rPr>
        <w:t>Trist</w:t>
      </w:r>
      <w:proofErr w:type="spellEnd"/>
      <w:r w:rsidRPr="00B23023">
        <w:rPr>
          <w:rFonts w:ascii="Times New Roman" w:hAnsi="Times New Roman" w:cs="Times New Roman"/>
          <w:lang w:val="es-CO"/>
        </w:rPr>
        <w:t xml:space="preserve">, 1965; </w:t>
      </w:r>
      <w:proofErr w:type="spellStart"/>
      <w:r w:rsidRPr="00B23023">
        <w:rPr>
          <w:rFonts w:ascii="Times New Roman" w:hAnsi="Times New Roman" w:cs="Times New Roman"/>
          <w:lang w:val="es-CO"/>
        </w:rPr>
        <w:t>Trist</w:t>
      </w:r>
      <w:proofErr w:type="spellEnd"/>
      <w:r w:rsidRPr="00B23023">
        <w:rPr>
          <w:rFonts w:ascii="Times New Roman" w:hAnsi="Times New Roman" w:cs="Times New Roman"/>
          <w:lang w:val="es-CO"/>
        </w:rPr>
        <w:t xml:space="preserve">, 1981; Abbas &amp; Michael, 2026): concibe todo sistema productivo como un subsistema social y uno técnico cuyo desempeño depende de su optimización conjunta, principio reafirmado para la Industria 4.0 (Horváth &amp; </w:t>
      </w:r>
      <w:proofErr w:type="spellStart"/>
      <w:r w:rsidRPr="00B23023">
        <w:rPr>
          <w:rFonts w:ascii="Times New Roman" w:hAnsi="Times New Roman" w:cs="Times New Roman"/>
          <w:lang w:val="es-CO"/>
        </w:rPr>
        <w:t>Kemser</w:t>
      </w:r>
      <w:proofErr w:type="spellEnd"/>
      <w:r w:rsidRPr="00B23023">
        <w:rPr>
          <w:rFonts w:ascii="Times New Roman" w:hAnsi="Times New Roman" w:cs="Times New Roman"/>
          <w:lang w:val="es-CO"/>
        </w:rPr>
        <w:t>, 2026).</w:t>
      </w:r>
    </w:p>
    <w:p w14:paraId="0F2875A3"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Gobernanza digital y registros distribuidos (</w:t>
      </w:r>
      <w:proofErr w:type="spellStart"/>
      <w:r w:rsidRPr="00B23023">
        <w:rPr>
          <w:rFonts w:ascii="Times New Roman" w:hAnsi="Times New Roman" w:cs="Times New Roman"/>
          <w:lang w:val="es-CO"/>
        </w:rPr>
        <w:t>Werbach</w:t>
      </w:r>
      <w:proofErr w:type="spellEnd"/>
      <w:r w:rsidRPr="00B23023">
        <w:rPr>
          <w:rFonts w:ascii="Times New Roman" w:hAnsi="Times New Roman" w:cs="Times New Roman"/>
          <w:lang w:val="es-CO"/>
        </w:rPr>
        <w:t xml:space="preserve">, 2018; Cong et al., 2020): reducen asimetrías de información y permiten una trazabilidad verificable —condición técnica del EUDR—, pero retienen renta en el territorio solo sobre una base sólida de gobernanza colectiva (Schletz et al., 2023). El mercado ya paga primas por la trazabilidad y el origen verificados (~28,5% sobre el precio medio; </w:t>
      </w:r>
      <w:proofErr w:type="spellStart"/>
      <w:r w:rsidRPr="00B23023">
        <w:rPr>
          <w:rFonts w:ascii="Times New Roman" w:hAnsi="Times New Roman" w:cs="Times New Roman"/>
          <w:lang w:val="es-CO"/>
        </w:rPr>
        <w:t>Merbah</w:t>
      </w:r>
      <w:proofErr w:type="spellEnd"/>
      <w:r w:rsidRPr="00B23023">
        <w:rPr>
          <w:rFonts w:ascii="Times New Roman" w:hAnsi="Times New Roman" w:cs="Times New Roman"/>
          <w:lang w:val="es-CO"/>
        </w:rPr>
        <w:t xml:space="preserve"> &amp; Benito-Hernández, 2023); la cuestión no resuelta es qué mecanismos de gobernanza permiten que esa prima llegue a las organizaciones productoras.</w:t>
      </w:r>
    </w:p>
    <w:p w14:paraId="1E359BC6"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Ningún modelo integra gobernanza asociativa, arquitectura sociotécnica y medición del valor retenido para organizaciones caficultoras de economía social en contextos posconflicto. Esta investigación lo aborda mediante el constructo original de Gobernanza Digital Asociativa (GDA): gobernanza institucional colectiva (subsistema social, operacionalizada como Índice de Gobernanza, IG) y una arquitectura digital de confianza —trazabilidad y soberanía de datos— (subsistema técnico), optimizadas conjuntamente para incrementar el VCO. El grado de consolidación territorial se captura con un Índice de Consolidación PDET (IPDET) que actúa como moderador y habilita la extrapolación del caso de validación a los diversos territorios PDET del país.</w:t>
      </w:r>
    </w:p>
    <w:p w14:paraId="09A5BF31"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t>3. Objetivos</w:t>
      </w:r>
    </w:p>
    <w:p w14:paraId="36A4807C"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Objetivo general. Desarrollar y evaluar un modelo sociotécnico de Gobernanza Digital Asociativa (GDA) que habilite a las organizaciones caficultoras de territorios PDET de Colombia para incrementar su valor capturado en origen (VCO) en la cadena global del café.</w:t>
      </w:r>
    </w:p>
    <w:p w14:paraId="5FE1EC09"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OE1. Medir la línea base VCO₀ y operacionalizar en índices las condiciones de gobernanza (IG), tecnológicas y territoriales (IPDET) de las organizaciones.</w:t>
      </w:r>
    </w:p>
    <w:p w14:paraId="7929110C"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OE2. </w:t>
      </w:r>
      <w:proofErr w:type="spellStart"/>
      <w:r w:rsidRPr="00B23023">
        <w:rPr>
          <w:rFonts w:ascii="Times New Roman" w:hAnsi="Times New Roman" w:cs="Times New Roman"/>
          <w:lang w:val="es-CO"/>
        </w:rPr>
        <w:t>Co-diseñar</w:t>
      </w:r>
      <w:proofErr w:type="spellEnd"/>
      <w:r w:rsidRPr="00B23023">
        <w:rPr>
          <w:rFonts w:ascii="Times New Roman" w:hAnsi="Times New Roman" w:cs="Times New Roman"/>
          <w:lang w:val="es-CO"/>
        </w:rPr>
        <w:t xml:space="preserve"> y prototipar, mediante talleres participativos y un panel Delphi, los mecanismos de la GDA que optimizan conjuntamente los </w:t>
      </w:r>
      <w:proofErr w:type="gramStart"/>
      <w:r w:rsidRPr="00B23023">
        <w:rPr>
          <w:rFonts w:ascii="Times New Roman" w:hAnsi="Times New Roman" w:cs="Times New Roman"/>
          <w:lang w:val="es-CO"/>
        </w:rPr>
        <w:t>subsistemas asociativo</w:t>
      </w:r>
      <w:proofErr w:type="gramEnd"/>
      <w:r w:rsidRPr="00B23023">
        <w:rPr>
          <w:rFonts w:ascii="Times New Roman" w:hAnsi="Times New Roman" w:cs="Times New Roman"/>
          <w:lang w:val="es-CO"/>
        </w:rPr>
        <w:t xml:space="preserve"> (gobernanza) y digital (trazabilidad y soberanía de datos).</w:t>
      </w:r>
    </w:p>
    <w:p w14:paraId="377FFC43"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OE3. Evaluar la contribución relativa de los subsistemas de gobernanza y tecnológico al VCO, combinando un análisis empírico </w:t>
      </w:r>
      <w:proofErr w:type="spellStart"/>
      <w:r w:rsidRPr="00B23023">
        <w:rPr>
          <w:rFonts w:ascii="Times New Roman" w:hAnsi="Times New Roman" w:cs="Times New Roman"/>
          <w:lang w:val="es-CO"/>
        </w:rPr>
        <w:t>inter-organizacional</w:t>
      </w:r>
      <w:proofErr w:type="spellEnd"/>
      <w:r w:rsidRPr="00B23023">
        <w:rPr>
          <w:rFonts w:ascii="Times New Roman" w:hAnsi="Times New Roman" w:cs="Times New Roman"/>
          <w:lang w:val="es-CO"/>
        </w:rPr>
        <w:t xml:space="preserve"> con una simulación calibrada.</w:t>
      </w:r>
    </w:p>
    <w:p w14:paraId="43FD5667" w14:textId="77777777" w:rsidR="000102D8"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OE4. Probar la robustez del incremento del VCO ante escenarios adversos y su transferibilidad al ámbito nacional PDET a través de la red FEMNCAFE.</w:t>
      </w:r>
    </w:p>
    <w:p w14:paraId="1BD860D0" w14:textId="77777777" w:rsidR="00B23023" w:rsidRDefault="00B23023" w:rsidP="00B23023">
      <w:pPr>
        <w:pStyle w:val="Listaconvietas"/>
        <w:numPr>
          <w:ilvl w:val="0"/>
          <w:numId w:val="0"/>
        </w:numPr>
        <w:ind w:left="360" w:hanging="360"/>
        <w:jc w:val="both"/>
        <w:rPr>
          <w:rFonts w:ascii="Times New Roman" w:hAnsi="Times New Roman" w:cs="Times New Roman"/>
          <w:lang w:val="es-CO"/>
        </w:rPr>
      </w:pPr>
    </w:p>
    <w:p w14:paraId="3ACA1E10" w14:textId="77777777" w:rsidR="00B23023" w:rsidRPr="00B23023" w:rsidRDefault="00B23023" w:rsidP="00B23023">
      <w:pPr>
        <w:pStyle w:val="Listaconvietas"/>
        <w:numPr>
          <w:ilvl w:val="0"/>
          <w:numId w:val="0"/>
        </w:numPr>
        <w:ind w:left="360" w:hanging="360"/>
        <w:jc w:val="both"/>
        <w:rPr>
          <w:rFonts w:ascii="Times New Roman" w:hAnsi="Times New Roman" w:cs="Times New Roman"/>
          <w:lang w:val="es-CO"/>
        </w:rPr>
      </w:pPr>
    </w:p>
    <w:p w14:paraId="68E892DE"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lastRenderedPageBreak/>
        <w:t>4. Orientación metodológica</w:t>
      </w:r>
    </w:p>
    <w:p w14:paraId="3D574C9A"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 xml:space="preserve">La investigación adopta el paradigma </w:t>
      </w:r>
      <w:proofErr w:type="spellStart"/>
      <w:r w:rsidRPr="00B23023">
        <w:rPr>
          <w:rFonts w:ascii="Times New Roman" w:hAnsi="Times New Roman" w:cs="Times New Roman"/>
          <w:lang w:val="es-CO"/>
        </w:rPr>
        <w:t>Design</w:t>
      </w:r>
      <w:proofErr w:type="spellEnd"/>
      <w:r w:rsidRPr="00B23023">
        <w:rPr>
          <w:rFonts w:ascii="Times New Roman" w:hAnsi="Times New Roman" w:cs="Times New Roman"/>
          <w:lang w:val="es-CO"/>
        </w:rPr>
        <w:t xml:space="preserve"> </w:t>
      </w:r>
      <w:proofErr w:type="spellStart"/>
      <w:r w:rsidRPr="00B23023">
        <w:rPr>
          <w:rFonts w:ascii="Times New Roman" w:hAnsi="Times New Roman" w:cs="Times New Roman"/>
          <w:lang w:val="es-CO"/>
        </w:rPr>
        <w:t>Science</w:t>
      </w:r>
      <w:proofErr w:type="spellEnd"/>
      <w:r w:rsidRPr="00B23023">
        <w:rPr>
          <w:rFonts w:ascii="Times New Roman" w:hAnsi="Times New Roman" w:cs="Times New Roman"/>
          <w:lang w:val="es-CO"/>
        </w:rPr>
        <w:t xml:space="preserve"> </w:t>
      </w:r>
      <w:proofErr w:type="spellStart"/>
      <w:r w:rsidRPr="00B23023">
        <w:rPr>
          <w:rFonts w:ascii="Times New Roman" w:hAnsi="Times New Roman" w:cs="Times New Roman"/>
          <w:lang w:val="es-CO"/>
        </w:rPr>
        <w:t>Research</w:t>
      </w:r>
      <w:proofErr w:type="spellEnd"/>
      <w:r w:rsidRPr="00B23023">
        <w:rPr>
          <w:rFonts w:ascii="Times New Roman" w:hAnsi="Times New Roman" w:cs="Times New Roman"/>
          <w:lang w:val="es-CO"/>
        </w:rPr>
        <w:t xml:space="preserve"> (Hevner et al., 2004), que acopla rigor empírico con el diseño de artefactos implementables, en un diseño mixto secuencial de tres fases factible en tres años porque su núcleo evaluativo es de simulación y no depende de la observación de resultados a varios años.</w:t>
      </w:r>
    </w:p>
    <w:p w14:paraId="592296BF"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Fase I (diagnóstica): establece VCO₀ mediante contabilidad de costos por actor de la cadena y series de precios; combina entrevistas semiestructuradas, análisis de redes sociales del capital social posconflicto y mapeo de la CGV; operacionaliza el IG a partir de los ocho principios de diseño de Ostrom y un índice de madurez tecnológica del subsistema digital; construye el IPDET (consolidación institucional, seguridad e implementación del Acuerdo) como moderador.</w:t>
      </w:r>
    </w:p>
    <w:p w14:paraId="1EFDFF52"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Fase II (constructiva): diseña, prototipa e itera los mecanismos de la GDA mediante talleres de diseño participativo con comunidades caficultoras y un panel Delphi de tres rondas, cuyos rangos de consenso constituyen las distribuciones a priori empíricamente fundamentadas de la Fase III.</w:t>
      </w:r>
    </w:p>
    <w:p w14:paraId="1138AFC7"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Fase III (evaluativa): (a) un censo de las organizaciones de la red FEMNCAFE (aprox. 20) compara, mediante análisis cualitativo comparado de conjuntos difusos (</w:t>
      </w:r>
      <w:proofErr w:type="spellStart"/>
      <w:r w:rsidRPr="00B23023">
        <w:rPr>
          <w:rFonts w:ascii="Times New Roman" w:hAnsi="Times New Roman" w:cs="Times New Roman"/>
          <w:lang w:val="es-CO"/>
        </w:rPr>
        <w:t>fsQCA</w:t>
      </w:r>
      <w:proofErr w:type="spellEnd"/>
      <w:r w:rsidRPr="00B23023">
        <w:rPr>
          <w:rFonts w:ascii="Times New Roman" w:hAnsi="Times New Roman" w:cs="Times New Roman"/>
          <w:lang w:val="es-CO"/>
        </w:rPr>
        <w:t xml:space="preserve">; Ragin, 2008), idóneo para un número reducido de casos, qué configuraciones de gobernanza (IG) y madurez tecnológica se asocian a un mayor VCO, con el caso embebido aportando evidencia de mecanismos causales mediante </w:t>
      </w:r>
      <w:proofErr w:type="spellStart"/>
      <w:r w:rsidRPr="00B23023">
        <w:rPr>
          <w:rFonts w:ascii="Times New Roman" w:hAnsi="Times New Roman" w:cs="Times New Roman"/>
          <w:lang w:val="es-CO"/>
        </w:rPr>
        <w:t>process</w:t>
      </w:r>
      <w:proofErr w:type="spellEnd"/>
      <w:r w:rsidRPr="00B23023">
        <w:rPr>
          <w:rFonts w:ascii="Times New Roman" w:hAnsi="Times New Roman" w:cs="Times New Roman"/>
          <w:lang w:val="es-CO"/>
        </w:rPr>
        <w:t xml:space="preserve"> </w:t>
      </w:r>
      <w:proofErr w:type="spellStart"/>
      <w:r w:rsidRPr="00B23023">
        <w:rPr>
          <w:rFonts w:ascii="Times New Roman" w:hAnsi="Times New Roman" w:cs="Times New Roman"/>
          <w:lang w:val="es-CO"/>
        </w:rPr>
        <w:t>tracing</w:t>
      </w:r>
      <w:proofErr w:type="spellEnd"/>
      <w:r w:rsidRPr="00B23023">
        <w:rPr>
          <w:rFonts w:ascii="Times New Roman" w:hAnsi="Times New Roman" w:cs="Times New Roman"/>
          <w:lang w:val="es-CO"/>
        </w:rPr>
        <w:t>; (b) una simulación Monte Carlo (≥10.000 iteraciones) analizada con índices de sensibilidad de Sobol descompone la varianza del VCO modelado en la contribución de cada subsistema, y un análisis de escenarios adversos (pruebas de estrés: colapso de precios, deterioro de la seguridad, fallo institucional) verifica si la ganancia de VCO se mantiene. Ambas vías se triangulan para contrastar la proposición central: la gobernanza explica más varianza del VCO que la tecnología.</w:t>
      </w:r>
    </w:p>
    <w:p w14:paraId="46BC279B"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El diseño incluye aprobación por comité de ética, protocolos de consentimiento informado adaptados al contexto de seguridad y mecanismos de soberanía de datos para la trazabilidad digital. El acceso a campo está garantizado por la red FEMNCAFE, que agrupa a asociaciones caficultoras firmantes de la paz.</w:t>
      </w:r>
    </w:p>
    <w:p w14:paraId="3B4835A2" w14:textId="77777777" w:rsidR="000102D8" w:rsidRPr="00B23023" w:rsidRDefault="00000000" w:rsidP="00B23023">
      <w:pPr>
        <w:jc w:val="both"/>
        <w:rPr>
          <w:rFonts w:ascii="Times New Roman" w:hAnsi="Times New Roman" w:cs="Times New Roman"/>
        </w:rPr>
      </w:pPr>
      <w:r w:rsidRPr="00B23023">
        <w:rPr>
          <w:rFonts w:ascii="Times New Roman" w:hAnsi="Times New Roman" w:cs="Times New Roman"/>
          <w:b/>
          <w:color w:val="1F3B57"/>
        </w:rPr>
        <w:t>5. Resultados esperados y contribución</w:t>
      </w:r>
    </w:p>
    <w:p w14:paraId="5C3E56E6"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Científica: un modelo integrador de gobernanza digital-institucional para organizaciones de economía social en territorios PDET, que extiende la teoría </w:t>
      </w:r>
      <w:proofErr w:type="spellStart"/>
      <w:r w:rsidRPr="00B23023">
        <w:rPr>
          <w:rFonts w:ascii="Times New Roman" w:hAnsi="Times New Roman" w:cs="Times New Roman"/>
          <w:lang w:val="es-CO"/>
        </w:rPr>
        <w:t>ostromiana</w:t>
      </w:r>
      <w:proofErr w:type="spellEnd"/>
      <w:r w:rsidRPr="00B23023">
        <w:rPr>
          <w:rFonts w:ascii="Times New Roman" w:hAnsi="Times New Roman" w:cs="Times New Roman"/>
          <w:lang w:val="es-CO"/>
        </w:rPr>
        <w:t xml:space="preserve"> y sociotécnica a condiciones de alta fragilidad y mediación digital; y evidencia empírica, vía descomposición de Sobol, sobre si la gobernanza o la tecnología explica más la varianza del valor capturado en origen.</w:t>
      </w:r>
    </w:p>
    <w:p w14:paraId="5E98A798"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Metodológica: un protocolo replicable DSR secuencial que acopla un análisis configuracional (</w:t>
      </w:r>
      <w:proofErr w:type="spellStart"/>
      <w:r w:rsidRPr="00B23023">
        <w:rPr>
          <w:rFonts w:ascii="Times New Roman" w:hAnsi="Times New Roman" w:cs="Times New Roman"/>
          <w:lang w:val="es-CO"/>
        </w:rPr>
        <w:t>fsQCA</w:t>
      </w:r>
      <w:proofErr w:type="spellEnd"/>
      <w:r w:rsidRPr="00B23023">
        <w:rPr>
          <w:rFonts w:ascii="Times New Roman" w:hAnsi="Times New Roman" w:cs="Times New Roman"/>
          <w:lang w:val="es-CO"/>
        </w:rPr>
        <w:t>) con una evaluación Monte Carlo-Sobol calibrada por Delphi, transferible a otras cadenas agroalimentarias del Sur Global.</w:t>
      </w:r>
    </w:p>
    <w:p w14:paraId="21625D98"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Praxeológica y de política: reglas de gobernanza, una arquitectura de trazabilidad y soberanía de datos, y un esquema de distribución de beneficios apropiables por las organizaciones, que </w:t>
      </w:r>
      <w:r w:rsidRPr="00B23023">
        <w:rPr>
          <w:rFonts w:ascii="Times New Roman" w:hAnsi="Times New Roman" w:cs="Times New Roman"/>
          <w:lang w:val="es-CO"/>
        </w:rPr>
        <w:lastRenderedPageBreak/>
        <w:t>apoyan el cumplimiento del EUDR y el acceso al mercado, con implicaciones para la política PDET colombiana y el desarrollo territorial. Resultados verificables: la línea base VCO₀ y una estimación cuantificada del efecto de la GDA sobre el VCO; los índices IG e IPDET validados; el patrón empírico y simulado de gobernanza frente a tecnología; y al menos tres artículos en revistas indexadas.</w:t>
      </w:r>
    </w:p>
    <w:p w14:paraId="55AD4EDC" w14:textId="77777777" w:rsidR="000102D8" w:rsidRPr="00B23023" w:rsidRDefault="00000000" w:rsidP="00B23023">
      <w:pPr>
        <w:jc w:val="both"/>
        <w:rPr>
          <w:rFonts w:ascii="Times New Roman" w:hAnsi="Times New Roman" w:cs="Times New Roman"/>
        </w:rPr>
      </w:pPr>
      <w:r w:rsidRPr="00B23023">
        <w:rPr>
          <w:rFonts w:ascii="Times New Roman" w:hAnsi="Times New Roman" w:cs="Times New Roman"/>
          <w:b/>
          <w:color w:val="1F3B57"/>
        </w:rPr>
        <w:t>6. Cronograma (tres años)</w:t>
      </w:r>
    </w:p>
    <w:p w14:paraId="74B72210"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Año 1: consolidación del estado del arte; afinamiento de los constructos (VCO, IG, IPDET); diseño de instrumentos y protocolo ético; primera campaña de campo (Fase I); primer artículo sobre el diagnóstico de la distribución de valor.</w:t>
      </w:r>
    </w:p>
    <w:p w14:paraId="30A2BF57"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Año 2: trabajo constructivo (Fase II) con talleres de diseño participativo y panel Delphi; periodo de movilidad; segundo artículo sobre el modelo de gobernanza.</w:t>
      </w:r>
    </w:p>
    <w:p w14:paraId="6E934C70"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Año 3: evaluación (Fase III: </w:t>
      </w:r>
      <w:proofErr w:type="spellStart"/>
      <w:r w:rsidRPr="00B23023">
        <w:rPr>
          <w:rFonts w:ascii="Times New Roman" w:hAnsi="Times New Roman" w:cs="Times New Roman"/>
          <w:lang w:val="es-CO"/>
        </w:rPr>
        <w:t>fsQCA</w:t>
      </w:r>
      <w:proofErr w:type="spellEnd"/>
      <w:r w:rsidRPr="00B23023">
        <w:rPr>
          <w:rFonts w:ascii="Times New Roman" w:hAnsi="Times New Roman" w:cs="Times New Roman"/>
          <w:lang w:val="es-CO"/>
        </w:rPr>
        <w:t xml:space="preserve"> + Monte Carlo-Sobol + escenarios adversos); triangulación; evaluación de transferibilidad; redacción de la tesis, tercer artículo y defensa.</w:t>
      </w:r>
    </w:p>
    <w:p w14:paraId="23E84ABE"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t>7. Encaje con el Doctorado en Economía y Gestión de la Innovación</w:t>
      </w:r>
      <w:proofErr w:type="spellStart"/>
      <w:proofErr w:type="spellEnd"/>
    </w:p>
    <w:p w14:paraId="21881DC9"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Línea 1 — Economía de la innovación e internacionalización: el proyecto analiza la innovación organizativa y digital como motor de reposicionamiento en una cadena global de valor del Sur Global, articulando sistemas de innovación, capacidades tecnológicas y captura de valor, en la tradición de los grupos PRIME-UAM, GRINEI (UCM) e INNOPRO (UPM).</w:t>
      </w:r>
    </w:p>
    <w:p w14:paraId="7DEB7BC9"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Línea 2 — Gestión de la innovación y política de innovación: la Gobernanza Digital Asociativa es, además, un dispositivo de gestión de la innovación —diseño, prototipado y evaluación de un artefacto sociotécnico de trazabilidad y soberanía de datos—, con implicaciones para la política de innovación y para la regulación europea de sostenibilidad (EUDR).</w:t>
      </w:r>
    </w:p>
    <w:p w14:paraId="4DF8D112"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t>8. Referencias</w:t>
      </w:r>
    </w:p>
    <w:p w14:paraId="5D796D8A"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lang w:val="es-CO"/>
        </w:rPr>
        <w:t xml:space="preserve">Abbas, R., &amp; Michael, K. (2026). </w:t>
      </w:r>
      <w:r w:rsidRPr="00B23023">
        <w:rPr>
          <w:rFonts w:ascii="Times New Roman" w:hAnsi="Times New Roman" w:cs="Times New Roman"/>
        </w:rPr>
        <w:t xml:space="preserve">Socio-technical theory: A review. In S. Papagiannidis (Ed.), </w:t>
      </w:r>
      <w:proofErr w:type="spellStart"/>
      <w:r w:rsidRPr="00B23023">
        <w:rPr>
          <w:rFonts w:ascii="Times New Roman" w:hAnsi="Times New Roman" w:cs="Times New Roman"/>
        </w:rPr>
        <w:t>TheoryHub</w:t>
      </w:r>
      <w:proofErr w:type="spellEnd"/>
      <w:r w:rsidRPr="00B23023">
        <w:rPr>
          <w:rFonts w:ascii="Times New Roman" w:hAnsi="Times New Roman" w:cs="Times New Roman"/>
        </w:rPr>
        <w:t xml:space="preserve"> book.</w:t>
      </w:r>
    </w:p>
    <w:p w14:paraId="166C2459"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Agrawal, A. (2001). Common property institutions and sustainable governance of resources. World Development, 29(10), 1649-1672.</w:t>
      </w:r>
    </w:p>
    <w:p w14:paraId="4DBB1C4F"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Birchall, J. (2011). People-centred businesses: Co-operatives, mutuals and the idea of membership. Palgrave Macmillan.</w:t>
      </w:r>
    </w:p>
    <w:p w14:paraId="1E39E276"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Chaves, R., &amp; Monzón, J. L. (2012). Beyond the crisis: The social economy, prop of a new model of sustainable economic development. Service Business, 6(1), 5-26.</w:t>
      </w:r>
    </w:p>
    <w:p w14:paraId="2DB18197"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Cong, L. W., Li, Y., &amp; Wang, N. (2020). Tokenomics: Dynamic adoption and valuation. The Review of Financial Studies, 34(3), 1105-1155.</w:t>
      </w:r>
    </w:p>
    <w:p w14:paraId="0DC54497"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Emery, F. E., &amp; Trist, E. L. (1965). The causal texture of organizational environments. Human Relations, 18(1), 21-32.</w:t>
      </w:r>
    </w:p>
    <w:p w14:paraId="63E51A50"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Fitter, R., &amp; Kaplinsky, R. (2001). Who gains from product rents as the coffee market becomes more differentiated? IDS Bulletin, 32(3), 69-82.</w:t>
      </w:r>
    </w:p>
    <w:p w14:paraId="672F5783"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Gereffi, G., Humphrey, J., &amp; Sturgeon, T. (2005). The governance of global value chains. Review of International Political Economy, 12(1), 78-104.</w:t>
      </w:r>
    </w:p>
    <w:p w14:paraId="1E3D1E60"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lastRenderedPageBreak/>
        <w:t>Grabs, J., &amp; Ponte, S. (2019). The evolution of power in the global coffee value chain and production network. Journal of Economic Geography, 19(4), 803-828.</w:t>
      </w:r>
    </w:p>
    <w:p w14:paraId="29C2FDED"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Hevner, A. R., March, S. T., Park, J., &amp; Ram, S. (2004). Design science in information systems research. MIS Quarterly, 28(1), 75-105.</w:t>
      </w:r>
    </w:p>
    <w:p w14:paraId="389437A7"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Horváth, A., &amp; Kemser, H.-P. (2026). The contemporary relevance of socio-technical systems theory in the age of Industry 4.0. International Review of Applied Sciences and Engineering.</w:t>
      </w:r>
    </w:p>
    <w:p w14:paraId="2927D13E"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Humphrey, J., &amp; Schmitz, H. (2002). How does insertion in global value chains affect upgrading in industrial clusters? Regional Studies, 36(9), 1017-1027.</w:t>
      </w:r>
    </w:p>
    <w:p w14:paraId="77930D9D"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Merbah, N., &amp; Benito-Hernández, S. (2023). Sustainability labels in the Spanish coffee market: A hedonic price approach. Spanish Journal of Agricultural Research, 21(1), e0102.</w:t>
      </w:r>
    </w:p>
    <w:p w14:paraId="5F7E34EC"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Ortmann, G. F., &amp; King, R. P. (2007). Agricultural cooperatives I: History, theory and problems. Agrekon, 46(1), 18-46.</w:t>
      </w:r>
    </w:p>
    <w:p w14:paraId="07C1295D" w14:textId="77777777" w:rsidR="000102D8" w:rsidRPr="00B23023" w:rsidRDefault="00000000" w:rsidP="00B23023">
      <w:pPr>
        <w:spacing w:after="40"/>
        <w:ind w:left="567" w:hanging="567"/>
        <w:jc w:val="both"/>
        <w:rPr>
          <w:rFonts w:ascii="Times New Roman" w:hAnsi="Times New Roman" w:cs="Times New Roman"/>
          <w:lang w:val="es-CO"/>
        </w:rPr>
      </w:pPr>
      <w:r w:rsidRPr="00B23023">
        <w:rPr>
          <w:rFonts w:ascii="Times New Roman" w:hAnsi="Times New Roman" w:cs="Times New Roman"/>
        </w:rPr>
        <w:t xml:space="preserve">Ostrom, E. (1990). Governing the commons: The evolution of institutions for collective action. </w:t>
      </w:r>
      <w:r w:rsidRPr="00B23023">
        <w:rPr>
          <w:rFonts w:ascii="Times New Roman" w:hAnsi="Times New Roman" w:cs="Times New Roman"/>
          <w:lang w:val="es-CO"/>
        </w:rPr>
        <w:t>Cambridge University Press.</w:t>
      </w:r>
    </w:p>
    <w:p w14:paraId="185C9048"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lang w:val="es-CO"/>
        </w:rPr>
        <w:t xml:space="preserve">Presidencia de la República de Colombia. (2017). Decreto 893 de 2017. </w:t>
      </w:r>
      <w:r w:rsidRPr="00B23023">
        <w:rPr>
          <w:rFonts w:ascii="Times New Roman" w:hAnsi="Times New Roman" w:cs="Times New Roman"/>
        </w:rPr>
        <w:t xml:space="preserve">Diario </w:t>
      </w:r>
      <w:proofErr w:type="spellStart"/>
      <w:r w:rsidRPr="00B23023">
        <w:rPr>
          <w:rFonts w:ascii="Times New Roman" w:hAnsi="Times New Roman" w:cs="Times New Roman"/>
        </w:rPr>
        <w:t>Oficial</w:t>
      </w:r>
      <w:proofErr w:type="spellEnd"/>
      <w:r w:rsidRPr="00B23023">
        <w:rPr>
          <w:rFonts w:ascii="Times New Roman" w:hAnsi="Times New Roman" w:cs="Times New Roman"/>
        </w:rPr>
        <w:t xml:space="preserve"> No. 50.230.</w:t>
      </w:r>
    </w:p>
    <w:p w14:paraId="3217D62D"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Ragin</w:t>
      </w:r>
      <w:proofErr w:type="gramStart"/>
      <w:r w:rsidRPr="00B23023">
        <w:rPr>
          <w:rFonts w:ascii="Times New Roman" w:hAnsi="Times New Roman" w:cs="Times New Roman"/>
        </w:rPr>
        <w:t>, C.</w:t>
      </w:r>
      <w:proofErr w:type="gramEnd"/>
      <w:r w:rsidRPr="00B23023">
        <w:rPr>
          <w:rFonts w:ascii="Times New Roman" w:hAnsi="Times New Roman" w:cs="Times New Roman"/>
        </w:rPr>
        <w:t xml:space="preserve"> C. (2008). Redesigning social inquiry: Fuzzy sets and beyond. University of Chicago Press.</w:t>
      </w:r>
    </w:p>
    <w:p w14:paraId="578042C7"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Rettberg, A. (2010). Global markets, local conflict: Violence in the Colombian coffee region. Latin American Perspectives, 37(2), 111-132.</w:t>
      </w:r>
    </w:p>
    <w:p w14:paraId="6E8EC29A"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Schletz, M., et al. (2023). Blockchain and regenerative finance. Frontiers in Blockchain, 6, 1165133.</w:t>
      </w:r>
    </w:p>
    <w:p w14:paraId="75CC86E0"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Talbot, J. M. (1997). Where does your coffee dollar go? Studies in Comparative International Development, 32(1), 56-91.</w:t>
      </w:r>
    </w:p>
    <w:p w14:paraId="425F462C"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Trist, E. L. (1981). The evolution of socio-technical systems (Occasional Paper No. 2). Ontario Quality of Working Life Centre.</w:t>
      </w:r>
    </w:p>
    <w:p w14:paraId="5C13D721"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Trist, E. L., &amp; Bamforth, K. W. (1951). Some social and psychological consequences of the longwall method of coal-getting. Human Relations, 4(1), 3-38.</w:t>
      </w:r>
    </w:p>
    <w:p w14:paraId="00310255"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Werbach, K. (2018). The blockchain and the new architecture of trust. MIT Press.</w:t>
      </w:r>
    </w:p>
    <w:sectPr w:rsidR="000102D8" w:rsidRPr="00B230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56327156">
    <w:abstractNumId w:val="8"/>
  </w:num>
  <w:num w:numId="2" w16cid:durableId="1191602050">
    <w:abstractNumId w:val="6"/>
  </w:num>
  <w:num w:numId="3" w16cid:durableId="91895491">
    <w:abstractNumId w:val="5"/>
  </w:num>
  <w:num w:numId="4" w16cid:durableId="781219135">
    <w:abstractNumId w:val="4"/>
  </w:num>
  <w:num w:numId="5" w16cid:durableId="710034559">
    <w:abstractNumId w:val="7"/>
  </w:num>
  <w:num w:numId="6" w16cid:durableId="720206067">
    <w:abstractNumId w:val="3"/>
  </w:num>
  <w:num w:numId="7" w16cid:durableId="825897081">
    <w:abstractNumId w:val="2"/>
  </w:num>
  <w:num w:numId="8" w16cid:durableId="1719668581">
    <w:abstractNumId w:val="1"/>
  </w:num>
  <w:num w:numId="9" w16cid:durableId="2121140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2D8"/>
    <w:rsid w:val="00034616"/>
    <w:rsid w:val="0006063C"/>
    <w:rsid w:val="0015074B"/>
    <w:rsid w:val="0029639D"/>
    <w:rsid w:val="002D3366"/>
    <w:rsid w:val="00326F90"/>
    <w:rsid w:val="00AA1D8D"/>
    <w:rsid w:val="00B2302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5CB55F"/>
  <w14:defaultImageDpi w14:val="300"/>
  <w15:docId w15:val="{0E690436-4D0E-402F-9E48-786FB5132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2102</Words>
  <Characters>11566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Alejandro Pajoy Bastos</cp:lastModifiedBy>
  <cp:revision>2</cp:revision>
  <dcterms:created xsi:type="dcterms:W3CDTF">2013-12-23T23:15:00Z</dcterms:created>
  <dcterms:modified xsi:type="dcterms:W3CDTF">2026-06-12T04:32:00Z</dcterms:modified>
  <cp:category/>
</cp:coreProperties>
</file>