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Pre-feasibility study of an e-commerce technology platform for the marketing of green specialty coffee in the United States market by the Federación Nacional de Cafeteros de Colombia</w:t>
      </w:r>
    </w:p>
    <w:p>
      <w:r>
        <w:rPr>
          <w:i/>
          <w:sz w:val="20"/>
        </w:rPr>
        <w:t>Abstract of the Second Cycle thesis — Master of Business Administration (MBA), Universidad EAFIT (Colombia), 2025. Author: Daniel Alejandro Pajoy Bastos.</w:t>
      </w:r>
    </w:p>
    <w:p>
      <w:r>
        <w:rPr>
          <w:b/>
        </w:rPr>
        <w:t>Abstract</w:t>
      </w:r>
    </w:p>
    <w:p>
      <w:r>
        <w:t>Colombian green specialty coffee reaches high-value international markets largely through intermediated channels in which a substantial share of the final value is captured downstream, beyond the producer organisations and the national federation that aggregate origin supply. This thesis assessed the pre-feasibility of a proprietary e-commerce technology platform through which the Federación Nacional de Cafeteros de Colombia (FNC) could market green specialty coffee directly to roasters and buyers in the United States, the largest destination market.</w:t>
      </w:r>
    </w:p>
    <w:p>
      <w:r>
        <w:t>The study integrated four complementary analyses. The market analysis examined demand for traceable specialty coffee, the competitive landscape, buyer segmentation and willingness to pay for verified origin attributes. The technological analysis specified the platform architecture, origin-to-buyer lot traceability, a CRM integrated with an SAP ERP backbone, and logistics and supply-chain efficiency. The organisational analysis evaluated the fit with the FNC's institutional structure and its network of producer associations. The financial analysis projected investment, operating costs and revenues over a five-year horizon.</w:t>
      </w:r>
    </w:p>
    <w:p>
      <w:r>
        <w:t>Methodologically, the work followed a pre-feasibility framework: it modelled adoption and sales scenarios, estimated capital and operating expenditures, and appraised the project through discounted cash-flow indicators. The evaluation yielded a positive Net Present Value (NPV) and an Internal Rate of Return (IRR) above the FNC's cost of capital, indicating economic viability under conservative-to-moderate adoption assumptions, with results most sensitive to the platform adoption rate, logistics costs and the price premium attainable for verified traceability.</w:t>
      </w:r>
    </w:p>
    <w:p>
      <w:r>
        <w:t>The thesis concluded that a direct, traceability-enabled digital channel is technically and financially feasible and could reposition origin actors closer to final markets, increasing the value retained at origin while strengthening transparency and buyer relationships. It identified the principal enabling conditions—data and traceability infrastructure, organisational readiness, and governance of the producer network—as the decisive determinants of success.</w:t>
      </w:r>
    </w:p>
    <w:p>
      <w:r>
        <w:t>This research established the candidate's analytical interest in the digitalisation of coffee value chains and in the mechanisms by which producing organisations can capture a larger share of value at origin. The proposed doctoral project develops this question further, moving from a single-organisation feasibility logic towards a socio-technical model of associative digital governance for smallholder coffee organisations in Colombia's PDET territories.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