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5DE8" w14:textId="77777777" w:rsidR="00B07DA5" w:rsidRPr="008D4453" w:rsidRDefault="00000000">
      <w:pPr>
        <w:jc w:val="center"/>
        <w:rPr>
          <w:rFonts w:ascii="Arial" w:hAnsi="Arial" w:cs="Arial"/>
          <w:lang w:val="it-IT"/>
        </w:rPr>
      </w:pPr>
      <w:r w:rsidRPr="008D4453">
        <w:rPr>
          <w:rFonts w:ascii="Arial" w:hAnsi="Arial" w:cs="Arial"/>
          <w:b/>
          <w:lang w:val="it-IT"/>
        </w:rPr>
        <w:t>PROYECTO DE INVESTIGACIÓN</w:t>
      </w:r>
    </w:p>
    <w:p w14:paraId="5A12470D" w14:textId="77777777" w:rsidR="00B07DA5" w:rsidRPr="008D4453" w:rsidRDefault="00000000">
      <w:pPr>
        <w:spacing w:after="0"/>
        <w:jc w:val="center"/>
        <w:rPr>
          <w:rFonts w:ascii="Arial" w:hAnsi="Arial" w:cs="Arial"/>
          <w:lang w:val="it-IT"/>
        </w:rPr>
      </w:pPr>
      <w:r w:rsidRPr="008D4453">
        <w:rPr>
          <w:rFonts w:ascii="Arial" w:hAnsi="Arial" w:cs="Arial"/>
          <w:i/>
          <w:lang w:val="it-IT"/>
        </w:rPr>
        <w:t>Università degli Studi di Firenze</w:t>
      </w:r>
    </w:p>
    <w:p w14:paraId="0A3C994A" w14:textId="77777777" w:rsidR="00B07DA5" w:rsidRPr="008D4453" w:rsidRDefault="00000000">
      <w:pPr>
        <w:spacing w:after="0"/>
        <w:jc w:val="center"/>
        <w:rPr>
          <w:rFonts w:ascii="Arial" w:hAnsi="Arial" w:cs="Arial"/>
          <w:lang w:val="es-CO"/>
        </w:rPr>
      </w:pPr>
      <w:r w:rsidRPr="008D4453">
        <w:rPr>
          <w:rFonts w:ascii="Arial" w:hAnsi="Arial" w:cs="Arial"/>
          <w:i/>
          <w:lang w:val="es-CO"/>
        </w:rPr>
        <w:t>Doctorado en Gestión Sostenible de los Recursos Agrarios, Forestales y Alimentarios (</w:t>
      </w:r>
      <w:proofErr w:type="spellStart"/>
      <w:r w:rsidRPr="008D4453">
        <w:rPr>
          <w:rFonts w:ascii="Arial" w:hAnsi="Arial" w:cs="Arial"/>
          <w:i/>
          <w:lang w:val="es-CO"/>
        </w:rPr>
        <w:t>GeSoRAFA</w:t>
      </w:r>
      <w:proofErr w:type="spellEnd"/>
      <w:r w:rsidRPr="008D4453">
        <w:rPr>
          <w:rFonts w:ascii="Arial" w:hAnsi="Arial" w:cs="Arial"/>
          <w:i/>
          <w:lang w:val="es-CO"/>
        </w:rPr>
        <w:t>) — Ciclo XLII</w:t>
      </w:r>
    </w:p>
    <w:p w14:paraId="51D15E02" w14:textId="77777777" w:rsidR="00B07DA5" w:rsidRPr="008D4453" w:rsidRDefault="00000000">
      <w:pPr>
        <w:spacing w:after="40"/>
        <w:jc w:val="center"/>
        <w:rPr>
          <w:rFonts w:ascii="Arial" w:hAnsi="Arial" w:cs="Arial"/>
          <w:lang w:val="es-CO"/>
        </w:rPr>
      </w:pPr>
      <w:r w:rsidRPr="008D4453">
        <w:rPr>
          <w:rFonts w:ascii="Arial" w:hAnsi="Arial" w:cs="Arial"/>
          <w:b/>
          <w:lang w:val="es-CO"/>
        </w:rPr>
        <w:t>Candidato: Daniel Alejandro Pajoy Bastos</w:t>
      </w:r>
    </w:p>
    <w:p w14:paraId="6810606B" w14:textId="77777777" w:rsidR="00B07DA5" w:rsidRPr="008D4453" w:rsidRDefault="00000000">
      <w:pPr>
        <w:spacing w:after="160"/>
        <w:jc w:val="center"/>
        <w:rPr>
          <w:rFonts w:ascii="Arial" w:hAnsi="Arial" w:cs="Arial"/>
          <w:lang w:val="es-CO"/>
        </w:rPr>
      </w:pPr>
      <w:r w:rsidRPr="008D4453">
        <w:rPr>
          <w:rFonts w:ascii="Arial" w:hAnsi="Arial" w:cs="Arial"/>
          <w:i/>
          <w:lang w:val="es-CO"/>
        </w:rPr>
        <w:t>Currículum: Economía Agroalimentaria y Desarrollo Rural Sostenible (EASRS). Temática de referencia: “Transición sostenible de los sistemas agroalimentarios, papel de la economía y la política de la calidad, investigación e innovación” (</w:t>
      </w:r>
      <w:proofErr w:type="spellStart"/>
      <w:r w:rsidRPr="008D4453">
        <w:rPr>
          <w:rFonts w:ascii="Arial" w:hAnsi="Arial" w:cs="Arial"/>
          <w:i/>
          <w:lang w:val="es-CO"/>
        </w:rPr>
        <w:t>Prof.ssa</w:t>
      </w:r>
      <w:proofErr w:type="spellEnd"/>
      <w:r w:rsidRPr="008D4453">
        <w:rPr>
          <w:rFonts w:ascii="Arial" w:hAnsi="Arial" w:cs="Arial"/>
          <w:i/>
          <w:lang w:val="es-CO"/>
        </w:rPr>
        <w:t xml:space="preserve"> S. Scaramuzzi).</w:t>
      </w:r>
    </w:p>
    <w:p w14:paraId="574FE613" w14:textId="77777777" w:rsidR="00B07DA5" w:rsidRPr="008D4453" w:rsidRDefault="00000000">
      <w:pPr>
        <w:spacing w:before="200" w:after="80"/>
        <w:rPr>
          <w:rFonts w:ascii="Arial" w:hAnsi="Arial" w:cs="Arial"/>
          <w:lang w:val="es-CO"/>
        </w:rPr>
      </w:pPr>
      <w:r w:rsidRPr="008D4453">
        <w:rPr>
          <w:rFonts w:ascii="Arial" w:hAnsi="Arial" w:cs="Arial"/>
          <w:b/>
          <w:lang w:val="es-CO"/>
        </w:rPr>
        <w:t>1. Título</w:t>
      </w:r>
    </w:p>
    <w:p w14:paraId="2F3A54C0" w14:textId="77777777" w:rsidR="00B07DA5" w:rsidRPr="008D4453" w:rsidRDefault="00000000">
      <w:pPr>
        <w:spacing w:after="80"/>
        <w:jc w:val="both"/>
        <w:rPr>
          <w:rFonts w:ascii="Arial" w:hAnsi="Arial" w:cs="Arial"/>
          <w:lang w:val="es-CO"/>
        </w:rPr>
      </w:pPr>
      <w:r w:rsidRPr="008D4453">
        <w:rPr>
          <w:rFonts w:ascii="Arial" w:hAnsi="Arial" w:cs="Arial"/>
          <w:b/>
          <w:lang w:val="es-CO"/>
        </w:rPr>
        <w:t>Gobernanza digital asociativa: un modelo sociotécnico para la captura de valor en origen en organizaciones caficultoras de territorios PDET de Colombia</w:t>
      </w:r>
    </w:p>
    <w:p w14:paraId="6BD2082A" w14:textId="77777777" w:rsidR="00B07DA5" w:rsidRPr="008D4453" w:rsidRDefault="00000000">
      <w:pPr>
        <w:spacing w:after="80"/>
        <w:rPr>
          <w:rFonts w:ascii="Arial" w:hAnsi="Arial" w:cs="Arial"/>
          <w:lang w:val="es-CO"/>
        </w:rPr>
      </w:pPr>
      <w:r w:rsidRPr="008D4453">
        <w:rPr>
          <w:rFonts w:ascii="Arial" w:hAnsi="Arial" w:cs="Arial"/>
          <w:i/>
          <w:lang w:val="es-CO"/>
        </w:rPr>
        <w:t>Palabras clave: Gobernanza digital asociativa; Cadenas globales de valor; Captura de valor en origen; Acción colectiva; Soberanía de datos.</w:t>
      </w:r>
    </w:p>
    <w:p w14:paraId="739018DC" w14:textId="77777777" w:rsidR="00B07DA5" w:rsidRPr="008D4453" w:rsidRDefault="00000000">
      <w:pPr>
        <w:spacing w:before="200" w:after="80"/>
        <w:rPr>
          <w:rFonts w:ascii="Arial" w:hAnsi="Arial" w:cs="Arial"/>
          <w:lang w:val="es-CO"/>
        </w:rPr>
      </w:pPr>
      <w:r w:rsidRPr="008D4453">
        <w:rPr>
          <w:rFonts w:ascii="Arial" w:hAnsi="Arial" w:cs="Arial"/>
          <w:b/>
          <w:lang w:val="es-CO"/>
        </w:rPr>
        <w:t>2. Pregunta de investigación y estado del arte</w:t>
      </w:r>
    </w:p>
    <w:p w14:paraId="7A169572" w14:textId="77777777" w:rsidR="00B07DA5" w:rsidRPr="008D4453" w:rsidRDefault="00000000">
      <w:pPr>
        <w:spacing w:after="120"/>
        <w:jc w:val="both"/>
        <w:rPr>
          <w:rFonts w:ascii="Arial" w:hAnsi="Arial" w:cs="Arial"/>
          <w:lang w:val="es-CO"/>
        </w:rPr>
      </w:pPr>
      <w:r w:rsidRPr="008D4453">
        <w:rPr>
          <w:rFonts w:ascii="Arial" w:hAnsi="Arial" w:cs="Arial"/>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4F703B69" w14:textId="77777777" w:rsidR="00B07DA5" w:rsidRPr="008D4453" w:rsidRDefault="00000000">
      <w:pPr>
        <w:spacing w:after="120"/>
        <w:jc w:val="both"/>
        <w:rPr>
          <w:rFonts w:ascii="Arial" w:hAnsi="Arial" w:cs="Arial"/>
          <w:lang w:val="es-CO"/>
        </w:rPr>
      </w:pPr>
      <w:r w:rsidRPr="008D4453">
        <w:rPr>
          <w:rFonts w:ascii="Arial" w:hAnsi="Arial" w:cs="Arial"/>
          <w:lang w:val="es-CO"/>
        </w:rPr>
        <w:t>Las organizaciones caficultoras del Sur Global retienen apenas el 7–10% del precio final al consumidor (Fitter &amp; Kaplinsky, 2001; Talbot, 1997). Esto es el efecto de arquitecturas de gobernanza cautivas en las cadenas globales de valor (CGV), que concentran la renta en los eslabones de tueste y distribución y transfieren el riesgo climático y de precio a la base productora (</w:t>
      </w:r>
      <w:proofErr w:type="spellStart"/>
      <w:r w:rsidRPr="008D4453">
        <w:rPr>
          <w:rFonts w:ascii="Arial" w:hAnsi="Arial" w:cs="Arial"/>
          <w:lang w:val="es-CO"/>
        </w:rPr>
        <w:t>Gereffi</w:t>
      </w:r>
      <w:proofErr w:type="spellEnd"/>
      <w:r w:rsidRPr="008D4453">
        <w:rPr>
          <w:rFonts w:ascii="Arial" w:hAnsi="Arial" w:cs="Arial"/>
          <w:lang w:val="es-CO"/>
        </w:rPr>
        <w:t xml:space="preserve"> et al., 2005; </w:t>
      </w:r>
      <w:proofErr w:type="spellStart"/>
      <w:r w:rsidRPr="008D4453">
        <w:rPr>
          <w:rFonts w:ascii="Arial" w:hAnsi="Arial" w:cs="Arial"/>
          <w:lang w:val="es-CO"/>
        </w:rPr>
        <w:t>Grabs</w:t>
      </w:r>
      <w:proofErr w:type="spellEnd"/>
      <w:r w:rsidRPr="008D4453">
        <w:rPr>
          <w:rFonts w:ascii="Arial" w:hAnsi="Arial" w:cs="Arial"/>
          <w:lang w:val="es-CO"/>
        </w:rPr>
        <w:t xml:space="preserve"> &amp; Ponte, 2019). La variable dependiente de esta investigación es, por tanto, la proporción de valor capturado en origen (VCO): la fracción del valor de la cadena que las organizaciones retienen en el territorio. La VCO es un problema de economía agroalimentaria (valorización de la calidad y posicionamiento en la cadena) y constituye el núcleo analítico de esta propuesta.</w:t>
      </w:r>
    </w:p>
    <w:p w14:paraId="1FA414DF" w14:textId="77777777" w:rsidR="00B07DA5" w:rsidRPr="008D4453" w:rsidRDefault="00000000">
      <w:pPr>
        <w:spacing w:after="120"/>
        <w:jc w:val="both"/>
        <w:rPr>
          <w:rFonts w:ascii="Arial" w:hAnsi="Arial" w:cs="Arial"/>
          <w:lang w:val="es-CO"/>
        </w:rPr>
      </w:pPr>
      <w:r w:rsidRPr="008D4453">
        <w:rPr>
          <w:rFonts w:ascii="Arial" w:hAnsi="Arial" w:cs="Arial"/>
          <w:lang w:val="es-CO"/>
        </w:rPr>
        <w:t>En Colombia el problema es más crítico en los Programas de Desarrollo con Enfoque Territorial (PDET), la política que implementa el Acuerdo de Paz de 2016 en 170 municipios y más de seis millones de personas (Decreto 893/2017). Allí, las organizaciones caficultoras de pequeña escala enfrentan cuatro déficits entrelazados que bloquean un aumento sostenible de la VCO: déficits de gobernanza heredados del conflicto armado (Ostrom, 1990; Rettberg, 2010); posicionamiento cautivo en la CGV (</w:t>
      </w:r>
      <w:proofErr w:type="spellStart"/>
      <w:r w:rsidRPr="008D4453">
        <w:rPr>
          <w:rFonts w:ascii="Arial" w:hAnsi="Arial" w:cs="Arial"/>
          <w:lang w:val="es-CO"/>
        </w:rPr>
        <w:t>Gereffi</w:t>
      </w:r>
      <w:proofErr w:type="spellEnd"/>
      <w:r w:rsidRPr="008D4453">
        <w:rPr>
          <w:rFonts w:ascii="Arial" w:hAnsi="Arial" w:cs="Arial"/>
          <w:lang w:val="es-CO"/>
        </w:rPr>
        <w:t xml:space="preserve"> et al., 2005); exclusión digital que amenaza el cumplimiento del Reglamento de la UE contra la deforestación (EUDR, Reg. 2023/1115), vinculante para el café desde 2026; y exclusión de las arquitecturas de trazabilidad y financiación que podrían reposicionarlas. La tecnología sin gobernanza colectiva o la certificación sin poder de negociación no se traducen en retención de renta.</w:t>
      </w:r>
    </w:p>
    <w:p w14:paraId="74C16DCC" w14:textId="77777777" w:rsidR="00B07DA5" w:rsidRPr="008D4453" w:rsidRDefault="00000000">
      <w:pPr>
        <w:spacing w:after="120"/>
        <w:jc w:val="both"/>
        <w:rPr>
          <w:rFonts w:ascii="Arial" w:hAnsi="Arial" w:cs="Arial"/>
          <w:lang w:val="es-CO"/>
        </w:rPr>
      </w:pPr>
      <w:r w:rsidRPr="008D4453">
        <w:rPr>
          <w:rFonts w:ascii="Arial" w:hAnsi="Arial" w:cs="Arial"/>
          <w:lang w:val="es-CO"/>
        </w:rPr>
        <w:t xml:space="preserve">Cuatro tradiciones enmarcan el problema. La teoría de las CGV y del </w:t>
      </w:r>
      <w:proofErr w:type="spellStart"/>
      <w:r w:rsidRPr="008D4453">
        <w:rPr>
          <w:rFonts w:ascii="Arial" w:hAnsi="Arial" w:cs="Arial"/>
          <w:lang w:val="es-CO"/>
        </w:rPr>
        <w:t>upgrading</w:t>
      </w:r>
      <w:proofErr w:type="spellEnd"/>
      <w:r w:rsidRPr="008D4453">
        <w:rPr>
          <w:rFonts w:ascii="Arial" w:hAnsi="Arial" w:cs="Arial"/>
          <w:lang w:val="es-CO"/>
        </w:rPr>
        <w:t xml:space="preserve"> (</w:t>
      </w:r>
      <w:proofErr w:type="spellStart"/>
      <w:r w:rsidRPr="008D4453">
        <w:rPr>
          <w:rFonts w:ascii="Arial" w:hAnsi="Arial" w:cs="Arial"/>
          <w:lang w:val="es-CO"/>
        </w:rPr>
        <w:t>Gereffi</w:t>
      </w:r>
      <w:proofErr w:type="spellEnd"/>
      <w:r w:rsidRPr="008D4453">
        <w:rPr>
          <w:rFonts w:ascii="Arial" w:hAnsi="Arial" w:cs="Arial"/>
          <w:lang w:val="es-CO"/>
        </w:rPr>
        <w:t xml:space="preserve"> et al., 2005; Humphrey &amp; Schmitz, 2002; </w:t>
      </w:r>
      <w:proofErr w:type="spellStart"/>
      <w:r w:rsidRPr="008D4453">
        <w:rPr>
          <w:rFonts w:ascii="Arial" w:hAnsi="Arial" w:cs="Arial"/>
          <w:lang w:val="es-CO"/>
        </w:rPr>
        <w:t>Grabs</w:t>
      </w:r>
      <w:proofErr w:type="spellEnd"/>
      <w:r w:rsidRPr="008D4453">
        <w:rPr>
          <w:rFonts w:ascii="Arial" w:hAnsi="Arial" w:cs="Arial"/>
          <w:lang w:val="es-CO"/>
        </w:rPr>
        <w:t xml:space="preserve"> &amp; Ponte, 2019) explica cómo se extrae la </w:t>
      </w:r>
      <w:proofErr w:type="gramStart"/>
      <w:r w:rsidRPr="008D4453">
        <w:rPr>
          <w:rFonts w:ascii="Arial" w:hAnsi="Arial" w:cs="Arial"/>
          <w:lang w:val="es-CO"/>
        </w:rPr>
        <w:t>renta</w:t>
      </w:r>
      <w:proofErr w:type="gramEnd"/>
      <w:r w:rsidRPr="008D4453">
        <w:rPr>
          <w:rFonts w:ascii="Arial" w:hAnsi="Arial" w:cs="Arial"/>
          <w:lang w:val="es-CO"/>
        </w:rPr>
        <w:t xml:space="preserve"> pero no especifica las condiciones de gobernanza bajo las cuales las organizaciones se reposicionan para elevar la VCO; el marco GPN 2.0 (Yeung &amp; </w:t>
      </w:r>
      <w:proofErr w:type="spellStart"/>
      <w:r w:rsidRPr="008D4453">
        <w:rPr>
          <w:rFonts w:ascii="Arial" w:hAnsi="Arial" w:cs="Arial"/>
          <w:lang w:val="es-CO"/>
        </w:rPr>
        <w:t>Coe</w:t>
      </w:r>
      <w:proofErr w:type="spellEnd"/>
      <w:r w:rsidRPr="008D4453">
        <w:rPr>
          <w:rFonts w:ascii="Arial" w:hAnsi="Arial" w:cs="Arial"/>
          <w:lang w:val="es-CO"/>
        </w:rPr>
        <w:t xml:space="preserve">, 2015) incorpora a los actores no empresariales —Estado, cooperación— que configuran los territorios del posconflicto. La </w:t>
      </w:r>
      <w:r w:rsidRPr="008D4453">
        <w:rPr>
          <w:rFonts w:ascii="Arial" w:hAnsi="Arial" w:cs="Arial"/>
          <w:lang w:val="es-CO"/>
        </w:rPr>
        <w:lastRenderedPageBreak/>
        <w:t>gobernanza de los comunes (Ostrom, 1990; Agrawal, 2001) aporta principios institucionales validados para la acción colectiva, pero no incorpora ni la mediación digital ni la fragilidad del posconflicto, donde el capital social fue erosionado (Rettberg, 2010) y los fracasos cooperativos son estructurales (Ortmann &amp; King, 2007). La teoría sociotécnica concibe todo sistema productivo como un subsistema social y uno técnico cuyo desempeño depende de su optimización conjunta (</w:t>
      </w:r>
      <w:proofErr w:type="spellStart"/>
      <w:r w:rsidRPr="008D4453">
        <w:rPr>
          <w:rFonts w:ascii="Arial" w:hAnsi="Arial" w:cs="Arial"/>
          <w:lang w:val="es-CO"/>
        </w:rPr>
        <w:t>Trist</w:t>
      </w:r>
      <w:proofErr w:type="spellEnd"/>
      <w:r w:rsidRPr="008D4453">
        <w:rPr>
          <w:rFonts w:ascii="Arial" w:hAnsi="Arial" w:cs="Arial"/>
          <w:lang w:val="es-CO"/>
        </w:rPr>
        <w:t xml:space="preserve"> &amp; Bamforth, 1951; Emery &amp; </w:t>
      </w:r>
      <w:proofErr w:type="spellStart"/>
      <w:r w:rsidRPr="008D4453">
        <w:rPr>
          <w:rFonts w:ascii="Arial" w:hAnsi="Arial" w:cs="Arial"/>
          <w:lang w:val="es-CO"/>
        </w:rPr>
        <w:t>Trist</w:t>
      </w:r>
      <w:proofErr w:type="spellEnd"/>
      <w:r w:rsidRPr="008D4453">
        <w:rPr>
          <w:rFonts w:ascii="Arial" w:hAnsi="Arial" w:cs="Arial"/>
          <w:lang w:val="es-CO"/>
        </w:rPr>
        <w:t xml:space="preserve">, 1965; </w:t>
      </w:r>
      <w:proofErr w:type="spellStart"/>
      <w:r w:rsidRPr="008D4453">
        <w:rPr>
          <w:rFonts w:ascii="Arial" w:hAnsi="Arial" w:cs="Arial"/>
          <w:lang w:val="es-CO"/>
        </w:rPr>
        <w:t>Trist</w:t>
      </w:r>
      <w:proofErr w:type="spellEnd"/>
      <w:r w:rsidRPr="008D4453">
        <w:rPr>
          <w:rFonts w:ascii="Arial" w:hAnsi="Arial" w:cs="Arial"/>
          <w:lang w:val="es-CO"/>
        </w:rPr>
        <w:t xml:space="preserve">, 1981; Abbas &amp; Michael, 2026), principio reafirmado para la Industria 4.0 (Horváth &amp; </w:t>
      </w:r>
      <w:proofErr w:type="spellStart"/>
      <w:r w:rsidRPr="008D4453">
        <w:rPr>
          <w:rFonts w:ascii="Arial" w:hAnsi="Arial" w:cs="Arial"/>
          <w:lang w:val="es-CO"/>
        </w:rPr>
        <w:t>Kemser</w:t>
      </w:r>
      <w:proofErr w:type="spellEnd"/>
      <w:r w:rsidRPr="008D4453">
        <w:rPr>
          <w:rFonts w:ascii="Arial" w:hAnsi="Arial" w:cs="Arial"/>
          <w:lang w:val="es-CO"/>
        </w:rPr>
        <w:t>, 2026): la tecnología que ignora el subsistema social degrada el conjunto. Por último, la gobernanza digital y los registros distribuidos (</w:t>
      </w:r>
      <w:proofErr w:type="spellStart"/>
      <w:r w:rsidRPr="008D4453">
        <w:rPr>
          <w:rFonts w:ascii="Arial" w:hAnsi="Arial" w:cs="Arial"/>
          <w:lang w:val="es-CO"/>
        </w:rPr>
        <w:t>Werbach</w:t>
      </w:r>
      <w:proofErr w:type="spellEnd"/>
      <w:r w:rsidRPr="008D4453">
        <w:rPr>
          <w:rFonts w:ascii="Arial" w:hAnsi="Arial" w:cs="Arial"/>
          <w:lang w:val="es-CO"/>
        </w:rPr>
        <w:t xml:space="preserve">, 2018; Cong et al., 2020) reducen las asimetrías de información y habilitan una trazabilidad verificable —condición técnica del EUDR— pero solo retienen renta en el territorio cuando operan sobre una base sólida de gobernanza colectiva (Schletz et al., 2023; </w:t>
      </w:r>
      <w:proofErr w:type="spellStart"/>
      <w:r w:rsidRPr="008D4453">
        <w:rPr>
          <w:rFonts w:ascii="Arial" w:hAnsi="Arial" w:cs="Arial"/>
          <w:lang w:val="es-CO"/>
        </w:rPr>
        <w:t>Elmatsani</w:t>
      </w:r>
      <w:proofErr w:type="spellEnd"/>
      <w:r w:rsidRPr="008D4453">
        <w:rPr>
          <w:rFonts w:ascii="Arial" w:hAnsi="Arial" w:cs="Arial"/>
          <w:lang w:val="es-CO"/>
        </w:rPr>
        <w:t xml:space="preserve"> et al., 2026).</w:t>
      </w:r>
    </w:p>
    <w:p w14:paraId="3B9E338E" w14:textId="77777777" w:rsidR="00B07DA5" w:rsidRPr="008D4453" w:rsidRDefault="00000000">
      <w:pPr>
        <w:spacing w:after="120"/>
        <w:jc w:val="both"/>
        <w:rPr>
          <w:rFonts w:ascii="Arial" w:hAnsi="Arial" w:cs="Arial"/>
          <w:lang w:val="es-CO"/>
        </w:rPr>
      </w:pPr>
      <w:r w:rsidRPr="008D4453">
        <w:rPr>
          <w:rFonts w:ascii="Arial" w:hAnsi="Arial" w:cs="Arial"/>
          <w:lang w:val="es-CO"/>
        </w:rPr>
        <w:t xml:space="preserve">Ningún modelo integra gobernanza asociativa, arquitectura sociotécnica y medición del valor retenido para organizaciones caficultoras de pequeña escala en contextos de posconflicto. Esta investigación lo aborda mediante el </w:t>
      </w:r>
      <w:proofErr w:type="spellStart"/>
      <w:r w:rsidRPr="008D4453">
        <w:rPr>
          <w:rFonts w:ascii="Arial" w:hAnsi="Arial" w:cs="Arial"/>
          <w:lang w:val="es-CO"/>
        </w:rPr>
        <w:t>constructo</w:t>
      </w:r>
      <w:proofErr w:type="spellEnd"/>
      <w:r w:rsidRPr="008D4453">
        <w:rPr>
          <w:rFonts w:ascii="Arial" w:hAnsi="Arial" w:cs="Arial"/>
          <w:lang w:val="es-CO"/>
        </w:rPr>
        <w:t xml:space="preserve"> de Gobernanza Digital Asociativa (GDA): la gobernanza institucional colectiva (subsistema social) y una arquitectura digital de confianza que incluye trazabilidad y soberanía de datos (subsistema técnico), optimizadas conjuntamente para incrementar la VCO. La propuesta se inscribe de lleno en la línea EASRS sobre transición sostenible de los sistemas agroalimentarios y el papel de la economía y la política de la calidad y la innovación: la GDA es un dispositivo de valorización de la calidad y reposicionamiento en la cadena. Conecta directamente con la experiencia de la Universidad de Florencia en valorización de productos de calidad y modelos de desarrollo rural (Prof. S. Menghini) y en política de desarrollo rural y métodos cuantitativos (Prof. L. Casini), y transfiere la experiencia europea de captura de valor en origen (DOP/IGP) a una cadena del Sur Global en posconflicto.</w:t>
      </w:r>
    </w:p>
    <w:p w14:paraId="3F2C9F95" w14:textId="77777777" w:rsidR="00B07DA5" w:rsidRPr="008D4453" w:rsidRDefault="00000000">
      <w:pPr>
        <w:spacing w:before="200" w:after="80"/>
        <w:rPr>
          <w:rFonts w:ascii="Arial" w:hAnsi="Arial" w:cs="Arial"/>
          <w:lang w:val="es-CO"/>
        </w:rPr>
      </w:pPr>
      <w:r w:rsidRPr="008D4453">
        <w:rPr>
          <w:rFonts w:ascii="Arial" w:hAnsi="Arial" w:cs="Arial"/>
          <w:b/>
          <w:lang w:val="es-CO"/>
        </w:rPr>
        <w:t>3. Objetivos</w:t>
      </w:r>
    </w:p>
    <w:p w14:paraId="2DF2FE88" w14:textId="77777777" w:rsidR="00B07DA5" w:rsidRPr="008D4453" w:rsidRDefault="00000000">
      <w:pPr>
        <w:spacing w:after="120"/>
        <w:jc w:val="both"/>
        <w:rPr>
          <w:rFonts w:ascii="Arial" w:hAnsi="Arial" w:cs="Arial"/>
          <w:lang w:val="es-CO"/>
        </w:rPr>
      </w:pPr>
      <w:r w:rsidRPr="008D4453">
        <w:rPr>
          <w:rFonts w:ascii="Arial" w:hAnsi="Arial" w:cs="Arial"/>
          <w:lang w:val="es-CO"/>
        </w:rPr>
        <w:t>Objetivo general. Desarrollar y evaluar un modelo sociotécnico de Gobernanza Digital Asociativa (GDA) que habilite a las organizaciones caficultoras de pequeña escala en territorios PDET de Colombia para incrementar su valor capturado en origen (VCO) en la cadena global de valor del café.</w:t>
      </w:r>
    </w:p>
    <w:p w14:paraId="5E1B745B" w14:textId="77777777" w:rsidR="00B07DA5" w:rsidRPr="008D4453" w:rsidRDefault="00000000">
      <w:pPr>
        <w:spacing w:after="120"/>
        <w:jc w:val="both"/>
        <w:rPr>
          <w:rFonts w:ascii="Arial" w:hAnsi="Arial" w:cs="Arial"/>
          <w:lang w:val="es-CO"/>
        </w:rPr>
      </w:pPr>
      <w:r w:rsidRPr="008D4453">
        <w:rPr>
          <w:rFonts w:ascii="Arial" w:hAnsi="Arial" w:cs="Arial"/>
          <w:lang w:val="es-CO"/>
        </w:rPr>
        <w:t>Objetivos específicos.</w:t>
      </w:r>
    </w:p>
    <w:p w14:paraId="5E4BB5CD" w14:textId="77777777" w:rsidR="00B07DA5" w:rsidRPr="008D4453" w:rsidRDefault="00000000">
      <w:pPr>
        <w:spacing w:after="120"/>
        <w:jc w:val="both"/>
        <w:rPr>
          <w:rFonts w:ascii="Arial" w:hAnsi="Arial" w:cs="Arial"/>
          <w:lang w:val="es-CO"/>
        </w:rPr>
      </w:pPr>
      <w:r w:rsidRPr="008D4453">
        <w:rPr>
          <w:rFonts w:ascii="Arial" w:hAnsi="Arial" w:cs="Arial"/>
          <w:lang w:val="es-CO"/>
        </w:rPr>
        <w:t>OE1. Medir la línea base VCO</w:t>
      </w:r>
      <w:r w:rsidRPr="008D4453">
        <w:rPr>
          <w:rFonts w:ascii="Cambria Math" w:hAnsi="Cambria Math" w:cs="Cambria Math"/>
          <w:lang w:val="es-CO"/>
        </w:rPr>
        <w:t>₀</w:t>
      </w:r>
      <w:r w:rsidRPr="008D4453">
        <w:rPr>
          <w:rFonts w:ascii="Arial" w:hAnsi="Arial" w:cs="Arial"/>
          <w:lang w:val="es-CO"/>
        </w:rPr>
        <w:t xml:space="preserve"> y operacionalizar en índices las condiciones de gobernanza (IG), tecnológicas y territoriales (IPDET) de las organizaciones.</w:t>
      </w:r>
    </w:p>
    <w:p w14:paraId="198A6526" w14:textId="77777777" w:rsidR="00B07DA5" w:rsidRPr="008D4453" w:rsidRDefault="00000000">
      <w:pPr>
        <w:spacing w:after="120"/>
        <w:jc w:val="both"/>
        <w:rPr>
          <w:rFonts w:ascii="Arial" w:hAnsi="Arial" w:cs="Arial"/>
          <w:lang w:val="es-CO"/>
        </w:rPr>
      </w:pPr>
      <w:r w:rsidRPr="008D4453">
        <w:rPr>
          <w:rFonts w:ascii="Arial" w:hAnsi="Arial" w:cs="Arial"/>
          <w:lang w:val="es-CO"/>
        </w:rPr>
        <w:t xml:space="preserve">OE2. </w:t>
      </w:r>
      <w:proofErr w:type="spellStart"/>
      <w:r w:rsidRPr="008D4453">
        <w:rPr>
          <w:rFonts w:ascii="Arial" w:hAnsi="Arial" w:cs="Arial"/>
          <w:lang w:val="es-CO"/>
        </w:rPr>
        <w:t>Co-diseñar</w:t>
      </w:r>
      <w:proofErr w:type="spellEnd"/>
      <w:r w:rsidRPr="008D4453">
        <w:rPr>
          <w:rFonts w:ascii="Arial" w:hAnsi="Arial" w:cs="Arial"/>
          <w:lang w:val="es-CO"/>
        </w:rPr>
        <w:t xml:space="preserve"> y prototipar, mediante talleres participativos y un panel Delphi, los mecanismos de la GDA que optimizan conjuntamente los </w:t>
      </w:r>
      <w:proofErr w:type="gramStart"/>
      <w:r w:rsidRPr="008D4453">
        <w:rPr>
          <w:rFonts w:ascii="Arial" w:hAnsi="Arial" w:cs="Arial"/>
          <w:lang w:val="es-CO"/>
        </w:rPr>
        <w:t>subsistemas asociativo</w:t>
      </w:r>
      <w:proofErr w:type="gramEnd"/>
      <w:r w:rsidRPr="008D4453">
        <w:rPr>
          <w:rFonts w:ascii="Arial" w:hAnsi="Arial" w:cs="Arial"/>
          <w:lang w:val="es-CO"/>
        </w:rPr>
        <w:t xml:space="preserve"> (gobernanza) y digital (trazabilidad y soberanía de datos).</w:t>
      </w:r>
    </w:p>
    <w:p w14:paraId="6D5716F4" w14:textId="77777777" w:rsidR="00B07DA5" w:rsidRPr="008D4453" w:rsidRDefault="00000000">
      <w:pPr>
        <w:spacing w:after="120"/>
        <w:jc w:val="both"/>
        <w:rPr>
          <w:rFonts w:ascii="Arial" w:hAnsi="Arial" w:cs="Arial"/>
          <w:lang w:val="es-CO"/>
        </w:rPr>
      </w:pPr>
      <w:r w:rsidRPr="008D4453">
        <w:rPr>
          <w:rFonts w:ascii="Arial" w:hAnsi="Arial" w:cs="Arial"/>
          <w:lang w:val="es-CO"/>
        </w:rPr>
        <w:t>OE3. Evaluar la contribución relativa de los subsistemas de gobernanza y tecnológico a la VCO, combinando un análisis empírico entre organizaciones con una simulación calibrada.</w:t>
      </w:r>
    </w:p>
    <w:p w14:paraId="411878AA" w14:textId="77777777" w:rsidR="00B07DA5" w:rsidRPr="008D4453" w:rsidRDefault="00000000">
      <w:pPr>
        <w:spacing w:after="120"/>
        <w:jc w:val="both"/>
        <w:rPr>
          <w:rFonts w:ascii="Arial" w:hAnsi="Arial" w:cs="Arial"/>
          <w:lang w:val="es-CO"/>
        </w:rPr>
      </w:pPr>
      <w:r w:rsidRPr="008D4453">
        <w:rPr>
          <w:rFonts w:ascii="Arial" w:hAnsi="Arial" w:cs="Arial"/>
          <w:lang w:val="es-CO"/>
        </w:rPr>
        <w:t>OE4. Probar la robustez del incremento de la VCO bajo escenarios adversos y su transferibilidad al alcance nacional PDET a través de la red FEMNCAFE.</w:t>
      </w:r>
    </w:p>
    <w:p w14:paraId="62D9EC7F" w14:textId="77777777" w:rsidR="00B07DA5" w:rsidRPr="008D4453" w:rsidRDefault="00000000">
      <w:pPr>
        <w:spacing w:before="200" w:after="80"/>
        <w:rPr>
          <w:rFonts w:ascii="Arial" w:hAnsi="Arial" w:cs="Arial"/>
          <w:lang w:val="es-CO"/>
        </w:rPr>
      </w:pPr>
      <w:r w:rsidRPr="008D4453">
        <w:rPr>
          <w:rFonts w:ascii="Arial" w:hAnsi="Arial" w:cs="Arial"/>
          <w:b/>
          <w:lang w:val="es-CO"/>
        </w:rPr>
        <w:t>4. Materiales y métodos</w:t>
      </w:r>
    </w:p>
    <w:p w14:paraId="5D529CB3" w14:textId="77777777" w:rsidR="00B07DA5" w:rsidRPr="008D4453" w:rsidRDefault="00000000">
      <w:pPr>
        <w:spacing w:after="120"/>
        <w:jc w:val="both"/>
        <w:rPr>
          <w:rFonts w:ascii="Arial" w:hAnsi="Arial" w:cs="Arial"/>
          <w:lang w:val="es-CO"/>
        </w:rPr>
      </w:pPr>
      <w:r w:rsidRPr="008D4453">
        <w:rPr>
          <w:rFonts w:ascii="Arial" w:hAnsi="Arial" w:cs="Arial"/>
          <w:lang w:val="es-CO"/>
        </w:rPr>
        <w:t xml:space="preserve">La investigación adopta el paradigma de </w:t>
      </w:r>
      <w:proofErr w:type="spellStart"/>
      <w:r w:rsidRPr="008D4453">
        <w:rPr>
          <w:rFonts w:ascii="Arial" w:hAnsi="Arial" w:cs="Arial"/>
          <w:lang w:val="es-CO"/>
        </w:rPr>
        <w:t>Design</w:t>
      </w:r>
      <w:proofErr w:type="spellEnd"/>
      <w:r w:rsidRPr="008D4453">
        <w:rPr>
          <w:rFonts w:ascii="Arial" w:hAnsi="Arial" w:cs="Arial"/>
          <w:lang w:val="es-CO"/>
        </w:rPr>
        <w:t xml:space="preserve"> </w:t>
      </w:r>
      <w:proofErr w:type="spellStart"/>
      <w:r w:rsidRPr="008D4453">
        <w:rPr>
          <w:rFonts w:ascii="Arial" w:hAnsi="Arial" w:cs="Arial"/>
          <w:lang w:val="es-CO"/>
        </w:rPr>
        <w:t>Science</w:t>
      </w:r>
      <w:proofErr w:type="spellEnd"/>
      <w:r w:rsidRPr="008D4453">
        <w:rPr>
          <w:rFonts w:ascii="Arial" w:hAnsi="Arial" w:cs="Arial"/>
          <w:lang w:val="es-CO"/>
        </w:rPr>
        <w:t xml:space="preserve"> </w:t>
      </w:r>
      <w:proofErr w:type="spellStart"/>
      <w:r w:rsidRPr="008D4453">
        <w:rPr>
          <w:rFonts w:ascii="Arial" w:hAnsi="Arial" w:cs="Arial"/>
          <w:lang w:val="es-CO"/>
        </w:rPr>
        <w:t>Research</w:t>
      </w:r>
      <w:proofErr w:type="spellEnd"/>
      <w:r w:rsidRPr="008D4453">
        <w:rPr>
          <w:rFonts w:ascii="Arial" w:hAnsi="Arial" w:cs="Arial"/>
          <w:lang w:val="es-CO"/>
        </w:rPr>
        <w:t xml:space="preserve"> (Hevner et al., 2004), que combina el rigor empírico con el diseño de artefactos implementables, en un diseño mixto </w:t>
      </w:r>
      <w:r w:rsidRPr="008D4453">
        <w:rPr>
          <w:rFonts w:ascii="Arial" w:hAnsi="Arial" w:cs="Arial"/>
          <w:lang w:val="es-CO"/>
        </w:rPr>
        <w:lastRenderedPageBreak/>
        <w:t>secuencial a lo largo del programa de tres años. Cada fase alimenta a la siguiente: el diagnóstico cualitativo calibra el modelo y el consenso de expertos y los datos del censo proveen las distribuciones de entrada de la simulación.</w:t>
      </w:r>
    </w:p>
    <w:p w14:paraId="455273B1" w14:textId="77777777" w:rsidR="00B07DA5" w:rsidRPr="008D4453" w:rsidRDefault="00000000">
      <w:pPr>
        <w:spacing w:after="120"/>
        <w:jc w:val="both"/>
        <w:rPr>
          <w:rFonts w:ascii="Arial" w:hAnsi="Arial" w:cs="Arial"/>
          <w:lang w:val="es-CO"/>
        </w:rPr>
      </w:pPr>
      <w:r w:rsidRPr="008D4453">
        <w:rPr>
          <w:rFonts w:ascii="Arial" w:hAnsi="Arial" w:cs="Arial"/>
          <w:lang w:val="es-CO"/>
        </w:rPr>
        <w:t>Fase I — Diagnóstica (Año 1): establece la VCO</w:t>
      </w:r>
      <w:r w:rsidRPr="008D4453">
        <w:rPr>
          <w:rFonts w:ascii="Cambria Math" w:hAnsi="Cambria Math" w:cs="Cambria Math"/>
          <w:lang w:val="es-CO"/>
        </w:rPr>
        <w:t>₀</w:t>
      </w:r>
      <w:r w:rsidRPr="008D4453">
        <w:rPr>
          <w:rFonts w:ascii="Arial" w:hAnsi="Arial" w:cs="Arial"/>
          <w:lang w:val="es-CO"/>
        </w:rPr>
        <w:t>, operacionalizada como la razón entre el precio neto retenido por la organización y el precio final de venta al público en los mercados de destino, reconstruida mediante contabilidad de costos por actor de la cadena y series secundarias de precios. Combina entrevistas semiestructuradas a líderes, análisis de redes sociales del capital social del posconflicto y mapeo de la CGV del café colombiano. El Índice de Gobernanza (IG) se operacionaliza a partir de los ocho principios de diseño de Ostrom en una escala multi-ítem puntuada, y un índice de madurez tecnológica capta el subsistema digital. El IPDET (consolidación institucional, seguridad, implementación del Acuerdo de Paz) se construye como moderador que permite extrapolar del caso de validación a los diversos territorios PDET del país.</w:t>
      </w:r>
    </w:p>
    <w:p w14:paraId="072D2007" w14:textId="77777777" w:rsidR="00B07DA5" w:rsidRPr="008D4453" w:rsidRDefault="00000000">
      <w:pPr>
        <w:spacing w:after="120"/>
        <w:jc w:val="both"/>
        <w:rPr>
          <w:rFonts w:ascii="Arial" w:hAnsi="Arial" w:cs="Arial"/>
          <w:lang w:val="es-CO"/>
        </w:rPr>
      </w:pPr>
      <w:r w:rsidRPr="008D4453">
        <w:rPr>
          <w:rFonts w:ascii="Arial" w:hAnsi="Arial" w:cs="Arial"/>
          <w:lang w:val="es-CO"/>
        </w:rPr>
        <w:t>Fase II — Constructiva (Año 2): diseña, prototipa e itera los mecanismos de la GDA mediante talleres de diseño participativo con comunidades caficultoras y un panel Delphi de consenso. El Delphi no solo valida el diseño: sus rangos de estimación para el IG, el componente tecnológico y el IPDET constituyen las distribuciones previas, con base empírica, de la Fase III.</w:t>
      </w:r>
    </w:p>
    <w:p w14:paraId="69324E09" w14:textId="77777777" w:rsidR="00B07DA5" w:rsidRPr="008D4453" w:rsidRDefault="00000000">
      <w:pPr>
        <w:spacing w:after="120"/>
        <w:jc w:val="both"/>
        <w:rPr>
          <w:rFonts w:ascii="Arial" w:hAnsi="Arial" w:cs="Arial"/>
          <w:lang w:val="es-CO"/>
        </w:rPr>
      </w:pPr>
      <w:r w:rsidRPr="008D4453">
        <w:rPr>
          <w:rFonts w:ascii="Arial" w:hAnsi="Arial" w:cs="Arial"/>
          <w:lang w:val="es-CO"/>
        </w:rPr>
        <w:t>Fase III — Evaluativa (Año 3): procede en dos pasos complementarios. Primero, un censo de las organizaciones de la red FEMNCAFE (aproximadamente 20) compara, mediante análisis cualitativo comparativo de conjuntos difusos (</w:t>
      </w:r>
      <w:proofErr w:type="spellStart"/>
      <w:r w:rsidRPr="008D4453">
        <w:rPr>
          <w:rFonts w:ascii="Arial" w:hAnsi="Arial" w:cs="Arial"/>
          <w:lang w:val="es-CO"/>
        </w:rPr>
        <w:t>fsQCA</w:t>
      </w:r>
      <w:proofErr w:type="spellEnd"/>
      <w:r w:rsidRPr="008D4453">
        <w:rPr>
          <w:rFonts w:ascii="Arial" w:hAnsi="Arial" w:cs="Arial"/>
          <w:lang w:val="es-CO"/>
        </w:rPr>
        <w:t>; Ragin, 2008) —idóneo para un número reducido de casos—, qué configuraciones de gobernanza (IG) y de madurez tecnológica se asocian con una mayor VCO, usando un conjunto acotado de condiciones de contexto (altitud, calidad de taza, tamaño de la organización e IPDET). El caso embebido aporta, mediante seguimiento de procesos, la evidencia del mecanismo causal. Segundo, una simulación Monte Carlo (≥10.000 iteraciones), parametrizada con los datos de campo y del censo de las Fases I–II y analizada con índices de sensibilidad de Sobol, descompone la varianza de la VCO modelada en la contribución de cada subsistema; este paso se interpreta como un análisis de sensibilidad de un artefacto de diseño calibrado y se triangula con el análisis empírico para valorar la proposición central de que la gobernanza contribuye más a la VCO que la tecnología. Un análisis de escenarios adversos (pruebas de estrés: colapso de precios, deterioro de la seguridad, fallo institucional) verifica si el incremento de la VCO se sostiene más allá del escenario base.</w:t>
      </w:r>
    </w:p>
    <w:p w14:paraId="49E89087" w14:textId="77777777" w:rsidR="00B07DA5" w:rsidRPr="008D4453" w:rsidRDefault="00000000">
      <w:pPr>
        <w:spacing w:after="120"/>
        <w:jc w:val="both"/>
        <w:rPr>
          <w:rFonts w:ascii="Arial" w:hAnsi="Arial" w:cs="Arial"/>
          <w:lang w:val="es-CO"/>
        </w:rPr>
      </w:pPr>
      <w:r w:rsidRPr="008D4453">
        <w:rPr>
          <w:rFonts w:ascii="Arial" w:hAnsi="Arial" w:cs="Arial"/>
          <w:lang w:val="es-CO"/>
        </w:rPr>
        <w:t xml:space="preserve">El alcance se mantiene realista para tres años concentrando el trabajo de campo primario en una subregión PDET como caso embebido y usando el censo de la red FEMNCAFE para la comparación entre casos, y apoyándose en casos italianos de esquemas de calidad como comparadores accesibles durante las estancias en Florencia. El trabajo de campo en Colombia se realiza dentro de la ventana de movilidad investigadora del programa (hasta doce meses en el exterior, ampliables a dieciocho bajo </w:t>
      </w:r>
      <w:proofErr w:type="spellStart"/>
      <w:r w:rsidRPr="008D4453">
        <w:rPr>
          <w:rFonts w:ascii="Arial" w:hAnsi="Arial" w:cs="Arial"/>
          <w:lang w:val="es-CO"/>
        </w:rPr>
        <w:t>co-tutela</w:t>
      </w:r>
      <w:proofErr w:type="spellEnd"/>
      <w:r w:rsidRPr="008D4453">
        <w:rPr>
          <w:rFonts w:ascii="Arial" w:hAnsi="Arial" w:cs="Arial"/>
          <w:lang w:val="es-CO"/>
        </w:rPr>
        <w:t xml:space="preserve">); se contempla una </w:t>
      </w:r>
      <w:proofErr w:type="spellStart"/>
      <w:r w:rsidRPr="008D4453">
        <w:rPr>
          <w:rFonts w:ascii="Arial" w:hAnsi="Arial" w:cs="Arial"/>
          <w:lang w:val="es-CO"/>
        </w:rPr>
        <w:t>co-tutela</w:t>
      </w:r>
      <w:proofErr w:type="spellEnd"/>
      <w:r w:rsidRPr="008D4453">
        <w:rPr>
          <w:rFonts w:ascii="Arial" w:hAnsi="Arial" w:cs="Arial"/>
          <w:lang w:val="es-CO"/>
        </w:rPr>
        <w:t xml:space="preserve"> con una universidad colombiana para asegurar la supervisión local y el acceso a los datos, y el acceso de campo está garantizado a través de FEMNCAFE, que agrupa a las asociaciones de caficultores firmantes de paz. El diseño ético incluye aprobación del comité de ética, protocolos de consentimiento informado adaptados al contexto de seguridad y mecanismos de soberanía de datos para la trazabilidad digital.</w:t>
      </w:r>
    </w:p>
    <w:p w14:paraId="79FD5C0A" w14:textId="77777777" w:rsidR="00B07DA5" w:rsidRPr="008D4453" w:rsidRDefault="00000000">
      <w:pPr>
        <w:spacing w:before="200" w:after="80"/>
        <w:rPr>
          <w:rFonts w:ascii="Arial" w:hAnsi="Arial" w:cs="Arial"/>
          <w:lang w:val="es-CO"/>
        </w:rPr>
      </w:pPr>
      <w:r w:rsidRPr="008D4453">
        <w:rPr>
          <w:rFonts w:ascii="Arial" w:hAnsi="Arial" w:cs="Arial"/>
          <w:b/>
          <w:lang w:val="es-CO"/>
        </w:rPr>
        <w:t>5. Resultados esperados</w:t>
      </w:r>
    </w:p>
    <w:p w14:paraId="07C0D30A" w14:textId="77777777" w:rsidR="00B07DA5" w:rsidRPr="008D4453" w:rsidRDefault="00000000">
      <w:pPr>
        <w:spacing w:after="120"/>
        <w:jc w:val="both"/>
        <w:rPr>
          <w:rFonts w:ascii="Arial" w:hAnsi="Arial" w:cs="Arial"/>
          <w:lang w:val="es-CO"/>
        </w:rPr>
      </w:pPr>
      <w:r w:rsidRPr="008D4453">
        <w:rPr>
          <w:rFonts w:ascii="Arial" w:hAnsi="Arial" w:cs="Arial"/>
          <w:lang w:val="es-CO"/>
        </w:rPr>
        <w:lastRenderedPageBreak/>
        <w:t xml:space="preserve">El proyecto rinde una triple contribución. Teórica: un modelo integrador de gobernanza digital-institucional para organizaciones asociativas en territorios PDET, que extiende la teoría </w:t>
      </w:r>
      <w:proofErr w:type="spellStart"/>
      <w:r w:rsidRPr="008D4453">
        <w:rPr>
          <w:rFonts w:ascii="Arial" w:hAnsi="Arial" w:cs="Arial"/>
          <w:lang w:val="es-CO"/>
        </w:rPr>
        <w:t>ostromiana</w:t>
      </w:r>
      <w:proofErr w:type="spellEnd"/>
      <w:r w:rsidRPr="008D4453">
        <w:rPr>
          <w:rFonts w:ascii="Arial" w:hAnsi="Arial" w:cs="Arial"/>
          <w:lang w:val="es-CO"/>
        </w:rPr>
        <w:t xml:space="preserve"> y la sociotécnica a condiciones de alta fragilidad y mediación digital. Metodológica: un protocolo DSR secuencial replicable que acopla un análisis empírico entre organizaciones con una evaluación Monte Carlo–Sobol calibrada por Delphi de la captura de valor, transferible a otras cadenas del Sur Global. Praxeológica: reglas de gobernanza, una arquitectura de trazabilidad y soberanía de datos, y un esquema de distribución de beneficios directamente implementables por las organizaciones y escalables a otras cadenas agroalimentarias.</w:t>
      </w:r>
    </w:p>
    <w:p w14:paraId="0B6CCD39" w14:textId="77777777" w:rsidR="00B07DA5" w:rsidRPr="008D4453" w:rsidRDefault="00000000">
      <w:pPr>
        <w:spacing w:after="120"/>
        <w:jc w:val="both"/>
        <w:rPr>
          <w:rFonts w:ascii="Arial" w:hAnsi="Arial" w:cs="Arial"/>
          <w:lang w:val="es-CO"/>
        </w:rPr>
      </w:pPr>
      <w:r w:rsidRPr="008D4453">
        <w:rPr>
          <w:rFonts w:ascii="Arial" w:hAnsi="Arial" w:cs="Arial"/>
          <w:lang w:val="es-CO"/>
        </w:rPr>
        <w:t>Entre los productos verificables se cuentan la línea base VCO</w:t>
      </w:r>
      <w:r w:rsidRPr="008D4453">
        <w:rPr>
          <w:rFonts w:ascii="Cambria Math" w:hAnsi="Cambria Math" w:cs="Cambria Math"/>
          <w:lang w:val="es-CO"/>
        </w:rPr>
        <w:t>₀</w:t>
      </w:r>
      <w:r w:rsidRPr="008D4453">
        <w:rPr>
          <w:rFonts w:ascii="Arial" w:hAnsi="Arial" w:cs="Arial"/>
          <w:lang w:val="es-CO"/>
        </w:rPr>
        <w:t xml:space="preserve"> y una estimación cuantificada del efecto de la GDA sobre la VCO; los índices IG e IPDET validados; el patrón empírico (configuracional) y simulado entre gobernanza y tecnología en la VCO; y al menos dos artículos revisados por pares. Impacto esperado: una vía transferible de captura de valor en origen y trazabilidad conforme al EUDR que vincula la tradición florentina de valorización de la calidad y el origen con la transición sostenible de una cadena cafetera del Sur Global, en alineación directa con el currículum EASRS y la misión del programa </w:t>
      </w:r>
      <w:proofErr w:type="spellStart"/>
      <w:r w:rsidRPr="008D4453">
        <w:rPr>
          <w:rFonts w:ascii="Arial" w:hAnsi="Arial" w:cs="Arial"/>
          <w:lang w:val="es-CO"/>
        </w:rPr>
        <w:t>GeSoRAFA</w:t>
      </w:r>
      <w:proofErr w:type="spellEnd"/>
      <w:r w:rsidRPr="008D4453">
        <w:rPr>
          <w:rFonts w:ascii="Arial" w:hAnsi="Arial" w:cs="Arial"/>
          <w:lang w:val="es-CO"/>
        </w:rPr>
        <w:t>.</w:t>
      </w:r>
    </w:p>
    <w:p w14:paraId="6809CC16" w14:textId="77777777" w:rsidR="00B07DA5" w:rsidRPr="008D4453" w:rsidRDefault="00000000">
      <w:pPr>
        <w:spacing w:before="200" w:after="80"/>
        <w:rPr>
          <w:rFonts w:ascii="Arial" w:hAnsi="Arial" w:cs="Arial"/>
          <w:lang w:val="es-CO"/>
        </w:rPr>
      </w:pPr>
      <w:r w:rsidRPr="008D4453">
        <w:rPr>
          <w:rFonts w:ascii="Arial" w:hAnsi="Arial" w:cs="Arial"/>
          <w:b/>
          <w:lang w:val="es-CO"/>
        </w:rPr>
        <w:t>6. Referencias citadas</w:t>
      </w:r>
    </w:p>
    <w:p w14:paraId="5AE753AA" w14:textId="77777777" w:rsidR="00B07DA5" w:rsidRPr="008D4453" w:rsidRDefault="00000000">
      <w:pPr>
        <w:spacing w:after="40"/>
        <w:ind w:left="720" w:hanging="720"/>
        <w:rPr>
          <w:rFonts w:ascii="Arial" w:hAnsi="Arial" w:cs="Arial"/>
        </w:rPr>
      </w:pPr>
      <w:r w:rsidRPr="008D4453">
        <w:rPr>
          <w:rFonts w:ascii="Arial" w:hAnsi="Arial" w:cs="Arial"/>
          <w:lang w:val="es-CO"/>
        </w:rPr>
        <w:t xml:space="preserve">Abbas, R., &amp; Michael, K. (2026). </w:t>
      </w:r>
      <w:r w:rsidRPr="008D4453">
        <w:rPr>
          <w:rFonts w:ascii="Arial" w:hAnsi="Arial" w:cs="Arial"/>
        </w:rPr>
        <w:t xml:space="preserve">Socio-technical theory: A review. In S. Papagiannidis (Ed.), </w:t>
      </w:r>
      <w:r w:rsidRPr="008D4453">
        <w:rPr>
          <w:rFonts w:ascii="Arial" w:hAnsi="Arial" w:cs="Arial"/>
          <w:i/>
        </w:rPr>
        <w:t>TheoryHub book</w:t>
      </w:r>
      <w:r w:rsidRPr="008D4453">
        <w:rPr>
          <w:rFonts w:ascii="Arial" w:hAnsi="Arial" w:cs="Arial"/>
        </w:rPr>
        <w:t>. https://open.ncl.ac.uk</w:t>
      </w:r>
    </w:p>
    <w:p w14:paraId="77817B45" w14:textId="77777777" w:rsidR="00B07DA5" w:rsidRPr="008D4453" w:rsidRDefault="00000000">
      <w:pPr>
        <w:spacing w:after="40"/>
        <w:ind w:left="720" w:hanging="720"/>
        <w:rPr>
          <w:rFonts w:ascii="Arial" w:hAnsi="Arial" w:cs="Arial"/>
        </w:rPr>
      </w:pPr>
      <w:r w:rsidRPr="008D4453">
        <w:rPr>
          <w:rFonts w:ascii="Arial" w:hAnsi="Arial" w:cs="Arial"/>
        </w:rPr>
        <w:t xml:space="preserve">Agrawal, A. (2001). Common property institutions and sustainable governance of resources. </w:t>
      </w:r>
      <w:r w:rsidRPr="008D4453">
        <w:rPr>
          <w:rFonts w:ascii="Arial" w:hAnsi="Arial" w:cs="Arial"/>
          <w:i/>
        </w:rPr>
        <w:t>World Development</w:t>
      </w:r>
      <w:r w:rsidRPr="008D4453">
        <w:rPr>
          <w:rFonts w:ascii="Arial" w:hAnsi="Arial" w:cs="Arial"/>
        </w:rPr>
        <w:t xml:space="preserve">, </w:t>
      </w:r>
      <w:r w:rsidRPr="008D4453">
        <w:rPr>
          <w:rFonts w:ascii="Arial" w:hAnsi="Arial" w:cs="Arial"/>
          <w:i/>
        </w:rPr>
        <w:t>29</w:t>
      </w:r>
      <w:r w:rsidRPr="008D4453">
        <w:rPr>
          <w:rFonts w:ascii="Arial" w:hAnsi="Arial" w:cs="Arial"/>
        </w:rPr>
        <w:t>(10), 1649–1672. https://doi.org/10.1016/S0305-750X(01)00063-8</w:t>
      </w:r>
    </w:p>
    <w:p w14:paraId="3D62F017" w14:textId="77777777" w:rsidR="00B07DA5" w:rsidRPr="008D4453" w:rsidRDefault="00000000">
      <w:pPr>
        <w:spacing w:after="40"/>
        <w:ind w:left="720" w:hanging="720"/>
        <w:rPr>
          <w:rFonts w:ascii="Arial" w:hAnsi="Arial" w:cs="Arial"/>
        </w:rPr>
      </w:pPr>
      <w:r w:rsidRPr="008D4453">
        <w:rPr>
          <w:rFonts w:ascii="Arial" w:hAnsi="Arial" w:cs="Arial"/>
        </w:rPr>
        <w:t xml:space="preserve">Cong, L. W., Li, Y., &amp; Wang, N. (2020). Tokenomics: Dynamic adoption and valuation. </w:t>
      </w:r>
      <w:r w:rsidRPr="008D4453">
        <w:rPr>
          <w:rFonts w:ascii="Arial" w:hAnsi="Arial" w:cs="Arial"/>
          <w:i/>
        </w:rPr>
        <w:t>The Review of Financial Studies</w:t>
      </w:r>
      <w:r w:rsidRPr="008D4453">
        <w:rPr>
          <w:rFonts w:ascii="Arial" w:hAnsi="Arial" w:cs="Arial"/>
        </w:rPr>
        <w:t xml:space="preserve">, </w:t>
      </w:r>
      <w:r w:rsidRPr="008D4453">
        <w:rPr>
          <w:rFonts w:ascii="Arial" w:hAnsi="Arial" w:cs="Arial"/>
          <w:i/>
        </w:rPr>
        <w:t>34</w:t>
      </w:r>
      <w:r w:rsidRPr="008D4453">
        <w:rPr>
          <w:rFonts w:ascii="Arial" w:hAnsi="Arial" w:cs="Arial"/>
        </w:rPr>
        <w:t>(3), 1105–1155. https://doi.org/10.1093/rfs/hhaa089</w:t>
      </w:r>
    </w:p>
    <w:p w14:paraId="17A17D19" w14:textId="77777777" w:rsidR="00B07DA5" w:rsidRPr="008D4453" w:rsidRDefault="00000000">
      <w:pPr>
        <w:spacing w:after="40"/>
        <w:ind w:left="720" w:hanging="720"/>
        <w:rPr>
          <w:rFonts w:ascii="Arial" w:hAnsi="Arial" w:cs="Arial"/>
        </w:rPr>
      </w:pPr>
      <w:r w:rsidRPr="008D4453">
        <w:rPr>
          <w:rFonts w:ascii="Arial" w:hAnsi="Arial" w:cs="Arial"/>
        </w:rPr>
        <w:t xml:space="preserve">Elmatsani, H. M., et al. (2026). Bridging the governance gap in agricultural blockchain-based smart contracts. </w:t>
      </w:r>
      <w:r w:rsidRPr="008D4453">
        <w:rPr>
          <w:rFonts w:ascii="Arial" w:hAnsi="Arial" w:cs="Arial"/>
          <w:i/>
        </w:rPr>
        <w:t>Frontiers in Blockchain</w:t>
      </w:r>
      <w:r w:rsidRPr="008D4453">
        <w:rPr>
          <w:rFonts w:ascii="Arial" w:hAnsi="Arial" w:cs="Arial"/>
        </w:rPr>
        <w:t>. https://doi.org/10.3389/fbloc.2026.1762861</w:t>
      </w:r>
    </w:p>
    <w:p w14:paraId="2948DA49" w14:textId="77777777" w:rsidR="00B07DA5" w:rsidRPr="008D4453" w:rsidRDefault="00000000">
      <w:pPr>
        <w:spacing w:after="40"/>
        <w:ind w:left="720" w:hanging="720"/>
        <w:rPr>
          <w:rFonts w:ascii="Arial" w:hAnsi="Arial" w:cs="Arial"/>
        </w:rPr>
      </w:pPr>
      <w:r w:rsidRPr="008D4453">
        <w:rPr>
          <w:rFonts w:ascii="Arial" w:hAnsi="Arial" w:cs="Arial"/>
        </w:rPr>
        <w:t xml:space="preserve">Emery, F. E., &amp; Trist, E. L. (1965). The causal texture of organizational environments. </w:t>
      </w:r>
      <w:r w:rsidRPr="008D4453">
        <w:rPr>
          <w:rFonts w:ascii="Arial" w:hAnsi="Arial" w:cs="Arial"/>
          <w:i/>
        </w:rPr>
        <w:t>Human Relations</w:t>
      </w:r>
      <w:r w:rsidRPr="008D4453">
        <w:rPr>
          <w:rFonts w:ascii="Arial" w:hAnsi="Arial" w:cs="Arial"/>
        </w:rPr>
        <w:t xml:space="preserve">, </w:t>
      </w:r>
      <w:r w:rsidRPr="008D4453">
        <w:rPr>
          <w:rFonts w:ascii="Arial" w:hAnsi="Arial" w:cs="Arial"/>
          <w:i/>
        </w:rPr>
        <w:t>18</w:t>
      </w:r>
      <w:r w:rsidRPr="008D4453">
        <w:rPr>
          <w:rFonts w:ascii="Arial" w:hAnsi="Arial" w:cs="Arial"/>
        </w:rPr>
        <w:t>(1), 21–32. https://doi.org/10.1177/001872676501800103</w:t>
      </w:r>
    </w:p>
    <w:p w14:paraId="6AEAF0D1" w14:textId="77777777" w:rsidR="00B07DA5" w:rsidRPr="008D4453" w:rsidRDefault="00000000">
      <w:pPr>
        <w:spacing w:after="40"/>
        <w:ind w:left="720" w:hanging="720"/>
        <w:rPr>
          <w:rFonts w:ascii="Arial" w:hAnsi="Arial" w:cs="Arial"/>
        </w:rPr>
      </w:pPr>
      <w:r w:rsidRPr="008D4453">
        <w:rPr>
          <w:rFonts w:ascii="Arial" w:hAnsi="Arial" w:cs="Arial"/>
        </w:rPr>
        <w:t xml:space="preserve">European Parliament and Council. (2023). </w:t>
      </w:r>
      <w:r w:rsidRPr="008D4453">
        <w:rPr>
          <w:rFonts w:ascii="Arial" w:hAnsi="Arial" w:cs="Arial"/>
          <w:i/>
        </w:rPr>
        <w:t>Regulation (EU) 2023/1115 on deforestation-free products</w:t>
      </w:r>
      <w:r w:rsidRPr="008D4453">
        <w:rPr>
          <w:rFonts w:ascii="Arial" w:hAnsi="Arial" w:cs="Arial"/>
        </w:rPr>
        <w:t>. Official Journal of the European Union. https://eur-lex.europa.eu/legal-content/EN/TXT/?uri=CELEX:32023R1115</w:t>
      </w:r>
    </w:p>
    <w:p w14:paraId="52257B02" w14:textId="77777777" w:rsidR="00B07DA5" w:rsidRPr="008D4453" w:rsidRDefault="00000000">
      <w:pPr>
        <w:spacing w:after="40"/>
        <w:ind w:left="720" w:hanging="720"/>
        <w:rPr>
          <w:rFonts w:ascii="Arial" w:hAnsi="Arial" w:cs="Arial"/>
        </w:rPr>
      </w:pPr>
      <w:r w:rsidRPr="008D4453">
        <w:rPr>
          <w:rFonts w:ascii="Arial" w:hAnsi="Arial" w:cs="Arial"/>
        </w:rPr>
        <w:t xml:space="preserve">Fitter, R., &amp; Kaplinsky, R. (2001). Who gains from product rents as the coffee market becomes more differentiated? </w:t>
      </w:r>
      <w:r w:rsidRPr="008D4453">
        <w:rPr>
          <w:rFonts w:ascii="Arial" w:hAnsi="Arial" w:cs="Arial"/>
          <w:i/>
        </w:rPr>
        <w:t>IDS Bulletin</w:t>
      </w:r>
      <w:r w:rsidRPr="008D4453">
        <w:rPr>
          <w:rFonts w:ascii="Arial" w:hAnsi="Arial" w:cs="Arial"/>
        </w:rPr>
        <w:t xml:space="preserve">, </w:t>
      </w:r>
      <w:r w:rsidRPr="008D4453">
        <w:rPr>
          <w:rFonts w:ascii="Arial" w:hAnsi="Arial" w:cs="Arial"/>
          <w:i/>
        </w:rPr>
        <w:t>32</w:t>
      </w:r>
      <w:r w:rsidRPr="008D4453">
        <w:rPr>
          <w:rFonts w:ascii="Arial" w:hAnsi="Arial" w:cs="Arial"/>
        </w:rPr>
        <w:t>(3), 69–82. https://doi.org/10.1111/j.1759-5436.2001.mp32003008.x</w:t>
      </w:r>
    </w:p>
    <w:p w14:paraId="02ECE9F3" w14:textId="77777777" w:rsidR="00B07DA5" w:rsidRPr="008D4453" w:rsidRDefault="00000000">
      <w:pPr>
        <w:spacing w:after="40"/>
        <w:ind w:left="720" w:hanging="720"/>
        <w:rPr>
          <w:rFonts w:ascii="Arial" w:hAnsi="Arial" w:cs="Arial"/>
        </w:rPr>
      </w:pPr>
      <w:r w:rsidRPr="008D4453">
        <w:rPr>
          <w:rFonts w:ascii="Arial" w:hAnsi="Arial" w:cs="Arial"/>
        </w:rPr>
        <w:t xml:space="preserve">Gereffi, G., Humphrey, J., &amp; Sturgeon, T. (2005). The governance of global value chains. </w:t>
      </w:r>
      <w:r w:rsidRPr="008D4453">
        <w:rPr>
          <w:rFonts w:ascii="Arial" w:hAnsi="Arial" w:cs="Arial"/>
          <w:i/>
        </w:rPr>
        <w:t>Review of International Political Economy</w:t>
      </w:r>
      <w:r w:rsidRPr="008D4453">
        <w:rPr>
          <w:rFonts w:ascii="Arial" w:hAnsi="Arial" w:cs="Arial"/>
        </w:rPr>
        <w:t xml:space="preserve">, </w:t>
      </w:r>
      <w:r w:rsidRPr="008D4453">
        <w:rPr>
          <w:rFonts w:ascii="Arial" w:hAnsi="Arial" w:cs="Arial"/>
          <w:i/>
        </w:rPr>
        <w:t>12</w:t>
      </w:r>
      <w:r w:rsidRPr="008D4453">
        <w:rPr>
          <w:rFonts w:ascii="Arial" w:hAnsi="Arial" w:cs="Arial"/>
        </w:rPr>
        <w:t>(1), 78–104. https://doi.org/10.1080/09692290500049805</w:t>
      </w:r>
    </w:p>
    <w:p w14:paraId="55D7CA2C" w14:textId="77777777" w:rsidR="00B07DA5" w:rsidRPr="008D4453" w:rsidRDefault="00000000">
      <w:pPr>
        <w:spacing w:after="40"/>
        <w:ind w:left="720" w:hanging="720"/>
        <w:rPr>
          <w:rFonts w:ascii="Arial" w:hAnsi="Arial" w:cs="Arial"/>
        </w:rPr>
      </w:pPr>
      <w:r w:rsidRPr="008D4453">
        <w:rPr>
          <w:rFonts w:ascii="Arial" w:hAnsi="Arial" w:cs="Arial"/>
        </w:rPr>
        <w:t xml:space="preserve">Grabs, J., &amp; Ponte, S. (2019). The evolution of power in the global coffee value chain and production network. </w:t>
      </w:r>
      <w:r w:rsidRPr="008D4453">
        <w:rPr>
          <w:rFonts w:ascii="Arial" w:hAnsi="Arial" w:cs="Arial"/>
          <w:i/>
        </w:rPr>
        <w:t>Journal of Economic Geography</w:t>
      </w:r>
      <w:r w:rsidRPr="008D4453">
        <w:rPr>
          <w:rFonts w:ascii="Arial" w:hAnsi="Arial" w:cs="Arial"/>
        </w:rPr>
        <w:t xml:space="preserve">, </w:t>
      </w:r>
      <w:r w:rsidRPr="008D4453">
        <w:rPr>
          <w:rFonts w:ascii="Arial" w:hAnsi="Arial" w:cs="Arial"/>
          <w:i/>
        </w:rPr>
        <w:t>19</w:t>
      </w:r>
      <w:r w:rsidRPr="008D4453">
        <w:rPr>
          <w:rFonts w:ascii="Arial" w:hAnsi="Arial" w:cs="Arial"/>
        </w:rPr>
        <w:t>(4), 803–828. https://doi.org/10.1093/jeg/lbz008</w:t>
      </w:r>
    </w:p>
    <w:p w14:paraId="5273CAFC" w14:textId="77777777" w:rsidR="00B07DA5" w:rsidRPr="008D4453" w:rsidRDefault="00000000">
      <w:pPr>
        <w:spacing w:after="40"/>
        <w:ind w:left="720" w:hanging="720"/>
        <w:rPr>
          <w:rFonts w:ascii="Arial" w:hAnsi="Arial" w:cs="Arial"/>
        </w:rPr>
      </w:pPr>
      <w:r w:rsidRPr="008D4453">
        <w:rPr>
          <w:rFonts w:ascii="Arial" w:hAnsi="Arial" w:cs="Arial"/>
        </w:rPr>
        <w:t xml:space="preserve">Hevner, A. R., March, S. T., Park, J., &amp; Ram, S. (2004). Design science in information systems research. </w:t>
      </w:r>
      <w:r w:rsidRPr="008D4453">
        <w:rPr>
          <w:rFonts w:ascii="Arial" w:hAnsi="Arial" w:cs="Arial"/>
          <w:i/>
        </w:rPr>
        <w:t>MIS Quarterly</w:t>
      </w:r>
      <w:r w:rsidRPr="008D4453">
        <w:rPr>
          <w:rFonts w:ascii="Arial" w:hAnsi="Arial" w:cs="Arial"/>
        </w:rPr>
        <w:t xml:space="preserve">, </w:t>
      </w:r>
      <w:r w:rsidRPr="008D4453">
        <w:rPr>
          <w:rFonts w:ascii="Arial" w:hAnsi="Arial" w:cs="Arial"/>
          <w:i/>
        </w:rPr>
        <w:t>28</w:t>
      </w:r>
      <w:r w:rsidRPr="008D4453">
        <w:rPr>
          <w:rFonts w:ascii="Arial" w:hAnsi="Arial" w:cs="Arial"/>
        </w:rPr>
        <w:t>(1), 75–105. https://doi.org/10.2307/25148625</w:t>
      </w:r>
    </w:p>
    <w:p w14:paraId="3F3EFD97" w14:textId="77777777" w:rsidR="00B07DA5" w:rsidRPr="008D4453" w:rsidRDefault="00000000">
      <w:pPr>
        <w:spacing w:after="40"/>
        <w:ind w:left="720" w:hanging="720"/>
        <w:rPr>
          <w:rFonts w:ascii="Arial" w:hAnsi="Arial" w:cs="Arial"/>
        </w:rPr>
      </w:pPr>
      <w:r w:rsidRPr="008D4453">
        <w:rPr>
          <w:rFonts w:ascii="Arial" w:hAnsi="Arial" w:cs="Arial"/>
        </w:rPr>
        <w:t xml:space="preserve">Horváth, A., &amp; Kemser, H.-P. (2026). Human, organisation and social system in the intelligent factory: The contemporary relevance of socio-technical systems theory in the age of </w:t>
      </w:r>
      <w:r w:rsidRPr="008D4453">
        <w:rPr>
          <w:rFonts w:ascii="Arial" w:hAnsi="Arial" w:cs="Arial"/>
        </w:rPr>
        <w:lastRenderedPageBreak/>
        <w:t xml:space="preserve">Industry 4.0. </w:t>
      </w:r>
      <w:r w:rsidRPr="008D4453">
        <w:rPr>
          <w:rFonts w:ascii="Arial" w:hAnsi="Arial" w:cs="Arial"/>
          <w:i/>
        </w:rPr>
        <w:t>International Review of Applied Sciences and Engineering</w:t>
      </w:r>
      <w:r w:rsidRPr="008D4453">
        <w:rPr>
          <w:rFonts w:ascii="Arial" w:hAnsi="Arial" w:cs="Arial"/>
        </w:rPr>
        <w:t>. https://doi.org/10.1556/1848.2026.01263</w:t>
      </w:r>
    </w:p>
    <w:p w14:paraId="6E934DBD" w14:textId="77777777" w:rsidR="00B07DA5" w:rsidRPr="008D4453" w:rsidRDefault="00000000">
      <w:pPr>
        <w:spacing w:after="40"/>
        <w:ind w:left="720" w:hanging="720"/>
        <w:rPr>
          <w:rFonts w:ascii="Arial" w:hAnsi="Arial" w:cs="Arial"/>
        </w:rPr>
      </w:pPr>
      <w:r w:rsidRPr="008D4453">
        <w:rPr>
          <w:rFonts w:ascii="Arial" w:hAnsi="Arial" w:cs="Arial"/>
        </w:rPr>
        <w:t xml:space="preserve">Humphrey, J., &amp; Schmitz, H. (2002). How does insertion in global value chains affect upgrading in industrial clusters? </w:t>
      </w:r>
      <w:r w:rsidRPr="008D4453">
        <w:rPr>
          <w:rFonts w:ascii="Arial" w:hAnsi="Arial" w:cs="Arial"/>
          <w:i/>
        </w:rPr>
        <w:t>Regional Studies</w:t>
      </w:r>
      <w:r w:rsidRPr="008D4453">
        <w:rPr>
          <w:rFonts w:ascii="Arial" w:hAnsi="Arial" w:cs="Arial"/>
        </w:rPr>
        <w:t xml:space="preserve">, </w:t>
      </w:r>
      <w:r w:rsidRPr="008D4453">
        <w:rPr>
          <w:rFonts w:ascii="Arial" w:hAnsi="Arial" w:cs="Arial"/>
          <w:i/>
        </w:rPr>
        <w:t>36</w:t>
      </w:r>
      <w:r w:rsidRPr="008D4453">
        <w:rPr>
          <w:rFonts w:ascii="Arial" w:hAnsi="Arial" w:cs="Arial"/>
        </w:rPr>
        <w:t>(9), 1017–1027. https://doi.org/10.1080/0034340022000022198</w:t>
      </w:r>
    </w:p>
    <w:p w14:paraId="241A3B3B" w14:textId="77777777" w:rsidR="00B07DA5" w:rsidRPr="008D4453" w:rsidRDefault="00000000">
      <w:pPr>
        <w:spacing w:after="40"/>
        <w:ind w:left="720" w:hanging="720"/>
        <w:rPr>
          <w:rFonts w:ascii="Arial" w:hAnsi="Arial" w:cs="Arial"/>
        </w:rPr>
      </w:pPr>
      <w:r w:rsidRPr="008D4453">
        <w:rPr>
          <w:rFonts w:ascii="Arial" w:hAnsi="Arial" w:cs="Arial"/>
        </w:rPr>
        <w:t xml:space="preserve">Ortmann, G. F., &amp; King, R. P. (2007). Agricultural cooperatives I: History, theory and problems. </w:t>
      </w:r>
      <w:r w:rsidRPr="008D4453">
        <w:rPr>
          <w:rFonts w:ascii="Arial" w:hAnsi="Arial" w:cs="Arial"/>
          <w:i/>
        </w:rPr>
        <w:t>Agrekon</w:t>
      </w:r>
      <w:r w:rsidRPr="008D4453">
        <w:rPr>
          <w:rFonts w:ascii="Arial" w:hAnsi="Arial" w:cs="Arial"/>
        </w:rPr>
        <w:t xml:space="preserve">, </w:t>
      </w:r>
      <w:r w:rsidRPr="008D4453">
        <w:rPr>
          <w:rFonts w:ascii="Arial" w:hAnsi="Arial" w:cs="Arial"/>
          <w:i/>
        </w:rPr>
        <w:t>46</w:t>
      </w:r>
      <w:r w:rsidRPr="008D4453">
        <w:rPr>
          <w:rFonts w:ascii="Arial" w:hAnsi="Arial" w:cs="Arial"/>
        </w:rPr>
        <w:t>(1), 18–46. https://doi.org/10.1080/03031853.2007.9523760</w:t>
      </w:r>
    </w:p>
    <w:p w14:paraId="1D5F0BBF" w14:textId="77777777" w:rsidR="00B07DA5" w:rsidRPr="008D4453" w:rsidRDefault="00000000">
      <w:pPr>
        <w:spacing w:after="40"/>
        <w:ind w:left="720" w:hanging="720"/>
        <w:rPr>
          <w:rFonts w:ascii="Arial" w:hAnsi="Arial" w:cs="Arial"/>
        </w:rPr>
      </w:pPr>
      <w:r w:rsidRPr="008D4453">
        <w:rPr>
          <w:rFonts w:ascii="Arial" w:hAnsi="Arial" w:cs="Arial"/>
        </w:rPr>
        <w:t xml:space="preserve">Ostrom, E. (1990). </w:t>
      </w:r>
      <w:r w:rsidRPr="008D4453">
        <w:rPr>
          <w:rFonts w:ascii="Arial" w:hAnsi="Arial" w:cs="Arial"/>
          <w:i/>
        </w:rPr>
        <w:t>Governing the commons: The evolution of institutions for collective action</w:t>
      </w:r>
      <w:r w:rsidRPr="008D4453">
        <w:rPr>
          <w:rFonts w:ascii="Arial" w:hAnsi="Arial" w:cs="Arial"/>
        </w:rPr>
        <w:t>. Cambridge University Press. https://doi.org/10.1017/CBO9780511807763</w:t>
      </w:r>
    </w:p>
    <w:p w14:paraId="62525289" w14:textId="77777777" w:rsidR="00B07DA5" w:rsidRPr="008D4453" w:rsidRDefault="00000000">
      <w:pPr>
        <w:spacing w:after="40"/>
        <w:ind w:left="720" w:hanging="720"/>
        <w:rPr>
          <w:rFonts w:ascii="Arial" w:hAnsi="Arial" w:cs="Arial"/>
        </w:rPr>
      </w:pPr>
      <w:r w:rsidRPr="008D4453">
        <w:rPr>
          <w:rFonts w:ascii="Arial" w:hAnsi="Arial" w:cs="Arial"/>
        </w:rPr>
        <w:t xml:space="preserve">Presidency of the Republic of Colombia. (2017). </w:t>
      </w:r>
      <w:r w:rsidRPr="008D4453">
        <w:rPr>
          <w:rFonts w:ascii="Arial" w:hAnsi="Arial" w:cs="Arial"/>
          <w:i/>
        </w:rPr>
        <w:t>Decree 893 of 2017</w:t>
      </w:r>
      <w:r w:rsidRPr="008D4453">
        <w:rPr>
          <w:rFonts w:ascii="Arial" w:hAnsi="Arial" w:cs="Arial"/>
        </w:rPr>
        <w:t>. Diario Oficial No. 50.230.</w:t>
      </w:r>
    </w:p>
    <w:p w14:paraId="0B353BCC" w14:textId="77777777" w:rsidR="00B07DA5" w:rsidRPr="008D4453" w:rsidRDefault="00000000">
      <w:pPr>
        <w:spacing w:after="40"/>
        <w:ind w:left="720" w:hanging="720"/>
        <w:rPr>
          <w:rFonts w:ascii="Arial" w:hAnsi="Arial" w:cs="Arial"/>
        </w:rPr>
      </w:pPr>
      <w:r w:rsidRPr="008D4453">
        <w:rPr>
          <w:rFonts w:ascii="Arial" w:hAnsi="Arial" w:cs="Arial"/>
        </w:rPr>
        <w:t>Ragin</w:t>
      </w:r>
      <w:proofErr w:type="gramStart"/>
      <w:r w:rsidRPr="008D4453">
        <w:rPr>
          <w:rFonts w:ascii="Arial" w:hAnsi="Arial" w:cs="Arial"/>
        </w:rPr>
        <w:t>, C.</w:t>
      </w:r>
      <w:proofErr w:type="gramEnd"/>
      <w:r w:rsidRPr="008D4453">
        <w:rPr>
          <w:rFonts w:ascii="Arial" w:hAnsi="Arial" w:cs="Arial"/>
        </w:rPr>
        <w:t xml:space="preserve"> C. (2008). </w:t>
      </w:r>
      <w:r w:rsidRPr="008D4453">
        <w:rPr>
          <w:rFonts w:ascii="Arial" w:hAnsi="Arial" w:cs="Arial"/>
          <w:i/>
        </w:rPr>
        <w:t>Redesigning social inquiry: Fuzzy sets and beyond</w:t>
      </w:r>
      <w:r w:rsidRPr="008D4453">
        <w:rPr>
          <w:rFonts w:ascii="Arial" w:hAnsi="Arial" w:cs="Arial"/>
        </w:rPr>
        <w:t>. University of Chicago Press. https://doi.org/10.7208/chicago/9780226702797.001.0001</w:t>
      </w:r>
    </w:p>
    <w:p w14:paraId="1443B56A" w14:textId="77777777" w:rsidR="00B07DA5" w:rsidRPr="008D4453" w:rsidRDefault="00000000">
      <w:pPr>
        <w:spacing w:after="40"/>
        <w:ind w:left="720" w:hanging="720"/>
        <w:rPr>
          <w:rFonts w:ascii="Arial" w:hAnsi="Arial" w:cs="Arial"/>
        </w:rPr>
      </w:pPr>
      <w:r w:rsidRPr="008D4453">
        <w:rPr>
          <w:rFonts w:ascii="Arial" w:hAnsi="Arial" w:cs="Arial"/>
        </w:rPr>
        <w:t xml:space="preserve">Rettberg, A. (2010). Global markets, local conflict: Violence in the Colombian coffee region after the breakdown of the International Coffee Agreement. </w:t>
      </w:r>
      <w:r w:rsidRPr="008D4453">
        <w:rPr>
          <w:rFonts w:ascii="Arial" w:hAnsi="Arial" w:cs="Arial"/>
          <w:i/>
        </w:rPr>
        <w:t>Latin American Perspectives</w:t>
      </w:r>
      <w:r w:rsidRPr="008D4453">
        <w:rPr>
          <w:rFonts w:ascii="Arial" w:hAnsi="Arial" w:cs="Arial"/>
        </w:rPr>
        <w:t xml:space="preserve">, </w:t>
      </w:r>
      <w:r w:rsidRPr="008D4453">
        <w:rPr>
          <w:rFonts w:ascii="Arial" w:hAnsi="Arial" w:cs="Arial"/>
          <w:i/>
        </w:rPr>
        <w:t>37</w:t>
      </w:r>
      <w:r w:rsidRPr="008D4453">
        <w:rPr>
          <w:rFonts w:ascii="Arial" w:hAnsi="Arial" w:cs="Arial"/>
        </w:rPr>
        <w:t>(2), 111–132. https://doi.org/10.1177/0094582X09356961</w:t>
      </w:r>
    </w:p>
    <w:p w14:paraId="04934EBF" w14:textId="77777777" w:rsidR="00B07DA5" w:rsidRPr="008D4453" w:rsidRDefault="00000000">
      <w:pPr>
        <w:spacing w:after="40"/>
        <w:ind w:left="720" w:hanging="720"/>
        <w:rPr>
          <w:rFonts w:ascii="Arial" w:hAnsi="Arial" w:cs="Arial"/>
        </w:rPr>
      </w:pPr>
      <w:r w:rsidRPr="008D4453">
        <w:rPr>
          <w:rFonts w:ascii="Arial" w:hAnsi="Arial" w:cs="Arial"/>
        </w:rPr>
        <w:t xml:space="preserve">Schletz, M., et al. (2023). Blockchain and regenerative finance. </w:t>
      </w:r>
      <w:r w:rsidRPr="008D4453">
        <w:rPr>
          <w:rFonts w:ascii="Arial" w:hAnsi="Arial" w:cs="Arial"/>
          <w:i/>
        </w:rPr>
        <w:t>Frontiers in Blockchain</w:t>
      </w:r>
      <w:r w:rsidRPr="008D4453">
        <w:rPr>
          <w:rFonts w:ascii="Arial" w:hAnsi="Arial" w:cs="Arial"/>
        </w:rPr>
        <w:t xml:space="preserve">, </w:t>
      </w:r>
      <w:r w:rsidRPr="008D4453">
        <w:rPr>
          <w:rFonts w:ascii="Arial" w:hAnsi="Arial" w:cs="Arial"/>
          <w:i/>
        </w:rPr>
        <w:t>6</w:t>
      </w:r>
      <w:r w:rsidRPr="008D4453">
        <w:rPr>
          <w:rFonts w:ascii="Arial" w:hAnsi="Arial" w:cs="Arial"/>
        </w:rPr>
        <w:t>, Article 1165133. https://doi.org/10.3389/fbloc.2023.1165133</w:t>
      </w:r>
    </w:p>
    <w:p w14:paraId="2240A172" w14:textId="77777777" w:rsidR="00B07DA5" w:rsidRPr="008D4453" w:rsidRDefault="00000000">
      <w:pPr>
        <w:spacing w:after="40"/>
        <w:ind w:left="720" w:hanging="720"/>
        <w:rPr>
          <w:rFonts w:ascii="Arial" w:hAnsi="Arial" w:cs="Arial"/>
        </w:rPr>
      </w:pPr>
      <w:r w:rsidRPr="008D4453">
        <w:rPr>
          <w:rFonts w:ascii="Arial" w:hAnsi="Arial" w:cs="Arial"/>
        </w:rPr>
        <w:t xml:space="preserve">Talbot, J. M. (1997). Where does your coffee dollar go? The division of income and surplus along the coffee commodity chain. </w:t>
      </w:r>
      <w:r w:rsidRPr="008D4453">
        <w:rPr>
          <w:rFonts w:ascii="Arial" w:hAnsi="Arial" w:cs="Arial"/>
          <w:i/>
        </w:rPr>
        <w:t>Studies in Comparative International Development</w:t>
      </w:r>
      <w:r w:rsidRPr="008D4453">
        <w:rPr>
          <w:rFonts w:ascii="Arial" w:hAnsi="Arial" w:cs="Arial"/>
        </w:rPr>
        <w:t xml:space="preserve">, </w:t>
      </w:r>
      <w:r w:rsidRPr="008D4453">
        <w:rPr>
          <w:rFonts w:ascii="Arial" w:hAnsi="Arial" w:cs="Arial"/>
          <w:i/>
        </w:rPr>
        <w:t>32</w:t>
      </w:r>
      <w:r w:rsidRPr="008D4453">
        <w:rPr>
          <w:rFonts w:ascii="Arial" w:hAnsi="Arial" w:cs="Arial"/>
        </w:rPr>
        <w:t>(1), 56–91. https://doi.org/10.1007/BF02696306</w:t>
      </w:r>
    </w:p>
    <w:p w14:paraId="247E64C3" w14:textId="77777777" w:rsidR="00B07DA5" w:rsidRPr="008D4453" w:rsidRDefault="00000000">
      <w:pPr>
        <w:spacing w:after="40"/>
        <w:ind w:left="720" w:hanging="720"/>
        <w:rPr>
          <w:rFonts w:ascii="Arial" w:hAnsi="Arial" w:cs="Arial"/>
        </w:rPr>
      </w:pPr>
      <w:r w:rsidRPr="008D4453">
        <w:rPr>
          <w:rFonts w:ascii="Arial" w:hAnsi="Arial" w:cs="Arial"/>
        </w:rPr>
        <w:t xml:space="preserve">Trist, E. L. (1981). </w:t>
      </w:r>
      <w:r w:rsidRPr="008D4453">
        <w:rPr>
          <w:rFonts w:ascii="Arial" w:hAnsi="Arial" w:cs="Arial"/>
          <w:i/>
        </w:rPr>
        <w:t>The evolution of socio-technical systems: A conceptual framework and an action research program</w:t>
      </w:r>
      <w:r w:rsidRPr="008D4453">
        <w:rPr>
          <w:rFonts w:ascii="Arial" w:hAnsi="Arial" w:cs="Arial"/>
        </w:rPr>
        <w:t xml:space="preserve"> (Occasional Paper No. 2). Ontario Quality of Working Life Centre.</w:t>
      </w:r>
    </w:p>
    <w:p w14:paraId="1FEC5838" w14:textId="77777777" w:rsidR="00B07DA5" w:rsidRPr="008D4453" w:rsidRDefault="00000000">
      <w:pPr>
        <w:spacing w:after="40"/>
        <w:ind w:left="720" w:hanging="720"/>
        <w:rPr>
          <w:rFonts w:ascii="Arial" w:hAnsi="Arial" w:cs="Arial"/>
        </w:rPr>
      </w:pPr>
      <w:r w:rsidRPr="008D4453">
        <w:rPr>
          <w:rFonts w:ascii="Arial" w:hAnsi="Arial" w:cs="Arial"/>
        </w:rPr>
        <w:t xml:space="preserve">Trist, E. L., &amp; Bamforth, K. W. (1951). Some social and psychological consequences of the longwall method of coal-getting. </w:t>
      </w:r>
      <w:r w:rsidRPr="008D4453">
        <w:rPr>
          <w:rFonts w:ascii="Arial" w:hAnsi="Arial" w:cs="Arial"/>
          <w:i/>
        </w:rPr>
        <w:t>Human Relations</w:t>
      </w:r>
      <w:r w:rsidRPr="008D4453">
        <w:rPr>
          <w:rFonts w:ascii="Arial" w:hAnsi="Arial" w:cs="Arial"/>
        </w:rPr>
        <w:t xml:space="preserve">, </w:t>
      </w:r>
      <w:r w:rsidRPr="008D4453">
        <w:rPr>
          <w:rFonts w:ascii="Arial" w:hAnsi="Arial" w:cs="Arial"/>
          <w:i/>
        </w:rPr>
        <w:t>4</w:t>
      </w:r>
      <w:r w:rsidRPr="008D4453">
        <w:rPr>
          <w:rFonts w:ascii="Arial" w:hAnsi="Arial" w:cs="Arial"/>
        </w:rPr>
        <w:t>(1), 3–38. https://doi.org/10.1177/001872675100400101</w:t>
      </w:r>
    </w:p>
    <w:p w14:paraId="49012BD8" w14:textId="77777777" w:rsidR="00B07DA5" w:rsidRPr="008D4453" w:rsidRDefault="00000000">
      <w:pPr>
        <w:spacing w:after="40"/>
        <w:ind w:left="720" w:hanging="720"/>
        <w:rPr>
          <w:rFonts w:ascii="Arial" w:hAnsi="Arial" w:cs="Arial"/>
        </w:rPr>
      </w:pPr>
      <w:r w:rsidRPr="008D4453">
        <w:rPr>
          <w:rFonts w:ascii="Arial" w:hAnsi="Arial" w:cs="Arial"/>
        </w:rPr>
        <w:t xml:space="preserve">Wallerstein, I. (1974). </w:t>
      </w:r>
      <w:r w:rsidRPr="008D4453">
        <w:rPr>
          <w:rFonts w:ascii="Arial" w:hAnsi="Arial" w:cs="Arial"/>
          <w:i/>
        </w:rPr>
        <w:t>The modern world-system I: Capitalist agriculture and the origins of the European world-economy in the sixteenth century</w:t>
      </w:r>
      <w:r w:rsidRPr="008D4453">
        <w:rPr>
          <w:rFonts w:ascii="Arial" w:hAnsi="Arial" w:cs="Arial"/>
        </w:rPr>
        <w:t>. Academic Press.</w:t>
      </w:r>
    </w:p>
    <w:p w14:paraId="4CFBCC98" w14:textId="77777777" w:rsidR="00B07DA5" w:rsidRPr="008D4453" w:rsidRDefault="00000000">
      <w:pPr>
        <w:spacing w:after="40"/>
        <w:ind w:left="720" w:hanging="720"/>
        <w:rPr>
          <w:rFonts w:ascii="Arial" w:hAnsi="Arial" w:cs="Arial"/>
        </w:rPr>
      </w:pPr>
      <w:r w:rsidRPr="008D4453">
        <w:rPr>
          <w:rFonts w:ascii="Arial" w:hAnsi="Arial" w:cs="Arial"/>
        </w:rPr>
        <w:t xml:space="preserve">Werbach, K. (2018). </w:t>
      </w:r>
      <w:r w:rsidRPr="008D4453">
        <w:rPr>
          <w:rFonts w:ascii="Arial" w:hAnsi="Arial" w:cs="Arial"/>
          <w:i/>
        </w:rPr>
        <w:t>The blockchain and the new architecture of trust</w:t>
      </w:r>
      <w:r w:rsidRPr="008D4453">
        <w:rPr>
          <w:rFonts w:ascii="Arial" w:hAnsi="Arial" w:cs="Arial"/>
        </w:rPr>
        <w:t>. MIT Press. https://doi.org/10.7551/mitpress/11449.001.0001</w:t>
      </w:r>
    </w:p>
    <w:p w14:paraId="72E4B5DD" w14:textId="77777777" w:rsidR="00B07DA5" w:rsidRPr="008D4453" w:rsidRDefault="00000000">
      <w:pPr>
        <w:spacing w:after="40"/>
        <w:ind w:left="720" w:hanging="720"/>
        <w:rPr>
          <w:rFonts w:ascii="Arial" w:hAnsi="Arial" w:cs="Arial"/>
          <w:lang w:val="es-CO"/>
        </w:rPr>
      </w:pPr>
      <w:r w:rsidRPr="008D4453">
        <w:rPr>
          <w:rFonts w:ascii="Arial" w:hAnsi="Arial" w:cs="Arial"/>
        </w:rPr>
        <w:t xml:space="preserve">Yeung, H. W.-C., &amp; Coe, N. M. (2015). Toward a dynamic theory of global production networks. </w:t>
      </w:r>
      <w:proofErr w:type="spellStart"/>
      <w:r w:rsidRPr="008D4453">
        <w:rPr>
          <w:rFonts w:ascii="Arial" w:hAnsi="Arial" w:cs="Arial"/>
          <w:i/>
          <w:lang w:val="es-CO"/>
        </w:rPr>
        <w:t>Economic</w:t>
      </w:r>
      <w:proofErr w:type="spellEnd"/>
      <w:r w:rsidRPr="008D4453">
        <w:rPr>
          <w:rFonts w:ascii="Arial" w:hAnsi="Arial" w:cs="Arial"/>
          <w:i/>
          <w:lang w:val="es-CO"/>
        </w:rPr>
        <w:t xml:space="preserve"> </w:t>
      </w:r>
      <w:proofErr w:type="spellStart"/>
      <w:r w:rsidRPr="008D4453">
        <w:rPr>
          <w:rFonts w:ascii="Arial" w:hAnsi="Arial" w:cs="Arial"/>
          <w:i/>
          <w:lang w:val="es-CO"/>
        </w:rPr>
        <w:t>Geography</w:t>
      </w:r>
      <w:proofErr w:type="spellEnd"/>
      <w:r w:rsidRPr="008D4453">
        <w:rPr>
          <w:rFonts w:ascii="Arial" w:hAnsi="Arial" w:cs="Arial"/>
          <w:lang w:val="es-CO"/>
        </w:rPr>
        <w:t xml:space="preserve">, </w:t>
      </w:r>
      <w:r w:rsidRPr="008D4453">
        <w:rPr>
          <w:rFonts w:ascii="Arial" w:hAnsi="Arial" w:cs="Arial"/>
          <w:i/>
          <w:lang w:val="es-CO"/>
        </w:rPr>
        <w:t>91</w:t>
      </w:r>
      <w:r w:rsidRPr="008D4453">
        <w:rPr>
          <w:rFonts w:ascii="Arial" w:hAnsi="Arial" w:cs="Arial"/>
          <w:lang w:val="es-CO"/>
        </w:rPr>
        <w:t>(1), 29–58. https://doi.org/10.1111/ecge.12063</w:t>
      </w:r>
    </w:p>
    <w:sectPr w:rsidR="00B07DA5" w:rsidRPr="008D445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5405116">
    <w:abstractNumId w:val="8"/>
  </w:num>
  <w:num w:numId="2" w16cid:durableId="700515906">
    <w:abstractNumId w:val="6"/>
  </w:num>
  <w:num w:numId="3" w16cid:durableId="1227229108">
    <w:abstractNumId w:val="5"/>
  </w:num>
  <w:num w:numId="4" w16cid:durableId="444347082">
    <w:abstractNumId w:val="4"/>
  </w:num>
  <w:num w:numId="5" w16cid:durableId="2067951003">
    <w:abstractNumId w:val="7"/>
  </w:num>
  <w:num w:numId="6" w16cid:durableId="1958170983">
    <w:abstractNumId w:val="3"/>
  </w:num>
  <w:num w:numId="7" w16cid:durableId="1812139332">
    <w:abstractNumId w:val="2"/>
  </w:num>
  <w:num w:numId="8" w16cid:durableId="1650136088">
    <w:abstractNumId w:val="1"/>
  </w:num>
  <w:num w:numId="9" w16cid:durableId="166967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4453"/>
    <w:rsid w:val="00992631"/>
    <w:rsid w:val="00AA1D8D"/>
    <w:rsid w:val="00B07DA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78947"/>
  <w14:defaultImageDpi w14:val="300"/>
  <w15:docId w15:val="{9CF4CCCA-B0F5-48F0-80E9-9B86744EF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2283</Words>
  <Characters>13703</Characters>
  <Application>Microsoft Office Word</Application>
  <DocSecurity>0</DocSecurity>
  <Lines>204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2026-06-10T06:42:00Z</dcterms:modified>
  <cp:category/>
</cp:coreProperties>
</file>