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24854" w14:textId="77777777" w:rsidR="007D2E36" w:rsidRPr="00791DB7" w:rsidRDefault="00000000">
      <w:pPr>
        <w:jc w:val="center"/>
        <w:rPr>
          <w:rFonts w:ascii="Arial" w:hAnsi="Arial" w:cs="Arial"/>
          <w:sz w:val="24"/>
          <w:szCs w:val="24"/>
          <w:lang w:val="it-IT"/>
        </w:rPr>
      </w:pPr>
      <w:r w:rsidRPr="00791DB7">
        <w:rPr>
          <w:rFonts w:ascii="Arial" w:hAnsi="Arial" w:cs="Arial"/>
          <w:b/>
          <w:sz w:val="24"/>
          <w:szCs w:val="24"/>
          <w:lang w:val="it-IT"/>
        </w:rPr>
        <w:t>RESEARCH PROJECT</w:t>
      </w:r>
    </w:p>
    <w:p w14:paraId="3DCD9835" w14:textId="77777777" w:rsidR="007D2E36" w:rsidRPr="00791DB7" w:rsidRDefault="00000000">
      <w:pPr>
        <w:spacing w:after="0"/>
        <w:jc w:val="center"/>
        <w:rPr>
          <w:rFonts w:ascii="Arial" w:hAnsi="Arial" w:cs="Arial"/>
          <w:sz w:val="24"/>
          <w:szCs w:val="24"/>
          <w:lang w:val="it-IT"/>
        </w:rPr>
      </w:pPr>
      <w:r w:rsidRPr="00791DB7">
        <w:rPr>
          <w:rFonts w:ascii="Arial" w:hAnsi="Arial" w:cs="Arial"/>
          <w:i/>
          <w:sz w:val="24"/>
          <w:szCs w:val="24"/>
          <w:lang w:val="it-IT"/>
        </w:rPr>
        <w:t>Università degli Studi di Firenze</w:t>
      </w:r>
    </w:p>
    <w:p w14:paraId="1354ECFE" w14:textId="77777777" w:rsidR="007D2E36" w:rsidRPr="00791DB7" w:rsidRDefault="00000000">
      <w:pPr>
        <w:spacing w:after="0"/>
        <w:jc w:val="center"/>
        <w:rPr>
          <w:rFonts w:ascii="Arial" w:hAnsi="Arial" w:cs="Arial"/>
          <w:sz w:val="24"/>
          <w:szCs w:val="24"/>
        </w:rPr>
      </w:pPr>
      <w:r w:rsidRPr="00791DB7">
        <w:rPr>
          <w:rFonts w:ascii="Arial" w:hAnsi="Arial" w:cs="Arial"/>
          <w:i/>
          <w:sz w:val="24"/>
          <w:szCs w:val="24"/>
        </w:rPr>
        <w:t>PhD in Sustainable Management of Agricultural, Forestry and Food Resources (</w:t>
      </w:r>
      <w:proofErr w:type="gramStart"/>
      <w:r w:rsidRPr="00791DB7">
        <w:rPr>
          <w:rFonts w:ascii="Arial" w:hAnsi="Arial" w:cs="Arial"/>
          <w:i/>
          <w:sz w:val="24"/>
          <w:szCs w:val="24"/>
        </w:rPr>
        <w:t>GeSoRAFA) —</w:t>
      </w:r>
      <w:proofErr w:type="gramEnd"/>
      <w:r w:rsidRPr="00791DB7">
        <w:rPr>
          <w:rFonts w:ascii="Arial" w:hAnsi="Arial" w:cs="Arial"/>
          <w:i/>
          <w:sz w:val="24"/>
          <w:szCs w:val="24"/>
        </w:rPr>
        <w:t xml:space="preserve"> XLII cycle</w:t>
      </w:r>
    </w:p>
    <w:p w14:paraId="6942B126" w14:textId="77777777" w:rsidR="00791DB7" w:rsidRDefault="00791DB7">
      <w:pPr>
        <w:spacing w:after="40"/>
        <w:jc w:val="center"/>
        <w:rPr>
          <w:rFonts w:ascii="Arial" w:hAnsi="Arial" w:cs="Arial"/>
          <w:b/>
          <w:sz w:val="24"/>
          <w:szCs w:val="24"/>
        </w:rPr>
      </w:pPr>
    </w:p>
    <w:p w14:paraId="3C14878B" w14:textId="2F18E62A" w:rsidR="007D2E36" w:rsidRPr="00791DB7" w:rsidRDefault="00000000">
      <w:pPr>
        <w:spacing w:after="40"/>
        <w:jc w:val="center"/>
        <w:rPr>
          <w:rFonts w:ascii="Arial" w:hAnsi="Arial" w:cs="Arial"/>
          <w:sz w:val="24"/>
          <w:szCs w:val="24"/>
        </w:rPr>
      </w:pPr>
      <w:r w:rsidRPr="00791DB7">
        <w:rPr>
          <w:rFonts w:ascii="Arial" w:hAnsi="Arial" w:cs="Arial"/>
          <w:b/>
          <w:sz w:val="24"/>
          <w:szCs w:val="24"/>
        </w:rPr>
        <w:t>Applicant: Daniel Alejandro Pajoy Bastos</w:t>
      </w:r>
    </w:p>
    <w:p w14:paraId="22ECDF59" w14:textId="77777777" w:rsidR="00791DB7" w:rsidRDefault="00791DB7">
      <w:pPr>
        <w:spacing w:after="160"/>
        <w:jc w:val="center"/>
        <w:rPr>
          <w:rFonts w:ascii="Arial" w:hAnsi="Arial" w:cs="Arial"/>
          <w:i/>
          <w:sz w:val="24"/>
          <w:szCs w:val="24"/>
        </w:rPr>
      </w:pPr>
    </w:p>
    <w:p w14:paraId="0121B585" w14:textId="77777777" w:rsidR="00791DB7" w:rsidRDefault="00000000">
      <w:pPr>
        <w:spacing w:after="160"/>
        <w:jc w:val="center"/>
        <w:rPr>
          <w:rFonts w:ascii="Arial" w:hAnsi="Arial" w:cs="Arial"/>
          <w:i/>
          <w:sz w:val="24"/>
          <w:szCs w:val="24"/>
        </w:rPr>
      </w:pPr>
      <w:r w:rsidRPr="00791DB7">
        <w:rPr>
          <w:rFonts w:ascii="Arial" w:hAnsi="Arial" w:cs="Arial"/>
          <w:i/>
          <w:sz w:val="24"/>
          <w:szCs w:val="24"/>
        </w:rPr>
        <w:t xml:space="preserve">Curriculum: Agri-food Economics and Sustainable Rural Development (EASRS). </w:t>
      </w:r>
    </w:p>
    <w:p w14:paraId="7AA0ACF8" w14:textId="74411DD0" w:rsidR="007D2E36" w:rsidRPr="00791DB7" w:rsidRDefault="00000000">
      <w:pPr>
        <w:spacing w:after="160"/>
        <w:jc w:val="center"/>
        <w:rPr>
          <w:rFonts w:ascii="Arial" w:hAnsi="Arial" w:cs="Arial"/>
          <w:sz w:val="24"/>
          <w:szCs w:val="24"/>
        </w:rPr>
      </w:pPr>
      <w:r w:rsidRPr="00791DB7">
        <w:rPr>
          <w:rFonts w:ascii="Arial" w:hAnsi="Arial" w:cs="Arial"/>
          <w:i/>
          <w:sz w:val="24"/>
          <w:szCs w:val="24"/>
        </w:rPr>
        <w:t>Reference thematic: “Sustainable transition of agro-food systems, role of quality economics and policy, research and innovation” (Prof.ssa S. Scaramuzzi).</w:t>
      </w:r>
    </w:p>
    <w:p w14:paraId="01189F42" w14:textId="77777777" w:rsidR="007D2E36" w:rsidRPr="00791DB7" w:rsidRDefault="00000000">
      <w:pPr>
        <w:spacing w:before="200" w:after="80"/>
        <w:rPr>
          <w:rFonts w:ascii="Arial" w:hAnsi="Arial" w:cs="Arial"/>
          <w:sz w:val="24"/>
          <w:szCs w:val="24"/>
        </w:rPr>
      </w:pPr>
      <w:r w:rsidRPr="00791DB7">
        <w:rPr>
          <w:rFonts w:ascii="Arial" w:hAnsi="Arial" w:cs="Arial"/>
          <w:b/>
          <w:sz w:val="24"/>
          <w:szCs w:val="24"/>
        </w:rPr>
        <w:t>1. Title</w:t>
      </w:r>
    </w:p>
    <w:p w14:paraId="28A24F84" w14:textId="77777777" w:rsidR="007D2E36" w:rsidRPr="00791DB7" w:rsidRDefault="00000000">
      <w:pPr>
        <w:spacing w:after="80"/>
        <w:jc w:val="both"/>
        <w:rPr>
          <w:rFonts w:ascii="Arial" w:hAnsi="Arial" w:cs="Arial"/>
          <w:sz w:val="24"/>
          <w:szCs w:val="24"/>
        </w:rPr>
      </w:pPr>
      <w:r w:rsidRPr="00791DB7">
        <w:rPr>
          <w:rFonts w:ascii="Arial" w:hAnsi="Arial" w:cs="Arial"/>
          <w:b/>
          <w:sz w:val="24"/>
          <w:szCs w:val="24"/>
        </w:rPr>
        <w:t>Associative digital governance: a socio-technical model for value capture at origin in smallholder coffee organisations in Colombia's PDET territories</w:t>
      </w:r>
    </w:p>
    <w:p w14:paraId="75D138B1" w14:textId="77777777" w:rsidR="007D2E36" w:rsidRPr="00791DB7" w:rsidRDefault="00000000">
      <w:pPr>
        <w:spacing w:after="80"/>
        <w:rPr>
          <w:rFonts w:ascii="Arial" w:hAnsi="Arial" w:cs="Arial"/>
          <w:sz w:val="24"/>
          <w:szCs w:val="24"/>
        </w:rPr>
      </w:pPr>
      <w:r w:rsidRPr="00791DB7">
        <w:rPr>
          <w:rFonts w:ascii="Arial" w:hAnsi="Arial" w:cs="Arial"/>
          <w:i/>
          <w:sz w:val="24"/>
          <w:szCs w:val="24"/>
        </w:rPr>
        <w:t>Keywords: Associative digital governance; Global value chains; Value capture at origin; Collective action; Data sovereignty.</w:t>
      </w:r>
    </w:p>
    <w:p w14:paraId="7678DD6A" w14:textId="77777777" w:rsidR="007D2E36" w:rsidRPr="00791DB7" w:rsidRDefault="00000000">
      <w:pPr>
        <w:spacing w:before="200" w:after="80"/>
        <w:rPr>
          <w:rFonts w:ascii="Arial" w:hAnsi="Arial" w:cs="Arial"/>
          <w:sz w:val="24"/>
          <w:szCs w:val="24"/>
        </w:rPr>
      </w:pPr>
      <w:r w:rsidRPr="00791DB7">
        <w:rPr>
          <w:rFonts w:ascii="Arial" w:hAnsi="Arial" w:cs="Arial"/>
          <w:b/>
          <w:sz w:val="24"/>
          <w:szCs w:val="24"/>
        </w:rPr>
        <w:t>2. Research question and state of the art</w:t>
      </w:r>
    </w:p>
    <w:p w14:paraId="15D31E87" w14:textId="1CBF318C" w:rsidR="007D2E36" w:rsidRPr="00791DB7" w:rsidRDefault="00000000">
      <w:pPr>
        <w:spacing w:after="120"/>
        <w:jc w:val="both"/>
        <w:rPr>
          <w:rFonts w:ascii="Arial" w:hAnsi="Arial" w:cs="Arial"/>
          <w:sz w:val="24"/>
          <w:szCs w:val="24"/>
        </w:rPr>
      </w:pPr>
      <w:r w:rsidRPr="00791DB7">
        <w:rPr>
          <w:rFonts w:ascii="Arial" w:hAnsi="Arial" w:cs="Arial"/>
          <w:i/>
          <w:iCs/>
          <w:sz w:val="24"/>
          <w:szCs w:val="24"/>
          <w:u w:val="single"/>
        </w:rPr>
        <w:t>Research question</w:t>
      </w:r>
      <w:r w:rsidR="00791DB7" w:rsidRPr="00791DB7">
        <w:rPr>
          <w:rFonts w:ascii="Arial" w:hAnsi="Arial" w:cs="Arial"/>
          <w:i/>
          <w:iCs/>
          <w:sz w:val="24"/>
          <w:szCs w:val="24"/>
          <w:u w:val="single"/>
        </w:rPr>
        <w:t>:</w:t>
      </w:r>
      <w:r w:rsidRPr="00791DB7">
        <w:rPr>
          <w:rFonts w:ascii="Arial" w:hAnsi="Arial" w:cs="Arial"/>
          <w:sz w:val="24"/>
          <w:szCs w:val="24"/>
        </w:rPr>
        <w:t xml:space="preserve"> How does a socio-technical model of associative digital governance enable smallholder coffee organisations in Colombia's PDET territories to increase the share of value captured at origin (VCO) in the global coffee value chain?</w:t>
      </w:r>
    </w:p>
    <w:p w14:paraId="5F46CDA0"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Coffee-producing organisations in the Global South retain barely 7–10% of the final consumer price (Fitter &amp; Kaplinsky, 2001; Talbot, 1997). This is the effect of captive governance architectures in global value chains (GVCs), which concentrate rent in the roasting and distribution links and transfer climatic and price risk onto the producer base (Gereffi et al., 2005; Grabs &amp; Ponte, 2019). The dependent variable of this research is therefore the share of value captured at origin (VCO): the fraction of chain value that producer organisations retain in the territory. VCO is an agri-food economics problem (quality valorisation and chain positioning) and is the analytical core of this proposal.</w:t>
      </w:r>
    </w:p>
    <w:p w14:paraId="3A4B4FE3"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In Colombia the problem is most critical in the Development Programmes with a Territorial Focus (PDET), the policy implementing the 2016 Peace Agreement across 170 municipalities and more than six million people (Decree 893/2017). There, smallholder coffee organisations face four interlocking deficits that block a sustainable VCO increase: governance deficits inherited from the armed conflict (Ostrom, 1990; Rettberg, 2010); captive positioning in the GVC (Gereffi et al., 2005); digital exclusion that threatens compliance with the EU Deforestation Regulation (EUDR, Reg. 2023/1115), binding for coffee since 2026; and exclusion from the traceability and financing architectures that could reposition them. Technology without collective governance, or certification without bargaining power, does not translate into rent retention.</w:t>
      </w:r>
    </w:p>
    <w:p w14:paraId="76448C5B"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lastRenderedPageBreak/>
        <w:t>Four research traditions frame the problem. GVC and upgrading theory (Gereffi et al., 2005; Humphrey &amp; Schmitz, 2002; Grabs &amp; Ponte, 2019) explain how rent is extracted but do not specify the governance conditions under which organisations reposition to raise VCO; the GPN 2.0 framework (Yeung &amp; Coe, 2015) adds the non-firm actors —State, cooperation— that shape post-conflict territories. The governance of the commons (Ostrom, 1990; Agrawal, 2001) supplies validated institutional design principles for collective action, but incorporates neither digital mediation nor post-conflict fragility, where social capital was eroded (Rettberg, 2010) and cooperative failures are structural (Ortmann &amp; King, 2007). Socio-technical theory conceives every productive system as a social and a technical subsystem whose performance depends on their joint optimisation (Trist &amp; Bamforth, 1951; Emery &amp; Trist, 1965; Trist, 1981; Abbas &amp; Michael, 2026), a principle reaffirmed for Industry 4.0 (Horváth &amp; Kemser, 2026): technology that ignores the social subsystem degrades the whole. Finally, digital governance and distributed ledgers (Werbach, 2018; Cong et al., 2020) reduce information asymmetries and enable verifiable traceability —a technical condition of the EUDR— but retain rent in the territory only when they operate on a solid base of collective governance (Schletz et al., 2023; Elmatsani et al., 2026).</w:t>
      </w:r>
    </w:p>
    <w:p w14:paraId="3EC9778B" w14:textId="3E6186C0" w:rsidR="007D2E36" w:rsidRPr="00791DB7" w:rsidRDefault="00000000">
      <w:pPr>
        <w:spacing w:after="120"/>
        <w:jc w:val="both"/>
        <w:rPr>
          <w:rFonts w:ascii="Arial" w:hAnsi="Arial" w:cs="Arial"/>
          <w:sz w:val="24"/>
          <w:szCs w:val="24"/>
        </w:rPr>
      </w:pPr>
      <w:r w:rsidRPr="00791DB7">
        <w:rPr>
          <w:rFonts w:ascii="Arial" w:hAnsi="Arial" w:cs="Arial"/>
          <w:sz w:val="24"/>
          <w:szCs w:val="24"/>
        </w:rPr>
        <w:t xml:space="preserve">No model integrates associative governance, socio-technical architecture and the measurement of retained value for smallholder coffee organisations in post-conflict settings. This research addresses it through the construct of Associative Digital Governance (ADG): collective institutional governance (social subsystem) and a digital architecture of trust that includes traceability and data sovereignty (technical subsystem), jointly optimised to increase VCO. The proposal sits squarely within the EASRS line on the sustainable transition of agri-food systems and the role of quality economics, policy and innovation: ADG is a quality-valorisation and chain-repositioning device. It connects directly with the University of Florence's expertise in the valorisation of quality food products and rural-development models (Prof. S. Menghini) and in rural-development policy and quantitative methods (Prof. L. Casini), and it transfers the European experience of origin-based value capture to a Global South </w:t>
      </w:r>
      <w:proofErr w:type="gramStart"/>
      <w:r w:rsidRPr="00791DB7">
        <w:rPr>
          <w:rFonts w:ascii="Arial" w:hAnsi="Arial" w:cs="Arial"/>
          <w:sz w:val="24"/>
          <w:szCs w:val="24"/>
        </w:rPr>
        <w:t>post</w:t>
      </w:r>
      <w:proofErr w:type="gramEnd"/>
      <w:r w:rsidRPr="00791DB7">
        <w:rPr>
          <w:rFonts w:ascii="Arial" w:hAnsi="Arial" w:cs="Arial"/>
          <w:sz w:val="24"/>
          <w:szCs w:val="24"/>
        </w:rPr>
        <w:t>-conflict chain.</w:t>
      </w:r>
    </w:p>
    <w:p w14:paraId="51FBEC55" w14:textId="77777777" w:rsidR="007D2E36" w:rsidRPr="00791DB7" w:rsidRDefault="00000000">
      <w:pPr>
        <w:spacing w:before="200" w:after="80"/>
        <w:rPr>
          <w:rFonts w:ascii="Arial" w:hAnsi="Arial" w:cs="Arial"/>
          <w:sz w:val="24"/>
          <w:szCs w:val="24"/>
        </w:rPr>
      </w:pPr>
      <w:r w:rsidRPr="00791DB7">
        <w:rPr>
          <w:rFonts w:ascii="Arial" w:hAnsi="Arial" w:cs="Arial"/>
          <w:b/>
          <w:sz w:val="24"/>
          <w:szCs w:val="24"/>
        </w:rPr>
        <w:t>3. Aims</w:t>
      </w:r>
    </w:p>
    <w:p w14:paraId="48A654BE"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u w:val="single"/>
        </w:rPr>
        <w:t>General aim</w:t>
      </w:r>
      <w:r w:rsidRPr="00791DB7">
        <w:rPr>
          <w:rFonts w:ascii="Arial" w:hAnsi="Arial" w:cs="Arial"/>
          <w:sz w:val="24"/>
          <w:szCs w:val="24"/>
        </w:rPr>
        <w:t>. To develop and evaluate a socio-technical model of Associative Digital Governance (ADG) that enables smallholder coffee organisations in Colombia's PDET territories to increase their value captured at origin (VCO) in the global coffee value chain.</w:t>
      </w:r>
    </w:p>
    <w:p w14:paraId="300DCB06"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Specific aims.</w:t>
      </w:r>
    </w:p>
    <w:p w14:paraId="1C328265"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u w:val="single"/>
        </w:rPr>
        <w:t>SA1.</w:t>
      </w:r>
      <w:r w:rsidRPr="00791DB7">
        <w:rPr>
          <w:rFonts w:ascii="Arial" w:hAnsi="Arial" w:cs="Arial"/>
          <w:sz w:val="24"/>
          <w:szCs w:val="24"/>
        </w:rPr>
        <w:t xml:space="preserve"> To measure the baseline VCO</w:t>
      </w:r>
      <w:r w:rsidRPr="00791DB7">
        <w:rPr>
          <w:rFonts w:ascii="Cambria Math" w:hAnsi="Cambria Math" w:cs="Cambria Math"/>
          <w:sz w:val="24"/>
          <w:szCs w:val="24"/>
        </w:rPr>
        <w:t>₀</w:t>
      </w:r>
      <w:r w:rsidRPr="00791DB7">
        <w:rPr>
          <w:rFonts w:ascii="Arial" w:hAnsi="Arial" w:cs="Arial"/>
          <w:sz w:val="24"/>
          <w:szCs w:val="24"/>
        </w:rPr>
        <w:t xml:space="preserve"> and to operationalise into indices the governance (IG), technological and territorial (IPDET) conditions of the organisations.</w:t>
      </w:r>
    </w:p>
    <w:p w14:paraId="58C10EAB"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u w:val="single"/>
        </w:rPr>
        <w:lastRenderedPageBreak/>
        <w:t>SA2.</w:t>
      </w:r>
      <w:r w:rsidRPr="00791DB7">
        <w:rPr>
          <w:rFonts w:ascii="Arial" w:hAnsi="Arial" w:cs="Arial"/>
          <w:sz w:val="24"/>
          <w:szCs w:val="24"/>
        </w:rPr>
        <w:t xml:space="preserve"> To co-design and prototype, through participatory workshops and a Delphi panel, the ADG mechanisms that jointly optimise the associative (governance) and digital (traceability and data sovereignty) subsystems.</w:t>
      </w:r>
    </w:p>
    <w:p w14:paraId="015C95E2"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u w:val="single"/>
        </w:rPr>
        <w:t>SA3.</w:t>
      </w:r>
      <w:r w:rsidRPr="00791DB7">
        <w:rPr>
          <w:rFonts w:ascii="Arial" w:hAnsi="Arial" w:cs="Arial"/>
          <w:sz w:val="24"/>
          <w:szCs w:val="24"/>
        </w:rPr>
        <w:t xml:space="preserve"> To assess the relative contribution of the governance and technological subsystems to VCO, combining a cross-organisational empirical analysis with a calibrated simulation.</w:t>
      </w:r>
    </w:p>
    <w:p w14:paraId="57EEB7D2"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u w:val="single"/>
        </w:rPr>
        <w:t>SA4.</w:t>
      </w:r>
      <w:r w:rsidRPr="00791DB7">
        <w:rPr>
          <w:rFonts w:ascii="Arial" w:hAnsi="Arial" w:cs="Arial"/>
          <w:sz w:val="24"/>
          <w:szCs w:val="24"/>
        </w:rPr>
        <w:t xml:space="preserve"> To test the robustness of the VCO increase under adverse scenarios and its transferability to the national PDET scope through the FEMNCAFE network.</w:t>
      </w:r>
    </w:p>
    <w:p w14:paraId="7C0EE062" w14:textId="77777777" w:rsidR="007D2E36" w:rsidRPr="00791DB7" w:rsidRDefault="00000000">
      <w:pPr>
        <w:spacing w:before="200" w:after="80"/>
        <w:rPr>
          <w:rFonts w:ascii="Arial" w:hAnsi="Arial" w:cs="Arial"/>
          <w:sz w:val="24"/>
          <w:szCs w:val="24"/>
        </w:rPr>
      </w:pPr>
      <w:r w:rsidRPr="00791DB7">
        <w:rPr>
          <w:rFonts w:ascii="Arial" w:hAnsi="Arial" w:cs="Arial"/>
          <w:b/>
          <w:sz w:val="24"/>
          <w:szCs w:val="24"/>
        </w:rPr>
        <w:t>4. Materials and methods</w:t>
      </w:r>
    </w:p>
    <w:p w14:paraId="61C306E3"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 xml:space="preserve">The research adopts the Design Science Research paradigm (Hevner et al., 2004), which couples empirical rigour with the design of implementable artefacts, in a sequential mixed-methods design spanning the three-year programme. Each phase feeds the </w:t>
      </w:r>
      <w:proofErr w:type="gramStart"/>
      <w:r w:rsidRPr="00791DB7">
        <w:rPr>
          <w:rFonts w:ascii="Arial" w:hAnsi="Arial" w:cs="Arial"/>
          <w:sz w:val="24"/>
          <w:szCs w:val="24"/>
        </w:rPr>
        <w:t>next</w:t>
      </w:r>
      <w:proofErr w:type="gramEnd"/>
      <w:r w:rsidRPr="00791DB7">
        <w:rPr>
          <w:rFonts w:ascii="Arial" w:hAnsi="Arial" w:cs="Arial"/>
          <w:sz w:val="24"/>
          <w:szCs w:val="24"/>
        </w:rPr>
        <w:t>: the qualitative diagnosis calibrates the model, and expert consensus and census data provide the input distributions for the simulation.</w:t>
      </w:r>
    </w:p>
    <w:p w14:paraId="11EC12E7"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rPr>
        <w:t>Phase I — Diagnostic (Year 1):</w:t>
      </w:r>
      <w:r w:rsidRPr="00791DB7">
        <w:rPr>
          <w:rFonts w:ascii="Arial" w:hAnsi="Arial" w:cs="Arial"/>
          <w:sz w:val="24"/>
          <w:szCs w:val="24"/>
        </w:rPr>
        <w:t xml:space="preserve"> establishes VCO</w:t>
      </w:r>
      <w:r w:rsidRPr="00791DB7">
        <w:rPr>
          <w:rFonts w:ascii="Cambria Math" w:hAnsi="Cambria Math" w:cs="Cambria Math"/>
          <w:sz w:val="24"/>
          <w:szCs w:val="24"/>
        </w:rPr>
        <w:t>₀</w:t>
      </w:r>
      <w:r w:rsidRPr="00791DB7">
        <w:rPr>
          <w:rFonts w:ascii="Arial" w:hAnsi="Arial" w:cs="Arial"/>
          <w:sz w:val="24"/>
          <w:szCs w:val="24"/>
        </w:rPr>
        <w:t>, operationalised as the ratio between the net price retained by the organisation and the final retail price in destination markets, reconstructed through chain-actor cost accounting and secondary price series. It combines semi-structured interviews with leaders, social network analysis of post-conflict social capital, and GVC mapping of the Colombian coffee chain. The Governance Index (IG) is operationalised from Ostrom's eight design principles into a scored multi-item scale, and a technological-readiness index captures the digital subsystem. The IPDET (institutional consolidation, security, Peace-Agreement implementation) is built as a moderator enabling extrapolation from the validation case to the country's diverse PDET territories.</w:t>
      </w:r>
    </w:p>
    <w:p w14:paraId="289DD2A1"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rPr>
        <w:t>Phase II — Constructive (Year 2):</w:t>
      </w:r>
      <w:r w:rsidRPr="00791DB7">
        <w:rPr>
          <w:rFonts w:ascii="Arial" w:hAnsi="Arial" w:cs="Arial"/>
          <w:sz w:val="24"/>
          <w:szCs w:val="24"/>
        </w:rPr>
        <w:t xml:space="preserve"> designs, prototypes and iterates the ADG mechanisms through participatory design workshops with coffee communities and a Delphi consensus panel. </w:t>
      </w:r>
      <w:proofErr w:type="gramStart"/>
      <w:r w:rsidRPr="00791DB7">
        <w:rPr>
          <w:rFonts w:ascii="Arial" w:hAnsi="Arial" w:cs="Arial"/>
          <w:sz w:val="24"/>
          <w:szCs w:val="24"/>
        </w:rPr>
        <w:t>The Delphi</w:t>
      </w:r>
      <w:proofErr w:type="gramEnd"/>
      <w:r w:rsidRPr="00791DB7">
        <w:rPr>
          <w:rFonts w:ascii="Arial" w:hAnsi="Arial" w:cs="Arial"/>
          <w:sz w:val="24"/>
          <w:szCs w:val="24"/>
        </w:rPr>
        <w:t xml:space="preserve"> does more than validate the design: its estimation ranges for the IG, the technological component and the IPDET constitute the empirically grounded prior distributions of Phase III.</w:t>
      </w:r>
    </w:p>
    <w:p w14:paraId="49A6327E" w14:textId="77777777" w:rsidR="007D2E36" w:rsidRPr="00791DB7" w:rsidRDefault="00000000">
      <w:pPr>
        <w:spacing w:after="120"/>
        <w:jc w:val="both"/>
        <w:rPr>
          <w:rFonts w:ascii="Arial" w:hAnsi="Arial" w:cs="Arial"/>
          <w:sz w:val="24"/>
          <w:szCs w:val="24"/>
        </w:rPr>
      </w:pPr>
      <w:r w:rsidRPr="00791DB7">
        <w:rPr>
          <w:rFonts w:ascii="Arial" w:hAnsi="Arial" w:cs="Arial"/>
          <w:i/>
          <w:iCs/>
          <w:sz w:val="24"/>
          <w:szCs w:val="24"/>
        </w:rPr>
        <w:t>Phase III — Evaluative (Year 3):</w:t>
      </w:r>
      <w:r w:rsidRPr="00791DB7">
        <w:rPr>
          <w:rFonts w:ascii="Arial" w:hAnsi="Arial" w:cs="Arial"/>
          <w:sz w:val="24"/>
          <w:szCs w:val="24"/>
        </w:rPr>
        <w:t xml:space="preserve"> proceeds in two complementary steps. First, a census of the FEMNCAFE network organisations (approximately 20) compares, through fuzzy-set Qualitative Comparative Analysis (fsQCA; Ragin, 2008) —suited to a small number of cases—, which configurations of governance (IG) and technological maturity are associated with higher VCO, using a limited set of contextual conditions (altitude, cup quality, organisation size and IPDET). The embedded case provides the causal-mechanism evidence through process tracing. Second, a Monte Carlo simulation (≥10,000 iterations), parameterised with the Phase I–II field and census data and analysed with Sobol sensitivity indices, decomposes the variance of the modelled VCO into each subsystem's contribution; this step is interpreted as a sensitivity analysis of a calibrated design artefact and is triangulated with the empirical analysis to assess the </w:t>
      </w:r>
      <w:r w:rsidRPr="00791DB7">
        <w:rPr>
          <w:rFonts w:ascii="Arial" w:hAnsi="Arial" w:cs="Arial"/>
          <w:sz w:val="24"/>
          <w:szCs w:val="24"/>
        </w:rPr>
        <w:lastRenderedPageBreak/>
        <w:t>central proposition that governance contributes more to VCO than technology. An adverse-scenario analysis (stress testing: price collapse, security deterioration, institutional failure) verifies whether the VCO gain holds beyond the baseline.</w:t>
      </w:r>
    </w:p>
    <w:p w14:paraId="07EBFAF9"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 xml:space="preserve">Scope is kept realistic for three years by concentrating primary fieldwork in one PDET subregion as the embedded case and using the FEMNCAFE network census for cross-case comparison, drawing on Italian quality-scheme cases as accessible comparators during the Florence-based periods. Fieldwork in Colombia is conducted within the programme's research-mobility window (up to twelve months abroad, extendable to eighteen under co-supervision); a co-tutelle with a Colombian university is envisaged to secure local supervision and data access, and field access is guaranteed through FEMNCAFE, which gathers peace-signatory coffee growers' associations. The ethical design includes ethics-committee approval, informed-consent protocols adapted to the security context, and data-sovereignty mechanisms for </w:t>
      </w:r>
      <w:proofErr w:type="gramStart"/>
      <w:r w:rsidRPr="00791DB7">
        <w:rPr>
          <w:rFonts w:ascii="Arial" w:hAnsi="Arial" w:cs="Arial"/>
          <w:sz w:val="24"/>
          <w:szCs w:val="24"/>
        </w:rPr>
        <w:t>the digital</w:t>
      </w:r>
      <w:proofErr w:type="gramEnd"/>
      <w:r w:rsidRPr="00791DB7">
        <w:rPr>
          <w:rFonts w:ascii="Arial" w:hAnsi="Arial" w:cs="Arial"/>
          <w:sz w:val="24"/>
          <w:szCs w:val="24"/>
        </w:rPr>
        <w:t xml:space="preserve"> traceability.</w:t>
      </w:r>
    </w:p>
    <w:p w14:paraId="0307C4DA" w14:textId="77777777" w:rsidR="007D2E36" w:rsidRPr="00791DB7" w:rsidRDefault="00000000">
      <w:pPr>
        <w:spacing w:before="200" w:after="80"/>
        <w:rPr>
          <w:rFonts w:ascii="Arial" w:hAnsi="Arial" w:cs="Arial"/>
          <w:sz w:val="24"/>
          <w:szCs w:val="24"/>
        </w:rPr>
      </w:pPr>
      <w:r w:rsidRPr="00791DB7">
        <w:rPr>
          <w:rFonts w:ascii="Arial" w:hAnsi="Arial" w:cs="Arial"/>
          <w:b/>
          <w:sz w:val="24"/>
          <w:szCs w:val="24"/>
        </w:rPr>
        <w:t>5. Expected results</w:t>
      </w:r>
    </w:p>
    <w:p w14:paraId="5C17A0FB"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The project yields a threefold contribution. Theoretical: an integrative model of digital-institutional governance for associative organisations in PDET territories, extending Ostromian and socio-technical theory to conditions of high fragility and digital mediation. Methodological: a replicable sequential DSR protocol that couples a cross-organisational empirical analysis with a Delphi-calibrated Monte Carlo–Sobol evaluation of value capture, transferable to other Global South chains. Praxeological: governance rules, a traceability and data-sovereignty architecture, and a benefit-distribution scheme directly implementable by organisations and scalable to other agri-food chains.</w:t>
      </w:r>
    </w:p>
    <w:p w14:paraId="1187A976" w14:textId="77777777" w:rsidR="007D2E36" w:rsidRPr="00791DB7" w:rsidRDefault="00000000">
      <w:pPr>
        <w:spacing w:after="120"/>
        <w:jc w:val="both"/>
        <w:rPr>
          <w:rFonts w:ascii="Arial" w:hAnsi="Arial" w:cs="Arial"/>
          <w:sz w:val="24"/>
          <w:szCs w:val="24"/>
        </w:rPr>
      </w:pPr>
      <w:r w:rsidRPr="00791DB7">
        <w:rPr>
          <w:rFonts w:ascii="Arial" w:hAnsi="Arial" w:cs="Arial"/>
          <w:sz w:val="24"/>
          <w:szCs w:val="24"/>
        </w:rPr>
        <w:t>Verifiable outputs include the VCO</w:t>
      </w:r>
      <w:r w:rsidRPr="00791DB7">
        <w:rPr>
          <w:rFonts w:ascii="Cambria Math" w:hAnsi="Cambria Math" w:cs="Cambria Math"/>
          <w:sz w:val="24"/>
          <w:szCs w:val="24"/>
        </w:rPr>
        <w:t>₀</w:t>
      </w:r>
      <w:r w:rsidRPr="00791DB7">
        <w:rPr>
          <w:rFonts w:ascii="Arial" w:hAnsi="Arial" w:cs="Arial"/>
          <w:sz w:val="24"/>
          <w:szCs w:val="24"/>
        </w:rPr>
        <w:t xml:space="preserve"> baseline and a quantified estimate of the ADG effect on VCO; the validated IG and IPDET indices; the empirical (configurational) and simulated pattern of governance versus technology in VCO; and at least two peer-reviewed articles. Expected impact: a transferable pathway for origin-based value capture and EUDR-compliant traceability that links the Florentine tradition of quality and origin valorisation with the sustainable transition of a Global South coffee chain, in direct alignment with the EASRS curriculum and the GeSoRAFA programme's mission.</w:t>
      </w:r>
    </w:p>
    <w:p w14:paraId="1C7CCA0B" w14:textId="589D9910" w:rsidR="007D2E36" w:rsidRPr="00791DB7" w:rsidRDefault="00000000">
      <w:pPr>
        <w:spacing w:before="200" w:after="80"/>
        <w:rPr>
          <w:rFonts w:ascii="Arial" w:hAnsi="Arial" w:cs="Arial"/>
          <w:sz w:val="24"/>
          <w:szCs w:val="24"/>
        </w:rPr>
      </w:pPr>
      <w:r w:rsidRPr="00791DB7">
        <w:rPr>
          <w:rFonts w:ascii="Arial" w:hAnsi="Arial" w:cs="Arial"/>
          <w:b/>
          <w:sz w:val="24"/>
          <w:szCs w:val="24"/>
        </w:rPr>
        <w:t xml:space="preserve">6. </w:t>
      </w:r>
      <w:r w:rsidR="00B82766">
        <w:rPr>
          <w:rFonts w:ascii="Arial" w:hAnsi="Arial" w:cs="Arial"/>
          <w:b/>
          <w:sz w:val="24"/>
          <w:szCs w:val="24"/>
        </w:rPr>
        <w:t>References</w:t>
      </w:r>
    </w:p>
    <w:p w14:paraId="7A5FC7FB"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Abbas, R., &amp; Michael, K. (2026). Socio-technical theory: A review. In S. Papagiannidis (Ed.), </w:t>
      </w:r>
      <w:r w:rsidRPr="00791DB7">
        <w:rPr>
          <w:rFonts w:ascii="Arial" w:hAnsi="Arial" w:cs="Arial"/>
          <w:i/>
          <w:sz w:val="24"/>
          <w:szCs w:val="24"/>
        </w:rPr>
        <w:t>TheoryHub book</w:t>
      </w:r>
      <w:r w:rsidRPr="00791DB7">
        <w:rPr>
          <w:rFonts w:ascii="Arial" w:hAnsi="Arial" w:cs="Arial"/>
          <w:sz w:val="24"/>
          <w:szCs w:val="24"/>
        </w:rPr>
        <w:t>. https://open.ncl.ac.uk</w:t>
      </w:r>
    </w:p>
    <w:p w14:paraId="4787ED08"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Agrawal, A. (2001). Common property institutions and sustainable governance of resources. </w:t>
      </w:r>
      <w:r w:rsidRPr="00791DB7">
        <w:rPr>
          <w:rFonts w:ascii="Arial" w:hAnsi="Arial" w:cs="Arial"/>
          <w:i/>
          <w:sz w:val="24"/>
          <w:szCs w:val="24"/>
        </w:rPr>
        <w:t>World Development</w:t>
      </w:r>
      <w:r w:rsidRPr="00791DB7">
        <w:rPr>
          <w:rFonts w:ascii="Arial" w:hAnsi="Arial" w:cs="Arial"/>
          <w:sz w:val="24"/>
          <w:szCs w:val="24"/>
        </w:rPr>
        <w:t xml:space="preserve">, </w:t>
      </w:r>
      <w:r w:rsidRPr="00791DB7">
        <w:rPr>
          <w:rFonts w:ascii="Arial" w:hAnsi="Arial" w:cs="Arial"/>
          <w:i/>
          <w:sz w:val="24"/>
          <w:szCs w:val="24"/>
        </w:rPr>
        <w:t>29</w:t>
      </w:r>
      <w:r w:rsidRPr="00791DB7">
        <w:rPr>
          <w:rFonts w:ascii="Arial" w:hAnsi="Arial" w:cs="Arial"/>
          <w:sz w:val="24"/>
          <w:szCs w:val="24"/>
        </w:rPr>
        <w:t>(10), 1649–1672. https://doi.org/10.1016/S0305-750X(01)00063-8</w:t>
      </w:r>
    </w:p>
    <w:p w14:paraId="449D27B2"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Cong, L. W., Li, Y., &amp; Wang, N. (2020). Tokenomics: Dynamic adoption and valuation. </w:t>
      </w:r>
      <w:r w:rsidRPr="00791DB7">
        <w:rPr>
          <w:rFonts w:ascii="Arial" w:hAnsi="Arial" w:cs="Arial"/>
          <w:i/>
          <w:sz w:val="24"/>
          <w:szCs w:val="24"/>
        </w:rPr>
        <w:t>The Review of Financial Studies</w:t>
      </w:r>
      <w:r w:rsidRPr="00791DB7">
        <w:rPr>
          <w:rFonts w:ascii="Arial" w:hAnsi="Arial" w:cs="Arial"/>
          <w:sz w:val="24"/>
          <w:szCs w:val="24"/>
        </w:rPr>
        <w:t xml:space="preserve">, </w:t>
      </w:r>
      <w:r w:rsidRPr="00791DB7">
        <w:rPr>
          <w:rFonts w:ascii="Arial" w:hAnsi="Arial" w:cs="Arial"/>
          <w:i/>
          <w:sz w:val="24"/>
          <w:szCs w:val="24"/>
        </w:rPr>
        <w:t>34</w:t>
      </w:r>
      <w:r w:rsidRPr="00791DB7">
        <w:rPr>
          <w:rFonts w:ascii="Arial" w:hAnsi="Arial" w:cs="Arial"/>
          <w:sz w:val="24"/>
          <w:szCs w:val="24"/>
        </w:rPr>
        <w:t>(3), 1105–1155. https://doi.org/10.1093/rfs/hhaa089</w:t>
      </w:r>
    </w:p>
    <w:p w14:paraId="5C089EB2"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lastRenderedPageBreak/>
        <w:t xml:space="preserve">Elmatsani, H. M., et al. (2026). Bridging the governance gap in agricultural blockchain-based smart contracts. </w:t>
      </w:r>
      <w:r w:rsidRPr="00791DB7">
        <w:rPr>
          <w:rFonts w:ascii="Arial" w:hAnsi="Arial" w:cs="Arial"/>
          <w:i/>
          <w:sz w:val="24"/>
          <w:szCs w:val="24"/>
        </w:rPr>
        <w:t>Frontiers in Blockchain</w:t>
      </w:r>
      <w:r w:rsidRPr="00791DB7">
        <w:rPr>
          <w:rFonts w:ascii="Arial" w:hAnsi="Arial" w:cs="Arial"/>
          <w:sz w:val="24"/>
          <w:szCs w:val="24"/>
        </w:rPr>
        <w:t>. https://doi.org/10.3389/fbloc.2026.1762861</w:t>
      </w:r>
    </w:p>
    <w:p w14:paraId="51BCF3FF"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Emery, F. E., &amp; Trist, E. L. (1965). The causal texture of organizational environments. </w:t>
      </w:r>
      <w:r w:rsidRPr="00791DB7">
        <w:rPr>
          <w:rFonts w:ascii="Arial" w:hAnsi="Arial" w:cs="Arial"/>
          <w:i/>
          <w:sz w:val="24"/>
          <w:szCs w:val="24"/>
        </w:rPr>
        <w:t>Human Relations</w:t>
      </w:r>
      <w:r w:rsidRPr="00791DB7">
        <w:rPr>
          <w:rFonts w:ascii="Arial" w:hAnsi="Arial" w:cs="Arial"/>
          <w:sz w:val="24"/>
          <w:szCs w:val="24"/>
        </w:rPr>
        <w:t xml:space="preserve">, </w:t>
      </w:r>
      <w:r w:rsidRPr="00791DB7">
        <w:rPr>
          <w:rFonts w:ascii="Arial" w:hAnsi="Arial" w:cs="Arial"/>
          <w:i/>
          <w:sz w:val="24"/>
          <w:szCs w:val="24"/>
        </w:rPr>
        <w:t>18</w:t>
      </w:r>
      <w:r w:rsidRPr="00791DB7">
        <w:rPr>
          <w:rFonts w:ascii="Arial" w:hAnsi="Arial" w:cs="Arial"/>
          <w:sz w:val="24"/>
          <w:szCs w:val="24"/>
        </w:rPr>
        <w:t>(1), 21–32. https://doi.org/10.1177/001872676501800103</w:t>
      </w:r>
    </w:p>
    <w:p w14:paraId="58E9559A"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European Parliament and Council. (2023). </w:t>
      </w:r>
      <w:r w:rsidRPr="00791DB7">
        <w:rPr>
          <w:rFonts w:ascii="Arial" w:hAnsi="Arial" w:cs="Arial"/>
          <w:i/>
          <w:sz w:val="24"/>
          <w:szCs w:val="24"/>
        </w:rPr>
        <w:t>Regulation (EU) 2023/1115 on deforestation-free products</w:t>
      </w:r>
      <w:r w:rsidRPr="00791DB7">
        <w:rPr>
          <w:rFonts w:ascii="Arial" w:hAnsi="Arial" w:cs="Arial"/>
          <w:sz w:val="24"/>
          <w:szCs w:val="24"/>
        </w:rPr>
        <w:t>. Official Journal of the European Union. https://eur-lex.europa.eu/legal-content/EN/TXT/?uri=CELEX:32023R1115</w:t>
      </w:r>
    </w:p>
    <w:p w14:paraId="0A85D83B"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Fitter, R., &amp; Kaplinsky, R. (2001). Who gains from product rents as the coffee market becomes more differentiated? </w:t>
      </w:r>
      <w:r w:rsidRPr="00791DB7">
        <w:rPr>
          <w:rFonts w:ascii="Arial" w:hAnsi="Arial" w:cs="Arial"/>
          <w:i/>
          <w:sz w:val="24"/>
          <w:szCs w:val="24"/>
        </w:rPr>
        <w:t>IDS Bulletin</w:t>
      </w:r>
      <w:r w:rsidRPr="00791DB7">
        <w:rPr>
          <w:rFonts w:ascii="Arial" w:hAnsi="Arial" w:cs="Arial"/>
          <w:sz w:val="24"/>
          <w:szCs w:val="24"/>
        </w:rPr>
        <w:t xml:space="preserve">, </w:t>
      </w:r>
      <w:r w:rsidRPr="00791DB7">
        <w:rPr>
          <w:rFonts w:ascii="Arial" w:hAnsi="Arial" w:cs="Arial"/>
          <w:i/>
          <w:sz w:val="24"/>
          <w:szCs w:val="24"/>
        </w:rPr>
        <w:t>32</w:t>
      </w:r>
      <w:r w:rsidRPr="00791DB7">
        <w:rPr>
          <w:rFonts w:ascii="Arial" w:hAnsi="Arial" w:cs="Arial"/>
          <w:sz w:val="24"/>
          <w:szCs w:val="24"/>
        </w:rPr>
        <w:t>(3), 69–82. https://doi.org/10.1111/j.1759-5436.2001.mp32003008.x</w:t>
      </w:r>
    </w:p>
    <w:p w14:paraId="4BC4F665"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Gereffi, G., Humphrey, J., &amp; Sturgeon, T. (2005). The governance of global value chains. </w:t>
      </w:r>
      <w:r w:rsidRPr="00791DB7">
        <w:rPr>
          <w:rFonts w:ascii="Arial" w:hAnsi="Arial" w:cs="Arial"/>
          <w:i/>
          <w:sz w:val="24"/>
          <w:szCs w:val="24"/>
        </w:rPr>
        <w:t>Review of International Political Economy</w:t>
      </w:r>
      <w:r w:rsidRPr="00791DB7">
        <w:rPr>
          <w:rFonts w:ascii="Arial" w:hAnsi="Arial" w:cs="Arial"/>
          <w:sz w:val="24"/>
          <w:szCs w:val="24"/>
        </w:rPr>
        <w:t xml:space="preserve">, </w:t>
      </w:r>
      <w:r w:rsidRPr="00791DB7">
        <w:rPr>
          <w:rFonts w:ascii="Arial" w:hAnsi="Arial" w:cs="Arial"/>
          <w:i/>
          <w:sz w:val="24"/>
          <w:szCs w:val="24"/>
        </w:rPr>
        <w:t>12</w:t>
      </w:r>
      <w:r w:rsidRPr="00791DB7">
        <w:rPr>
          <w:rFonts w:ascii="Arial" w:hAnsi="Arial" w:cs="Arial"/>
          <w:sz w:val="24"/>
          <w:szCs w:val="24"/>
        </w:rPr>
        <w:t>(1), 78–104. https://doi.org/10.1080/09692290500049805</w:t>
      </w:r>
    </w:p>
    <w:p w14:paraId="5E2D6BEA"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Grabs, J., &amp; Ponte, S. (2019). The evolution of power in the global coffee value chain and production network. </w:t>
      </w:r>
      <w:r w:rsidRPr="00791DB7">
        <w:rPr>
          <w:rFonts w:ascii="Arial" w:hAnsi="Arial" w:cs="Arial"/>
          <w:i/>
          <w:sz w:val="24"/>
          <w:szCs w:val="24"/>
        </w:rPr>
        <w:t>Journal of Economic Geography</w:t>
      </w:r>
      <w:r w:rsidRPr="00791DB7">
        <w:rPr>
          <w:rFonts w:ascii="Arial" w:hAnsi="Arial" w:cs="Arial"/>
          <w:sz w:val="24"/>
          <w:szCs w:val="24"/>
        </w:rPr>
        <w:t xml:space="preserve">, </w:t>
      </w:r>
      <w:r w:rsidRPr="00791DB7">
        <w:rPr>
          <w:rFonts w:ascii="Arial" w:hAnsi="Arial" w:cs="Arial"/>
          <w:i/>
          <w:sz w:val="24"/>
          <w:szCs w:val="24"/>
        </w:rPr>
        <w:t>19</w:t>
      </w:r>
      <w:r w:rsidRPr="00791DB7">
        <w:rPr>
          <w:rFonts w:ascii="Arial" w:hAnsi="Arial" w:cs="Arial"/>
          <w:sz w:val="24"/>
          <w:szCs w:val="24"/>
        </w:rPr>
        <w:t>(4), 803–828. https://doi.org/10.1093/jeg/lbz008</w:t>
      </w:r>
    </w:p>
    <w:p w14:paraId="0F91C714"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Hevner, A. R., March, S. T., Park, J., &amp; Ram, S. (2004). Design science in information systems research. </w:t>
      </w:r>
      <w:r w:rsidRPr="00791DB7">
        <w:rPr>
          <w:rFonts w:ascii="Arial" w:hAnsi="Arial" w:cs="Arial"/>
          <w:i/>
          <w:sz w:val="24"/>
          <w:szCs w:val="24"/>
        </w:rPr>
        <w:t>MIS Quarterly</w:t>
      </w:r>
      <w:r w:rsidRPr="00791DB7">
        <w:rPr>
          <w:rFonts w:ascii="Arial" w:hAnsi="Arial" w:cs="Arial"/>
          <w:sz w:val="24"/>
          <w:szCs w:val="24"/>
        </w:rPr>
        <w:t xml:space="preserve">, </w:t>
      </w:r>
      <w:r w:rsidRPr="00791DB7">
        <w:rPr>
          <w:rFonts w:ascii="Arial" w:hAnsi="Arial" w:cs="Arial"/>
          <w:i/>
          <w:sz w:val="24"/>
          <w:szCs w:val="24"/>
        </w:rPr>
        <w:t>28</w:t>
      </w:r>
      <w:r w:rsidRPr="00791DB7">
        <w:rPr>
          <w:rFonts w:ascii="Arial" w:hAnsi="Arial" w:cs="Arial"/>
          <w:sz w:val="24"/>
          <w:szCs w:val="24"/>
        </w:rPr>
        <w:t>(1), 75–105. https://doi.org/10.2307/25148625</w:t>
      </w:r>
    </w:p>
    <w:p w14:paraId="668F0049"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Horváth, A., &amp; Kemser, H.-P. (2026). Human, organisation and social system in the intelligent factory: The contemporary relevance of socio-technical systems theory in the age of Industry 4.0. </w:t>
      </w:r>
      <w:r w:rsidRPr="00791DB7">
        <w:rPr>
          <w:rFonts w:ascii="Arial" w:hAnsi="Arial" w:cs="Arial"/>
          <w:i/>
          <w:sz w:val="24"/>
          <w:szCs w:val="24"/>
        </w:rPr>
        <w:t>International Review of Applied Sciences and Engineering</w:t>
      </w:r>
      <w:r w:rsidRPr="00791DB7">
        <w:rPr>
          <w:rFonts w:ascii="Arial" w:hAnsi="Arial" w:cs="Arial"/>
          <w:sz w:val="24"/>
          <w:szCs w:val="24"/>
        </w:rPr>
        <w:t>. https://doi.org/10.1556/1848.2026.01263</w:t>
      </w:r>
    </w:p>
    <w:p w14:paraId="170AEF4D"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Humphrey, J., &amp; Schmitz, H. (2002). How does insertion in global value chains affect upgrading in industrial clusters? </w:t>
      </w:r>
      <w:r w:rsidRPr="00791DB7">
        <w:rPr>
          <w:rFonts w:ascii="Arial" w:hAnsi="Arial" w:cs="Arial"/>
          <w:i/>
          <w:sz w:val="24"/>
          <w:szCs w:val="24"/>
        </w:rPr>
        <w:t>Regional Studies</w:t>
      </w:r>
      <w:r w:rsidRPr="00791DB7">
        <w:rPr>
          <w:rFonts w:ascii="Arial" w:hAnsi="Arial" w:cs="Arial"/>
          <w:sz w:val="24"/>
          <w:szCs w:val="24"/>
        </w:rPr>
        <w:t xml:space="preserve">, </w:t>
      </w:r>
      <w:r w:rsidRPr="00791DB7">
        <w:rPr>
          <w:rFonts w:ascii="Arial" w:hAnsi="Arial" w:cs="Arial"/>
          <w:i/>
          <w:sz w:val="24"/>
          <w:szCs w:val="24"/>
        </w:rPr>
        <w:t>36</w:t>
      </w:r>
      <w:r w:rsidRPr="00791DB7">
        <w:rPr>
          <w:rFonts w:ascii="Arial" w:hAnsi="Arial" w:cs="Arial"/>
          <w:sz w:val="24"/>
          <w:szCs w:val="24"/>
        </w:rPr>
        <w:t>(9), 1017–1027. https://doi.org/10.1080/0034340022000022198</w:t>
      </w:r>
    </w:p>
    <w:p w14:paraId="198B1D57"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Ortmann, G. F., &amp; King, R. P. (2007). Agricultural cooperatives I: History, theory and problems. </w:t>
      </w:r>
      <w:r w:rsidRPr="00791DB7">
        <w:rPr>
          <w:rFonts w:ascii="Arial" w:hAnsi="Arial" w:cs="Arial"/>
          <w:i/>
          <w:sz w:val="24"/>
          <w:szCs w:val="24"/>
        </w:rPr>
        <w:t>Agrekon</w:t>
      </w:r>
      <w:r w:rsidRPr="00791DB7">
        <w:rPr>
          <w:rFonts w:ascii="Arial" w:hAnsi="Arial" w:cs="Arial"/>
          <w:sz w:val="24"/>
          <w:szCs w:val="24"/>
        </w:rPr>
        <w:t xml:space="preserve">, </w:t>
      </w:r>
      <w:r w:rsidRPr="00791DB7">
        <w:rPr>
          <w:rFonts w:ascii="Arial" w:hAnsi="Arial" w:cs="Arial"/>
          <w:i/>
          <w:sz w:val="24"/>
          <w:szCs w:val="24"/>
        </w:rPr>
        <w:t>46</w:t>
      </w:r>
      <w:r w:rsidRPr="00791DB7">
        <w:rPr>
          <w:rFonts w:ascii="Arial" w:hAnsi="Arial" w:cs="Arial"/>
          <w:sz w:val="24"/>
          <w:szCs w:val="24"/>
        </w:rPr>
        <w:t>(1), 18–46. https://doi.org/10.1080/03031853.2007.9523760</w:t>
      </w:r>
    </w:p>
    <w:p w14:paraId="08F14735"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Ostrom, E. (1990). </w:t>
      </w:r>
      <w:r w:rsidRPr="00791DB7">
        <w:rPr>
          <w:rFonts w:ascii="Arial" w:hAnsi="Arial" w:cs="Arial"/>
          <w:i/>
          <w:sz w:val="24"/>
          <w:szCs w:val="24"/>
        </w:rPr>
        <w:t>Governing the commons: The evolution of institutions for collective action</w:t>
      </w:r>
      <w:r w:rsidRPr="00791DB7">
        <w:rPr>
          <w:rFonts w:ascii="Arial" w:hAnsi="Arial" w:cs="Arial"/>
          <w:sz w:val="24"/>
          <w:szCs w:val="24"/>
        </w:rPr>
        <w:t>. Cambridge University Press. https://doi.org/10.1017/CBO9780511807763</w:t>
      </w:r>
    </w:p>
    <w:p w14:paraId="2B45835D"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Presidency of the Republic of Colombia. (2017). </w:t>
      </w:r>
      <w:r w:rsidRPr="00791DB7">
        <w:rPr>
          <w:rFonts w:ascii="Arial" w:hAnsi="Arial" w:cs="Arial"/>
          <w:i/>
          <w:sz w:val="24"/>
          <w:szCs w:val="24"/>
        </w:rPr>
        <w:t>Decree 893 of 2017</w:t>
      </w:r>
      <w:r w:rsidRPr="00791DB7">
        <w:rPr>
          <w:rFonts w:ascii="Arial" w:hAnsi="Arial" w:cs="Arial"/>
          <w:sz w:val="24"/>
          <w:szCs w:val="24"/>
        </w:rPr>
        <w:t>. Diario Oficial No. 50.230.</w:t>
      </w:r>
    </w:p>
    <w:p w14:paraId="24CD48B9"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Ragin</w:t>
      </w:r>
      <w:proofErr w:type="gramStart"/>
      <w:r w:rsidRPr="00791DB7">
        <w:rPr>
          <w:rFonts w:ascii="Arial" w:hAnsi="Arial" w:cs="Arial"/>
          <w:sz w:val="24"/>
          <w:szCs w:val="24"/>
        </w:rPr>
        <w:t>, C.</w:t>
      </w:r>
      <w:proofErr w:type="gramEnd"/>
      <w:r w:rsidRPr="00791DB7">
        <w:rPr>
          <w:rFonts w:ascii="Arial" w:hAnsi="Arial" w:cs="Arial"/>
          <w:sz w:val="24"/>
          <w:szCs w:val="24"/>
        </w:rPr>
        <w:t xml:space="preserve"> C. (2008). </w:t>
      </w:r>
      <w:r w:rsidRPr="00791DB7">
        <w:rPr>
          <w:rFonts w:ascii="Arial" w:hAnsi="Arial" w:cs="Arial"/>
          <w:i/>
          <w:sz w:val="24"/>
          <w:szCs w:val="24"/>
        </w:rPr>
        <w:t>Redesigning social inquiry: Fuzzy sets and beyond</w:t>
      </w:r>
      <w:r w:rsidRPr="00791DB7">
        <w:rPr>
          <w:rFonts w:ascii="Arial" w:hAnsi="Arial" w:cs="Arial"/>
          <w:sz w:val="24"/>
          <w:szCs w:val="24"/>
        </w:rPr>
        <w:t>. University of Chicago Press. https://doi.org/10.7208/chicago/9780226702797.001.0001</w:t>
      </w:r>
    </w:p>
    <w:p w14:paraId="726BB50D"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Rettberg, A. (2010). Global markets, local conflict: Violence in the Colombian coffee region after the breakdown of the International Coffee Agreement. </w:t>
      </w:r>
      <w:r w:rsidRPr="00791DB7">
        <w:rPr>
          <w:rFonts w:ascii="Arial" w:hAnsi="Arial" w:cs="Arial"/>
          <w:i/>
          <w:sz w:val="24"/>
          <w:szCs w:val="24"/>
        </w:rPr>
        <w:t>Latin American Perspectives</w:t>
      </w:r>
      <w:r w:rsidRPr="00791DB7">
        <w:rPr>
          <w:rFonts w:ascii="Arial" w:hAnsi="Arial" w:cs="Arial"/>
          <w:sz w:val="24"/>
          <w:szCs w:val="24"/>
        </w:rPr>
        <w:t xml:space="preserve">, </w:t>
      </w:r>
      <w:r w:rsidRPr="00791DB7">
        <w:rPr>
          <w:rFonts w:ascii="Arial" w:hAnsi="Arial" w:cs="Arial"/>
          <w:i/>
          <w:sz w:val="24"/>
          <w:szCs w:val="24"/>
        </w:rPr>
        <w:t>37</w:t>
      </w:r>
      <w:r w:rsidRPr="00791DB7">
        <w:rPr>
          <w:rFonts w:ascii="Arial" w:hAnsi="Arial" w:cs="Arial"/>
          <w:sz w:val="24"/>
          <w:szCs w:val="24"/>
        </w:rPr>
        <w:t>(2), 111–132. https://doi.org/10.1177/0094582X09356961</w:t>
      </w:r>
    </w:p>
    <w:p w14:paraId="290D9761"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Schletz, M., et al. (2023). Blockchain and regenerative finance. </w:t>
      </w:r>
      <w:r w:rsidRPr="00791DB7">
        <w:rPr>
          <w:rFonts w:ascii="Arial" w:hAnsi="Arial" w:cs="Arial"/>
          <w:i/>
          <w:sz w:val="24"/>
          <w:szCs w:val="24"/>
        </w:rPr>
        <w:t>Frontiers in Blockchain</w:t>
      </w:r>
      <w:r w:rsidRPr="00791DB7">
        <w:rPr>
          <w:rFonts w:ascii="Arial" w:hAnsi="Arial" w:cs="Arial"/>
          <w:sz w:val="24"/>
          <w:szCs w:val="24"/>
        </w:rPr>
        <w:t xml:space="preserve">, </w:t>
      </w:r>
      <w:r w:rsidRPr="00791DB7">
        <w:rPr>
          <w:rFonts w:ascii="Arial" w:hAnsi="Arial" w:cs="Arial"/>
          <w:i/>
          <w:sz w:val="24"/>
          <w:szCs w:val="24"/>
        </w:rPr>
        <w:t>6</w:t>
      </w:r>
      <w:r w:rsidRPr="00791DB7">
        <w:rPr>
          <w:rFonts w:ascii="Arial" w:hAnsi="Arial" w:cs="Arial"/>
          <w:sz w:val="24"/>
          <w:szCs w:val="24"/>
        </w:rPr>
        <w:t>, Article 1165133. https://doi.org/10.3389/fbloc.2023.1165133</w:t>
      </w:r>
    </w:p>
    <w:p w14:paraId="09752E32"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lastRenderedPageBreak/>
        <w:t xml:space="preserve">Talbot, J. M. (1997). Where does your coffee dollar go? The division of income and surplus along the coffee commodity chain. </w:t>
      </w:r>
      <w:r w:rsidRPr="00791DB7">
        <w:rPr>
          <w:rFonts w:ascii="Arial" w:hAnsi="Arial" w:cs="Arial"/>
          <w:i/>
          <w:sz w:val="24"/>
          <w:szCs w:val="24"/>
        </w:rPr>
        <w:t>Studies in Comparative International Development</w:t>
      </w:r>
      <w:r w:rsidRPr="00791DB7">
        <w:rPr>
          <w:rFonts w:ascii="Arial" w:hAnsi="Arial" w:cs="Arial"/>
          <w:sz w:val="24"/>
          <w:szCs w:val="24"/>
        </w:rPr>
        <w:t xml:space="preserve">, </w:t>
      </w:r>
      <w:r w:rsidRPr="00791DB7">
        <w:rPr>
          <w:rFonts w:ascii="Arial" w:hAnsi="Arial" w:cs="Arial"/>
          <w:i/>
          <w:sz w:val="24"/>
          <w:szCs w:val="24"/>
        </w:rPr>
        <w:t>32</w:t>
      </w:r>
      <w:r w:rsidRPr="00791DB7">
        <w:rPr>
          <w:rFonts w:ascii="Arial" w:hAnsi="Arial" w:cs="Arial"/>
          <w:sz w:val="24"/>
          <w:szCs w:val="24"/>
        </w:rPr>
        <w:t>(1), 56–91. https://doi.org/10.1007/BF02696306</w:t>
      </w:r>
    </w:p>
    <w:p w14:paraId="6F79F25A"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Trist, E. L. (1981). </w:t>
      </w:r>
      <w:r w:rsidRPr="00791DB7">
        <w:rPr>
          <w:rFonts w:ascii="Arial" w:hAnsi="Arial" w:cs="Arial"/>
          <w:i/>
          <w:sz w:val="24"/>
          <w:szCs w:val="24"/>
        </w:rPr>
        <w:t>The evolution of socio-technical systems: A conceptual framework and an action research program</w:t>
      </w:r>
      <w:r w:rsidRPr="00791DB7">
        <w:rPr>
          <w:rFonts w:ascii="Arial" w:hAnsi="Arial" w:cs="Arial"/>
          <w:sz w:val="24"/>
          <w:szCs w:val="24"/>
        </w:rPr>
        <w:t xml:space="preserve"> (Occasional Paper No. 2). Ontario Quality of Working Life Centre.</w:t>
      </w:r>
    </w:p>
    <w:p w14:paraId="34535DC2"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Trist, E. L., &amp; Bamforth, K. W. (1951). Some social and psychological consequences of the longwall method of coal-getting. </w:t>
      </w:r>
      <w:r w:rsidRPr="00791DB7">
        <w:rPr>
          <w:rFonts w:ascii="Arial" w:hAnsi="Arial" w:cs="Arial"/>
          <w:i/>
          <w:sz w:val="24"/>
          <w:szCs w:val="24"/>
        </w:rPr>
        <w:t>Human Relations</w:t>
      </w:r>
      <w:r w:rsidRPr="00791DB7">
        <w:rPr>
          <w:rFonts w:ascii="Arial" w:hAnsi="Arial" w:cs="Arial"/>
          <w:sz w:val="24"/>
          <w:szCs w:val="24"/>
        </w:rPr>
        <w:t xml:space="preserve">, </w:t>
      </w:r>
      <w:r w:rsidRPr="00791DB7">
        <w:rPr>
          <w:rFonts w:ascii="Arial" w:hAnsi="Arial" w:cs="Arial"/>
          <w:i/>
          <w:sz w:val="24"/>
          <w:szCs w:val="24"/>
        </w:rPr>
        <w:t>4</w:t>
      </w:r>
      <w:r w:rsidRPr="00791DB7">
        <w:rPr>
          <w:rFonts w:ascii="Arial" w:hAnsi="Arial" w:cs="Arial"/>
          <w:sz w:val="24"/>
          <w:szCs w:val="24"/>
        </w:rPr>
        <w:t>(1), 3–38. https://doi.org/10.1177/001872675100400101</w:t>
      </w:r>
    </w:p>
    <w:p w14:paraId="7D40A713"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Wallerstein, I. (1974). </w:t>
      </w:r>
      <w:r w:rsidRPr="00791DB7">
        <w:rPr>
          <w:rFonts w:ascii="Arial" w:hAnsi="Arial" w:cs="Arial"/>
          <w:i/>
          <w:sz w:val="24"/>
          <w:szCs w:val="24"/>
        </w:rPr>
        <w:t>The modern world-system I: Capitalist agriculture and the origins of the European world-economy in the sixteenth century</w:t>
      </w:r>
      <w:r w:rsidRPr="00791DB7">
        <w:rPr>
          <w:rFonts w:ascii="Arial" w:hAnsi="Arial" w:cs="Arial"/>
          <w:sz w:val="24"/>
          <w:szCs w:val="24"/>
        </w:rPr>
        <w:t>. Academic Press.</w:t>
      </w:r>
    </w:p>
    <w:p w14:paraId="34568EAC" w14:textId="77777777" w:rsidR="007D2E36" w:rsidRPr="00791DB7" w:rsidRDefault="00000000">
      <w:pPr>
        <w:spacing w:after="40"/>
        <w:ind w:left="720" w:hanging="720"/>
        <w:rPr>
          <w:rFonts w:ascii="Arial" w:hAnsi="Arial" w:cs="Arial"/>
          <w:sz w:val="24"/>
          <w:szCs w:val="24"/>
        </w:rPr>
      </w:pPr>
      <w:r w:rsidRPr="00791DB7">
        <w:rPr>
          <w:rFonts w:ascii="Arial" w:hAnsi="Arial" w:cs="Arial"/>
          <w:sz w:val="24"/>
          <w:szCs w:val="24"/>
        </w:rPr>
        <w:t xml:space="preserve">Werbach, K. (2018). </w:t>
      </w:r>
      <w:r w:rsidRPr="00791DB7">
        <w:rPr>
          <w:rFonts w:ascii="Arial" w:hAnsi="Arial" w:cs="Arial"/>
          <w:i/>
          <w:sz w:val="24"/>
          <w:szCs w:val="24"/>
        </w:rPr>
        <w:t>The blockchain and the new architecture of trust</w:t>
      </w:r>
      <w:r w:rsidRPr="00791DB7">
        <w:rPr>
          <w:rFonts w:ascii="Arial" w:hAnsi="Arial" w:cs="Arial"/>
          <w:sz w:val="24"/>
          <w:szCs w:val="24"/>
        </w:rPr>
        <w:t>. MIT Press. https://doi.org/10.7551/mitpress/11449.001.0001</w:t>
      </w:r>
    </w:p>
    <w:p w14:paraId="213787A9" w14:textId="490F0D14" w:rsidR="007D2E36" w:rsidRPr="00791DB7" w:rsidRDefault="00000000" w:rsidP="00B82766">
      <w:pPr>
        <w:spacing w:after="40"/>
        <w:ind w:left="720" w:hanging="720"/>
        <w:rPr>
          <w:rFonts w:ascii="Arial" w:hAnsi="Arial" w:cs="Arial"/>
          <w:sz w:val="24"/>
          <w:szCs w:val="24"/>
        </w:rPr>
      </w:pPr>
      <w:r w:rsidRPr="00791DB7">
        <w:rPr>
          <w:rFonts w:ascii="Arial" w:hAnsi="Arial" w:cs="Arial"/>
          <w:sz w:val="24"/>
          <w:szCs w:val="24"/>
        </w:rPr>
        <w:t xml:space="preserve">Yeung, H. W.-C., &amp; Coe, N. M. (2015). Toward a dynamic theory of global production networks. </w:t>
      </w:r>
      <w:r w:rsidRPr="00791DB7">
        <w:rPr>
          <w:rFonts w:ascii="Arial" w:hAnsi="Arial" w:cs="Arial"/>
          <w:i/>
          <w:sz w:val="24"/>
          <w:szCs w:val="24"/>
        </w:rPr>
        <w:t>Economic Geography</w:t>
      </w:r>
      <w:r w:rsidRPr="00791DB7">
        <w:rPr>
          <w:rFonts w:ascii="Arial" w:hAnsi="Arial" w:cs="Arial"/>
          <w:sz w:val="24"/>
          <w:szCs w:val="24"/>
        </w:rPr>
        <w:t xml:space="preserve">, </w:t>
      </w:r>
      <w:r w:rsidRPr="00791DB7">
        <w:rPr>
          <w:rFonts w:ascii="Arial" w:hAnsi="Arial" w:cs="Arial"/>
          <w:i/>
          <w:sz w:val="24"/>
          <w:szCs w:val="24"/>
        </w:rPr>
        <w:t>91</w:t>
      </w:r>
      <w:r w:rsidRPr="00791DB7">
        <w:rPr>
          <w:rFonts w:ascii="Arial" w:hAnsi="Arial" w:cs="Arial"/>
          <w:sz w:val="24"/>
          <w:szCs w:val="24"/>
        </w:rPr>
        <w:t>(1), 29–58. https://doi.org/10.1111/ecge.12063</w:t>
      </w:r>
    </w:p>
    <w:sectPr w:rsidR="007D2E36" w:rsidRPr="00791DB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67327653">
    <w:abstractNumId w:val="8"/>
  </w:num>
  <w:num w:numId="2" w16cid:durableId="683747063">
    <w:abstractNumId w:val="6"/>
  </w:num>
  <w:num w:numId="3" w16cid:durableId="1235093394">
    <w:abstractNumId w:val="5"/>
  </w:num>
  <w:num w:numId="4" w16cid:durableId="1669862922">
    <w:abstractNumId w:val="4"/>
  </w:num>
  <w:num w:numId="5" w16cid:durableId="2035499529">
    <w:abstractNumId w:val="7"/>
  </w:num>
  <w:num w:numId="6" w16cid:durableId="2002851826">
    <w:abstractNumId w:val="3"/>
  </w:num>
  <w:num w:numId="7" w16cid:durableId="1795253936">
    <w:abstractNumId w:val="2"/>
  </w:num>
  <w:num w:numId="8" w16cid:durableId="1965573976">
    <w:abstractNumId w:val="1"/>
  </w:num>
  <w:num w:numId="9" w16cid:durableId="1348561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AC5"/>
    <w:rsid w:val="0029639D"/>
    <w:rsid w:val="00326F90"/>
    <w:rsid w:val="00791DB7"/>
    <w:rsid w:val="007D2E36"/>
    <w:rsid w:val="00AA1D8D"/>
    <w:rsid w:val="00B47730"/>
    <w:rsid w:val="00B827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95512"/>
  <w14:defaultImageDpi w14:val="300"/>
  <w15:docId w15:val="{1F453447-2E2D-47C3-98AA-5D7EC9058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2007</Words>
  <Characters>13131</Characters>
  <Application>Microsoft Office Word</Application>
  <DocSecurity>0</DocSecurity>
  <Lines>211</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15074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Alejandro Pajoy Bastos</cp:lastModifiedBy>
  <cp:revision>3</cp:revision>
  <cp:lastPrinted>2026-06-10T06:56:00Z</cp:lastPrinted>
  <dcterms:created xsi:type="dcterms:W3CDTF">2013-12-23T23:15:00Z</dcterms:created>
  <dcterms:modified xsi:type="dcterms:W3CDTF">2026-06-10T06:56:00Z</dcterms:modified>
  <cp:category/>
</cp:coreProperties>
</file>