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903A7" w14:textId="77777777" w:rsidR="006A522B" w:rsidRPr="009B1257" w:rsidRDefault="00000000">
      <w:pPr>
        <w:spacing w:after="160"/>
        <w:jc w:val="center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TABLA DE CONTENIDO — PLAN DE INVESTIGACIÓN</w:t>
      </w:r>
    </w:p>
    <w:p w14:paraId="0CEE0BBE" w14:textId="77777777" w:rsidR="006A522B" w:rsidRPr="009B1257" w:rsidRDefault="00000000">
      <w:pPr>
        <w:spacing w:after="6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 xml:space="preserve">Título: </w:t>
      </w:r>
      <w:r w:rsidRPr="009B1257">
        <w:rPr>
          <w:rFonts w:ascii="Times New Roman" w:hAnsi="Times New Roman" w:cs="Times New Roman"/>
          <w:sz w:val="20"/>
          <w:szCs w:val="20"/>
          <w:lang w:val="es-CO"/>
        </w:rPr>
        <w:t>Gobernanza Digital Asociativa: un modelo sociotécnico para la captura de valor en origen en organizaciones caficultoras de territorios PDET de Colombia</w:t>
      </w:r>
    </w:p>
    <w:p w14:paraId="234524FC" w14:textId="77777777" w:rsidR="006A522B" w:rsidRPr="009B1257" w:rsidRDefault="00000000">
      <w:pPr>
        <w:spacing w:after="6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 xml:space="preserve">Programa: </w:t>
      </w:r>
      <w:r w:rsidRPr="009B1257">
        <w:rPr>
          <w:rFonts w:ascii="Times New Roman" w:hAnsi="Times New Roman" w:cs="Times New Roman"/>
          <w:sz w:val="20"/>
          <w:szCs w:val="20"/>
          <w:lang w:val="es-CO"/>
        </w:rPr>
        <w:t>Doctorado TAPAS — ETSIAAB, Universidad Politécnica de Madrid</w:t>
      </w:r>
    </w:p>
    <w:p w14:paraId="2EA88A6D" w14:textId="77777777" w:rsidR="006A522B" w:rsidRPr="009B1257" w:rsidRDefault="00000000">
      <w:pPr>
        <w:spacing w:after="6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 xml:space="preserve">Directora: </w:t>
      </w:r>
      <w:r w:rsidRPr="009B1257">
        <w:rPr>
          <w:rFonts w:ascii="Times New Roman" w:hAnsi="Times New Roman" w:cs="Times New Roman"/>
          <w:sz w:val="20"/>
          <w:szCs w:val="20"/>
          <w:lang w:val="es-CO"/>
        </w:rPr>
        <w:t>Dra. Sonia Benito Hernández</w:t>
      </w:r>
    </w:p>
    <w:p w14:paraId="12D337E4" w14:textId="77777777" w:rsidR="006A522B" w:rsidRPr="009B1257" w:rsidRDefault="00000000">
      <w:pPr>
        <w:spacing w:after="6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 xml:space="preserve">Candidato: </w:t>
      </w:r>
      <w:r w:rsidRPr="009B1257">
        <w:rPr>
          <w:rFonts w:ascii="Times New Roman" w:hAnsi="Times New Roman" w:cs="Times New Roman"/>
          <w:sz w:val="20"/>
          <w:szCs w:val="20"/>
          <w:lang w:val="es-CO"/>
        </w:rPr>
        <w:t>Daniel Alejandro Pajoy Bastos</w:t>
      </w:r>
    </w:p>
    <w:p w14:paraId="0244BCBB" w14:textId="77777777" w:rsidR="009B1257" w:rsidRPr="009B1257" w:rsidRDefault="009B1257">
      <w:pPr>
        <w:spacing w:before="80"/>
        <w:rPr>
          <w:rFonts w:ascii="Times New Roman" w:hAnsi="Times New Roman" w:cs="Times New Roman"/>
          <w:b/>
          <w:sz w:val="20"/>
          <w:szCs w:val="20"/>
          <w:lang w:val="es-CO"/>
        </w:rPr>
      </w:pPr>
    </w:p>
    <w:p w14:paraId="46967DA5" w14:textId="2A0AFAD0" w:rsidR="006A522B" w:rsidRPr="009B1257" w:rsidRDefault="00000000">
      <w:pPr>
        <w:spacing w:before="8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 xml:space="preserve">Pregunta de investigación: </w:t>
      </w:r>
      <w:r w:rsidRPr="009B1257">
        <w:rPr>
          <w:rFonts w:ascii="Times New Roman" w:hAnsi="Times New Roman" w:cs="Times New Roman"/>
          <w:i/>
          <w:sz w:val="20"/>
          <w:szCs w:val="20"/>
          <w:lang w:val="es-CO"/>
        </w:rPr>
        <w:t>¿Cómo un modelo sociotécnico de gobernanza digital asociativa habilita a las organizaciones caficultoras de pequeña escala en territorios PDET de Colombia para incrementar la proporción de valor capturado en origen (VCO) en la cadena global de valor del café?</w:t>
      </w:r>
    </w:p>
    <w:p w14:paraId="54B57A98" w14:textId="77777777" w:rsidR="006A522B" w:rsidRPr="009B1257" w:rsidRDefault="00000000">
      <w:pPr>
        <w:spacing w:before="1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OBJETIVOS DE LA INVESTIGACIÓN</w:t>
      </w:r>
    </w:p>
    <w:p w14:paraId="512D0783" w14:textId="77777777" w:rsidR="006A522B" w:rsidRPr="009B1257" w:rsidRDefault="00000000">
      <w:pPr>
        <w:spacing w:after="1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 xml:space="preserve">Objetivo general (OG): </w:t>
      </w:r>
      <w:r w:rsidRPr="009B1257">
        <w:rPr>
          <w:rFonts w:ascii="Times New Roman" w:hAnsi="Times New Roman" w:cs="Times New Roman"/>
          <w:sz w:val="20"/>
          <w:szCs w:val="20"/>
          <w:lang w:val="es-CO"/>
        </w:rPr>
        <w:t>Desarrollar y evaluar un modelo sociotécnico de gobernanza digital asociativa (GDA) que habilite a las organizaciones caficultoras de pequeña escala en territorios PDET de Colombia para incrementar la proporción de valor capturado en origen (VCO) en la cadena global de valor del café.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6A522B" w:rsidRPr="009B1257" w14:paraId="3EBA3739" w14:textId="77777777">
        <w:tc>
          <w:tcPr>
            <w:tcW w:w="2280" w:type="dxa"/>
          </w:tcPr>
          <w:p w14:paraId="478614D1" w14:textId="77777777" w:rsidR="006A522B" w:rsidRPr="009B125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1257">
              <w:rPr>
                <w:rFonts w:ascii="Times New Roman" w:hAnsi="Times New Roman" w:cs="Times New Roman"/>
                <w:b/>
                <w:sz w:val="20"/>
                <w:szCs w:val="20"/>
              </w:rPr>
              <w:t>OE</w:t>
            </w:r>
          </w:p>
        </w:tc>
        <w:tc>
          <w:tcPr>
            <w:tcW w:w="2280" w:type="dxa"/>
          </w:tcPr>
          <w:p w14:paraId="7DD962CC" w14:textId="77777777" w:rsidR="006A522B" w:rsidRPr="009B125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1257">
              <w:rPr>
                <w:rFonts w:ascii="Times New Roman" w:hAnsi="Times New Roman" w:cs="Times New Roman"/>
                <w:b/>
                <w:sz w:val="20"/>
                <w:szCs w:val="20"/>
              </w:rPr>
              <w:t>Fase</w:t>
            </w:r>
          </w:p>
        </w:tc>
        <w:tc>
          <w:tcPr>
            <w:tcW w:w="2280" w:type="dxa"/>
          </w:tcPr>
          <w:p w14:paraId="17B03A40" w14:textId="77777777" w:rsidR="006A522B" w:rsidRPr="009B125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1257">
              <w:rPr>
                <w:rFonts w:ascii="Times New Roman" w:hAnsi="Times New Roman" w:cs="Times New Roman"/>
                <w:b/>
                <w:sz w:val="20"/>
                <w:szCs w:val="20"/>
              </w:rPr>
              <w:t>Enunciado</w:t>
            </w:r>
          </w:p>
        </w:tc>
        <w:tc>
          <w:tcPr>
            <w:tcW w:w="2280" w:type="dxa"/>
          </w:tcPr>
          <w:p w14:paraId="5EB772C1" w14:textId="77777777" w:rsidR="006A522B" w:rsidRPr="009B125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1257">
              <w:rPr>
                <w:rFonts w:ascii="Times New Roman" w:hAnsi="Times New Roman" w:cs="Times New Roman"/>
                <w:b/>
                <w:sz w:val="20"/>
                <w:szCs w:val="20"/>
              </w:rPr>
              <w:t>Capítulo</w:t>
            </w:r>
          </w:p>
        </w:tc>
      </w:tr>
      <w:tr w:rsidR="006A522B" w:rsidRPr="009B1257" w14:paraId="2588E3D2" w14:textId="77777777">
        <w:tc>
          <w:tcPr>
            <w:tcW w:w="2280" w:type="dxa"/>
          </w:tcPr>
          <w:p w14:paraId="08E548C6" w14:textId="77777777" w:rsidR="006A522B" w:rsidRPr="009B125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1257">
              <w:rPr>
                <w:rFonts w:ascii="Times New Roman" w:hAnsi="Times New Roman" w:cs="Times New Roman"/>
                <w:sz w:val="20"/>
                <w:szCs w:val="20"/>
              </w:rPr>
              <w:t>OE1</w:t>
            </w:r>
          </w:p>
        </w:tc>
        <w:tc>
          <w:tcPr>
            <w:tcW w:w="2280" w:type="dxa"/>
          </w:tcPr>
          <w:p w14:paraId="5F2576D8" w14:textId="77777777" w:rsidR="006A522B" w:rsidRPr="009B125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1257">
              <w:rPr>
                <w:rFonts w:ascii="Times New Roman" w:hAnsi="Times New Roman" w:cs="Times New Roman"/>
                <w:sz w:val="20"/>
                <w:szCs w:val="20"/>
              </w:rPr>
              <w:t>I — Diagnóstica</w:t>
            </w:r>
          </w:p>
        </w:tc>
        <w:tc>
          <w:tcPr>
            <w:tcW w:w="2280" w:type="dxa"/>
          </w:tcPr>
          <w:p w14:paraId="3B4D2F09" w14:textId="77777777" w:rsidR="006A522B" w:rsidRPr="009B1257" w:rsidRDefault="00000000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9B1257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 xml:space="preserve">Diagnosticar la distribución del valor a lo largo de la cadena del café colombiano y establecer la línea base de VCO₀ y del capital social de las organizaciones caficultoras en territorios PDET, construyendo el IPDET como moderador e identificando mediante </w:t>
            </w:r>
            <w:proofErr w:type="spellStart"/>
            <w:r w:rsidRPr="009B1257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fsQCA</w:t>
            </w:r>
            <w:proofErr w:type="spellEnd"/>
            <w:r w:rsidRPr="009B1257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 xml:space="preserve"> las configuraciones institucionales necesarias y suficientes para VCO alto.</w:t>
            </w:r>
          </w:p>
        </w:tc>
        <w:tc>
          <w:tcPr>
            <w:tcW w:w="2280" w:type="dxa"/>
          </w:tcPr>
          <w:p w14:paraId="1B123BB2" w14:textId="77777777" w:rsidR="006A522B" w:rsidRPr="009B125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1257">
              <w:rPr>
                <w:rFonts w:ascii="Times New Roman" w:hAnsi="Times New Roman" w:cs="Times New Roman"/>
                <w:sz w:val="20"/>
                <w:szCs w:val="20"/>
              </w:rPr>
              <w:t>Cap. 6</w:t>
            </w:r>
          </w:p>
        </w:tc>
      </w:tr>
      <w:tr w:rsidR="006A522B" w:rsidRPr="009B1257" w14:paraId="11DA4B97" w14:textId="77777777">
        <w:tc>
          <w:tcPr>
            <w:tcW w:w="2280" w:type="dxa"/>
          </w:tcPr>
          <w:p w14:paraId="0F98C60F" w14:textId="77777777" w:rsidR="006A522B" w:rsidRPr="009B125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1257">
              <w:rPr>
                <w:rFonts w:ascii="Times New Roman" w:hAnsi="Times New Roman" w:cs="Times New Roman"/>
                <w:sz w:val="20"/>
                <w:szCs w:val="20"/>
              </w:rPr>
              <w:t>OE2</w:t>
            </w:r>
          </w:p>
        </w:tc>
        <w:tc>
          <w:tcPr>
            <w:tcW w:w="2280" w:type="dxa"/>
          </w:tcPr>
          <w:p w14:paraId="72F2EDF6" w14:textId="77777777" w:rsidR="006A522B" w:rsidRPr="009B125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1257">
              <w:rPr>
                <w:rFonts w:ascii="Times New Roman" w:hAnsi="Times New Roman" w:cs="Times New Roman"/>
                <w:sz w:val="20"/>
                <w:szCs w:val="20"/>
              </w:rPr>
              <w:t>II — Constructiva</w:t>
            </w:r>
          </w:p>
        </w:tc>
        <w:tc>
          <w:tcPr>
            <w:tcW w:w="2280" w:type="dxa"/>
          </w:tcPr>
          <w:p w14:paraId="6C9FDF44" w14:textId="77777777" w:rsidR="006A522B" w:rsidRPr="009B1257" w:rsidRDefault="00000000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9B1257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 xml:space="preserve">Diseñar de forma participativa, mediante </w:t>
            </w:r>
            <w:proofErr w:type="spellStart"/>
            <w:r w:rsidRPr="009B1257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Design</w:t>
            </w:r>
            <w:proofErr w:type="spellEnd"/>
            <w:r w:rsidRPr="009B1257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9B1257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Science</w:t>
            </w:r>
            <w:proofErr w:type="spellEnd"/>
            <w:r w:rsidRPr="009B1257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9B1257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Research</w:t>
            </w:r>
            <w:proofErr w:type="spellEnd"/>
            <w:r w:rsidRPr="009B1257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 xml:space="preserve"> y un panel Delphi, el modelo GDA que articula el subsistema social (gobernanza asociativa, Ostrom) y el subsistema técnico (trazabilidad y soberanía de datos) bajo el principio de optimización conjunta.</w:t>
            </w:r>
          </w:p>
        </w:tc>
        <w:tc>
          <w:tcPr>
            <w:tcW w:w="2280" w:type="dxa"/>
          </w:tcPr>
          <w:p w14:paraId="4C4518EE" w14:textId="77777777" w:rsidR="006A522B" w:rsidRPr="009B125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1257">
              <w:rPr>
                <w:rFonts w:ascii="Times New Roman" w:hAnsi="Times New Roman" w:cs="Times New Roman"/>
                <w:sz w:val="20"/>
                <w:szCs w:val="20"/>
              </w:rPr>
              <w:t>Cap. 7</w:t>
            </w:r>
          </w:p>
        </w:tc>
      </w:tr>
      <w:tr w:rsidR="006A522B" w:rsidRPr="009B1257" w14:paraId="51C80F18" w14:textId="77777777">
        <w:tc>
          <w:tcPr>
            <w:tcW w:w="2280" w:type="dxa"/>
          </w:tcPr>
          <w:p w14:paraId="7E928D42" w14:textId="77777777" w:rsidR="006A522B" w:rsidRPr="009B125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1257">
              <w:rPr>
                <w:rFonts w:ascii="Times New Roman" w:hAnsi="Times New Roman" w:cs="Times New Roman"/>
                <w:sz w:val="20"/>
                <w:szCs w:val="20"/>
              </w:rPr>
              <w:t>OE3</w:t>
            </w:r>
          </w:p>
        </w:tc>
        <w:tc>
          <w:tcPr>
            <w:tcW w:w="2280" w:type="dxa"/>
          </w:tcPr>
          <w:p w14:paraId="57422006" w14:textId="77777777" w:rsidR="006A522B" w:rsidRPr="009B125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1257">
              <w:rPr>
                <w:rFonts w:ascii="Times New Roman" w:hAnsi="Times New Roman" w:cs="Times New Roman"/>
                <w:sz w:val="20"/>
                <w:szCs w:val="20"/>
              </w:rPr>
              <w:t>II → III</w:t>
            </w:r>
          </w:p>
        </w:tc>
        <w:tc>
          <w:tcPr>
            <w:tcW w:w="2280" w:type="dxa"/>
          </w:tcPr>
          <w:p w14:paraId="1ED37A8C" w14:textId="77777777" w:rsidR="006A522B" w:rsidRPr="009B1257" w:rsidRDefault="00000000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9B1257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 xml:space="preserve">Operacionalizar y parametrizar los constructos del modelo (Índice de Gobernanza, </w:t>
            </w:r>
            <w:r w:rsidRPr="009B1257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lastRenderedPageBreak/>
              <w:t>componentes técnicos y VCO) y construir las distribuciones a priori, a partir del consenso Delphi, que alimentan la simulación.</w:t>
            </w:r>
          </w:p>
        </w:tc>
        <w:tc>
          <w:tcPr>
            <w:tcW w:w="2280" w:type="dxa"/>
          </w:tcPr>
          <w:p w14:paraId="321103B5" w14:textId="77777777" w:rsidR="006A522B" w:rsidRPr="009B125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1257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Caps. 7-8</w:t>
            </w:r>
          </w:p>
        </w:tc>
      </w:tr>
      <w:tr w:rsidR="006A522B" w:rsidRPr="009B1257" w14:paraId="3A8B0FC3" w14:textId="77777777">
        <w:tc>
          <w:tcPr>
            <w:tcW w:w="2280" w:type="dxa"/>
          </w:tcPr>
          <w:p w14:paraId="02F7EB7B" w14:textId="77777777" w:rsidR="006A522B" w:rsidRPr="009B125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1257">
              <w:rPr>
                <w:rFonts w:ascii="Times New Roman" w:hAnsi="Times New Roman" w:cs="Times New Roman"/>
                <w:sz w:val="20"/>
                <w:szCs w:val="20"/>
              </w:rPr>
              <w:t>OE4</w:t>
            </w:r>
          </w:p>
        </w:tc>
        <w:tc>
          <w:tcPr>
            <w:tcW w:w="2280" w:type="dxa"/>
          </w:tcPr>
          <w:p w14:paraId="7C118667" w14:textId="77777777" w:rsidR="006A522B" w:rsidRPr="009B125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1257">
              <w:rPr>
                <w:rFonts w:ascii="Times New Roman" w:hAnsi="Times New Roman" w:cs="Times New Roman"/>
                <w:sz w:val="20"/>
                <w:szCs w:val="20"/>
              </w:rPr>
              <w:t>III — Evaluativa</w:t>
            </w:r>
          </w:p>
        </w:tc>
        <w:tc>
          <w:tcPr>
            <w:tcW w:w="2280" w:type="dxa"/>
          </w:tcPr>
          <w:p w14:paraId="475E0A84" w14:textId="77777777" w:rsidR="006A522B" w:rsidRPr="009B1257" w:rsidRDefault="00000000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9B1257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Evaluar el efecto del modelo GDA sobre el VCO y su robustez mediante simulación Monte Carlo, índices de Sobol y análisis de escenarios adversos, contrastando la hipótesis de que la gobernanza explica más varianza del VCO que la tecnología.</w:t>
            </w:r>
          </w:p>
        </w:tc>
        <w:tc>
          <w:tcPr>
            <w:tcW w:w="2280" w:type="dxa"/>
          </w:tcPr>
          <w:p w14:paraId="7DC6467C" w14:textId="77777777" w:rsidR="006A522B" w:rsidRPr="009B125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1257">
              <w:rPr>
                <w:rFonts w:ascii="Times New Roman" w:hAnsi="Times New Roman" w:cs="Times New Roman"/>
                <w:sz w:val="20"/>
                <w:szCs w:val="20"/>
              </w:rPr>
              <w:t>Cap. 8</w:t>
            </w:r>
          </w:p>
        </w:tc>
      </w:tr>
    </w:tbl>
    <w:p w14:paraId="03E88A7A" w14:textId="4293E383" w:rsidR="006A522B" w:rsidRPr="009B1257" w:rsidRDefault="00000000">
      <w:pPr>
        <w:spacing w:before="16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 xml:space="preserve">Hipótesis central: </w:t>
      </w:r>
      <w:r w:rsidRPr="009B1257">
        <w:rPr>
          <w:rFonts w:ascii="Times New Roman" w:hAnsi="Times New Roman" w:cs="Times New Roman"/>
          <w:sz w:val="20"/>
          <w:szCs w:val="20"/>
          <w:lang w:val="es-CO"/>
        </w:rPr>
        <w:t>La dimensión de gobernanza (subsistema social) explica una mayor proporción de la varianza del VCO que la dimensión tecnológica (subsistema técnico), evidenciando que la optimización conjunta</w:t>
      </w:r>
      <w:r w:rsidR="00D7073F">
        <w:rPr>
          <w:rFonts w:ascii="Times New Roman" w:hAnsi="Times New Roman" w:cs="Times New Roman"/>
          <w:sz w:val="20"/>
          <w:szCs w:val="20"/>
          <w:lang w:val="es-CO"/>
        </w:rPr>
        <w:t xml:space="preserve"> (No solo lo digital)</w:t>
      </w:r>
      <w:r w:rsidRPr="009B1257">
        <w:rPr>
          <w:rFonts w:ascii="Times New Roman" w:hAnsi="Times New Roman" w:cs="Times New Roman"/>
          <w:sz w:val="20"/>
          <w:szCs w:val="20"/>
          <w:lang w:val="es-CO"/>
        </w:rPr>
        <w:t xml:space="preserve"> es la condición habilitante. Se contrasta con la descomposición de varianza de Sobol.</w:t>
      </w:r>
    </w:p>
    <w:p w14:paraId="63A7340B" w14:textId="77777777" w:rsidR="009B1257" w:rsidRDefault="009B1257">
      <w:pPr>
        <w:spacing w:after="40"/>
        <w:rPr>
          <w:rFonts w:ascii="Times New Roman" w:hAnsi="Times New Roman" w:cs="Times New Roman"/>
          <w:sz w:val="20"/>
          <w:szCs w:val="20"/>
          <w:lang w:val="es-CO"/>
        </w:rPr>
      </w:pPr>
    </w:p>
    <w:p w14:paraId="1558137D" w14:textId="77777777" w:rsidR="009B1257" w:rsidRDefault="009B1257">
      <w:pPr>
        <w:spacing w:after="40"/>
        <w:rPr>
          <w:rFonts w:ascii="Times New Roman" w:hAnsi="Times New Roman" w:cs="Times New Roman"/>
          <w:b/>
          <w:sz w:val="20"/>
          <w:szCs w:val="20"/>
          <w:lang w:val="es-CO"/>
        </w:rPr>
      </w:pPr>
    </w:p>
    <w:p w14:paraId="18DEABD1" w14:textId="77777777" w:rsidR="009B1257" w:rsidRDefault="009B1257">
      <w:pPr>
        <w:spacing w:after="40"/>
        <w:rPr>
          <w:rFonts w:ascii="Times New Roman" w:hAnsi="Times New Roman" w:cs="Times New Roman"/>
          <w:b/>
          <w:sz w:val="20"/>
          <w:szCs w:val="20"/>
          <w:lang w:val="es-CO"/>
        </w:rPr>
      </w:pPr>
    </w:p>
    <w:p w14:paraId="02F114D6" w14:textId="77777777" w:rsidR="009B1257" w:rsidRDefault="009B1257">
      <w:pPr>
        <w:spacing w:after="40"/>
        <w:rPr>
          <w:rFonts w:ascii="Times New Roman" w:hAnsi="Times New Roman" w:cs="Times New Roman"/>
          <w:b/>
          <w:sz w:val="20"/>
          <w:szCs w:val="20"/>
          <w:lang w:val="es-CO"/>
        </w:rPr>
      </w:pPr>
    </w:p>
    <w:p w14:paraId="55560A05" w14:textId="77777777" w:rsidR="009B1257" w:rsidRDefault="009B1257">
      <w:pPr>
        <w:spacing w:after="40"/>
        <w:rPr>
          <w:rFonts w:ascii="Times New Roman" w:hAnsi="Times New Roman" w:cs="Times New Roman"/>
          <w:b/>
          <w:sz w:val="20"/>
          <w:szCs w:val="20"/>
          <w:lang w:val="es-CO"/>
        </w:rPr>
      </w:pPr>
    </w:p>
    <w:p w14:paraId="70072A57" w14:textId="77777777" w:rsidR="009B1257" w:rsidRDefault="009B1257">
      <w:pPr>
        <w:spacing w:after="40"/>
        <w:rPr>
          <w:rFonts w:ascii="Times New Roman" w:hAnsi="Times New Roman" w:cs="Times New Roman"/>
          <w:b/>
          <w:sz w:val="20"/>
          <w:szCs w:val="20"/>
          <w:lang w:val="es-CO"/>
        </w:rPr>
      </w:pPr>
    </w:p>
    <w:p w14:paraId="61F8CB3A" w14:textId="77777777" w:rsidR="009B1257" w:rsidRDefault="009B1257">
      <w:pPr>
        <w:spacing w:after="40"/>
        <w:rPr>
          <w:rFonts w:ascii="Times New Roman" w:hAnsi="Times New Roman" w:cs="Times New Roman"/>
          <w:b/>
          <w:sz w:val="20"/>
          <w:szCs w:val="20"/>
          <w:lang w:val="es-CO"/>
        </w:rPr>
      </w:pPr>
    </w:p>
    <w:p w14:paraId="362AC4FF" w14:textId="77777777" w:rsidR="009B1257" w:rsidRDefault="009B1257">
      <w:pPr>
        <w:spacing w:after="40"/>
        <w:rPr>
          <w:rFonts w:ascii="Times New Roman" w:hAnsi="Times New Roman" w:cs="Times New Roman"/>
          <w:b/>
          <w:sz w:val="20"/>
          <w:szCs w:val="20"/>
          <w:lang w:val="es-CO"/>
        </w:rPr>
      </w:pPr>
    </w:p>
    <w:p w14:paraId="643D518E" w14:textId="77777777" w:rsidR="009B1257" w:rsidRDefault="009B1257">
      <w:pPr>
        <w:spacing w:after="40"/>
        <w:rPr>
          <w:rFonts w:ascii="Times New Roman" w:hAnsi="Times New Roman" w:cs="Times New Roman"/>
          <w:b/>
          <w:sz w:val="20"/>
          <w:szCs w:val="20"/>
          <w:lang w:val="es-CO"/>
        </w:rPr>
      </w:pPr>
    </w:p>
    <w:p w14:paraId="7265BA38" w14:textId="77777777" w:rsidR="009B1257" w:rsidRDefault="009B1257">
      <w:pPr>
        <w:spacing w:after="40"/>
        <w:rPr>
          <w:rFonts w:ascii="Times New Roman" w:hAnsi="Times New Roman" w:cs="Times New Roman"/>
          <w:b/>
          <w:sz w:val="20"/>
          <w:szCs w:val="20"/>
          <w:lang w:val="es-CO"/>
        </w:rPr>
      </w:pPr>
    </w:p>
    <w:p w14:paraId="503B12AE" w14:textId="77777777" w:rsidR="009B1257" w:rsidRDefault="009B1257">
      <w:pPr>
        <w:spacing w:after="40"/>
        <w:rPr>
          <w:rFonts w:ascii="Times New Roman" w:hAnsi="Times New Roman" w:cs="Times New Roman"/>
          <w:b/>
          <w:sz w:val="20"/>
          <w:szCs w:val="20"/>
          <w:lang w:val="es-CO"/>
        </w:rPr>
      </w:pPr>
    </w:p>
    <w:p w14:paraId="46A4AF8F" w14:textId="77777777" w:rsidR="009B1257" w:rsidRDefault="009B1257">
      <w:pPr>
        <w:spacing w:after="40"/>
        <w:rPr>
          <w:rFonts w:ascii="Times New Roman" w:hAnsi="Times New Roman" w:cs="Times New Roman"/>
          <w:b/>
          <w:sz w:val="20"/>
          <w:szCs w:val="20"/>
          <w:lang w:val="es-CO"/>
        </w:rPr>
      </w:pPr>
    </w:p>
    <w:p w14:paraId="2D0D8D82" w14:textId="77777777" w:rsidR="009B1257" w:rsidRDefault="009B1257">
      <w:pPr>
        <w:spacing w:after="40"/>
        <w:rPr>
          <w:rFonts w:ascii="Times New Roman" w:hAnsi="Times New Roman" w:cs="Times New Roman"/>
          <w:b/>
          <w:sz w:val="20"/>
          <w:szCs w:val="20"/>
          <w:lang w:val="es-CO"/>
        </w:rPr>
      </w:pPr>
    </w:p>
    <w:p w14:paraId="56C70CBC" w14:textId="77777777" w:rsidR="009B1257" w:rsidRDefault="009B1257">
      <w:pPr>
        <w:spacing w:after="40"/>
        <w:rPr>
          <w:rFonts w:ascii="Times New Roman" w:hAnsi="Times New Roman" w:cs="Times New Roman"/>
          <w:b/>
          <w:sz w:val="20"/>
          <w:szCs w:val="20"/>
          <w:lang w:val="es-CO"/>
        </w:rPr>
      </w:pPr>
    </w:p>
    <w:p w14:paraId="1A7A64F5" w14:textId="77777777" w:rsidR="009B1257" w:rsidRDefault="009B1257">
      <w:pPr>
        <w:spacing w:after="40"/>
        <w:rPr>
          <w:rFonts w:ascii="Times New Roman" w:hAnsi="Times New Roman" w:cs="Times New Roman"/>
          <w:b/>
          <w:sz w:val="20"/>
          <w:szCs w:val="20"/>
          <w:lang w:val="es-CO"/>
        </w:rPr>
      </w:pPr>
    </w:p>
    <w:p w14:paraId="1678A6CE" w14:textId="77777777" w:rsidR="009B1257" w:rsidRDefault="009B1257">
      <w:pPr>
        <w:spacing w:after="40"/>
        <w:rPr>
          <w:rFonts w:ascii="Times New Roman" w:hAnsi="Times New Roman" w:cs="Times New Roman"/>
          <w:b/>
          <w:sz w:val="20"/>
          <w:szCs w:val="20"/>
          <w:lang w:val="es-CO"/>
        </w:rPr>
      </w:pPr>
    </w:p>
    <w:p w14:paraId="01997D7B" w14:textId="77777777" w:rsidR="009B1257" w:rsidRDefault="009B1257">
      <w:pPr>
        <w:spacing w:after="40"/>
        <w:rPr>
          <w:rFonts w:ascii="Times New Roman" w:hAnsi="Times New Roman" w:cs="Times New Roman"/>
          <w:b/>
          <w:sz w:val="20"/>
          <w:szCs w:val="20"/>
          <w:lang w:val="es-CO"/>
        </w:rPr>
      </w:pPr>
    </w:p>
    <w:p w14:paraId="6B93660C" w14:textId="77777777" w:rsidR="009B1257" w:rsidRDefault="009B1257">
      <w:pPr>
        <w:spacing w:after="40"/>
        <w:rPr>
          <w:rFonts w:ascii="Times New Roman" w:hAnsi="Times New Roman" w:cs="Times New Roman"/>
          <w:b/>
          <w:sz w:val="20"/>
          <w:szCs w:val="20"/>
          <w:lang w:val="es-CO"/>
        </w:rPr>
      </w:pPr>
    </w:p>
    <w:p w14:paraId="015E3FE5" w14:textId="77777777" w:rsidR="009B1257" w:rsidRDefault="009B1257">
      <w:pPr>
        <w:spacing w:after="40"/>
        <w:rPr>
          <w:rFonts w:ascii="Times New Roman" w:hAnsi="Times New Roman" w:cs="Times New Roman"/>
          <w:b/>
          <w:sz w:val="20"/>
          <w:szCs w:val="20"/>
          <w:lang w:val="es-CO"/>
        </w:rPr>
      </w:pPr>
    </w:p>
    <w:p w14:paraId="1FCDEBDB" w14:textId="77777777" w:rsidR="009B1257" w:rsidRDefault="009B1257">
      <w:pPr>
        <w:spacing w:after="40"/>
        <w:rPr>
          <w:rFonts w:ascii="Times New Roman" w:hAnsi="Times New Roman" w:cs="Times New Roman"/>
          <w:b/>
          <w:sz w:val="20"/>
          <w:szCs w:val="20"/>
          <w:lang w:val="es-CO"/>
        </w:rPr>
      </w:pPr>
    </w:p>
    <w:p w14:paraId="11BFA0A7" w14:textId="77777777" w:rsidR="009B1257" w:rsidRDefault="009B1257">
      <w:pPr>
        <w:spacing w:after="40"/>
        <w:rPr>
          <w:rFonts w:ascii="Times New Roman" w:hAnsi="Times New Roman" w:cs="Times New Roman"/>
          <w:b/>
          <w:sz w:val="20"/>
          <w:szCs w:val="20"/>
          <w:lang w:val="es-CO"/>
        </w:rPr>
      </w:pPr>
    </w:p>
    <w:p w14:paraId="5D86C61E" w14:textId="77777777" w:rsidR="009B1257" w:rsidRDefault="009B1257">
      <w:pPr>
        <w:spacing w:after="40"/>
        <w:rPr>
          <w:rFonts w:ascii="Times New Roman" w:hAnsi="Times New Roman" w:cs="Times New Roman"/>
          <w:b/>
          <w:sz w:val="20"/>
          <w:szCs w:val="20"/>
          <w:lang w:val="es-CO"/>
        </w:rPr>
      </w:pPr>
    </w:p>
    <w:p w14:paraId="2C299679" w14:textId="77777777" w:rsidR="009B1257" w:rsidRDefault="009B1257">
      <w:pPr>
        <w:spacing w:after="40"/>
        <w:rPr>
          <w:rFonts w:ascii="Times New Roman" w:hAnsi="Times New Roman" w:cs="Times New Roman"/>
          <w:b/>
          <w:sz w:val="20"/>
          <w:szCs w:val="20"/>
          <w:lang w:val="es-CO"/>
        </w:rPr>
      </w:pPr>
    </w:p>
    <w:p w14:paraId="55C63ECD" w14:textId="77777777" w:rsidR="009B1257" w:rsidRDefault="009B1257">
      <w:pPr>
        <w:spacing w:after="40"/>
        <w:rPr>
          <w:rFonts w:ascii="Times New Roman" w:hAnsi="Times New Roman" w:cs="Times New Roman"/>
          <w:b/>
          <w:sz w:val="20"/>
          <w:szCs w:val="20"/>
          <w:lang w:val="es-CO"/>
        </w:rPr>
      </w:pPr>
    </w:p>
    <w:p w14:paraId="6B4CE0F8" w14:textId="77777777" w:rsidR="009B1257" w:rsidRDefault="009B1257">
      <w:pPr>
        <w:spacing w:after="40"/>
        <w:rPr>
          <w:rFonts w:ascii="Times New Roman" w:hAnsi="Times New Roman" w:cs="Times New Roman"/>
          <w:b/>
          <w:sz w:val="20"/>
          <w:szCs w:val="20"/>
          <w:lang w:val="es-CO"/>
        </w:rPr>
      </w:pPr>
    </w:p>
    <w:p w14:paraId="6CC5EC4A" w14:textId="77777777" w:rsidR="009B1257" w:rsidRDefault="009B1257">
      <w:pPr>
        <w:spacing w:after="40"/>
        <w:rPr>
          <w:rFonts w:ascii="Times New Roman" w:hAnsi="Times New Roman" w:cs="Times New Roman"/>
          <w:b/>
          <w:sz w:val="20"/>
          <w:szCs w:val="20"/>
          <w:lang w:val="es-CO"/>
        </w:rPr>
      </w:pPr>
    </w:p>
    <w:p w14:paraId="213BA066" w14:textId="35DC618A" w:rsidR="009B1257" w:rsidRDefault="009B1257" w:rsidP="009B1257">
      <w:pPr>
        <w:spacing w:after="40"/>
        <w:jc w:val="center"/>
        <w:rPr>
          <w:rFonts w:ascii="Times New Roman" w:hAnsi="Times New Roman" w:cs="Times New Roman"/>
          <w:b/>
          <w:sz w:val="20"/>
          <w:szCs w:val="20"/>
          <w:lang w:val="es-CO"/>
        </w:rPr>
      </w:pPr>
      <w:r>
        <w:rPr>
          <w:rFonts w:ascii="Times New Roman" w:hAnsi="Times New Roman" w:cs="Times New Roman"/>
          <w:b/>
          <w:sz w:val="20"/>
          <w:szCs w:val="20"/>
          <w:lang w:val="es-CO"/>
        </w:rPr>
        <w:lastRenderedPageBreak/>
        <w:t>CONTENIDO</w:t>
      </w:r>
    </w:p>
    <w:p w14:paraId="1B30EF5C" w14:textId="77777777" w:rsidR="009B1257" w:rsidRDefault="009B1257">
      <w:pPr>
        <w:spacing w:after="40"/>
        <w:rPr>
          <w:rFonts w:ascii="Times New Roman" w:hAnsi="Times New Roman" w:cs="Times New Roman"/>
          <w:b/>
          <w:sz w:val="20"/>
          <w:szCs w:val="20"/>
          <w:lang w:val="es-CO"/>
        </w:rPr>
      </w:pPr>
    </w:p>
    <w:p w14:paraId="4683717E" w14:textId="0006D590" w:rsidR="006A522B" w:rsidRPr="009B1257" w:rsidRDefault="00000000">
      <w:pPr>
        <w:spacing w:after="4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ABSTRACT (</w:t>
      </w:r>
      <w:proofErr w:type="gramStart"/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Inglés</w:t>
      </w:r>
      <w:proofErr w:type="gramEnd"/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)</w:t>
      </w:r>
    </w:p>
    <w:p w14:paraId="3BA5D4FA" w14:textId="77777777" w:rsidR="006A522B" w:rsidRPr="009B1257" w:rsidRDefault="00000000">
      <w:pPr>
        <w:spacing w:after="4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RESUMEN (</w:t>
      </w:r>
      <w:proofErr w:type="gramStart"/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Español</w:t>
      </w:r>
      <w:proofErr w:type="gramEnd"/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)</w:t>
      </w:r>
    </w:p>
    <w:p w14:paraId="63E84B5E" w14:textId="77777777" w:rsidR="006A522B" w:rsidRPr="009B1257" w:rsidRDefault="00000000">
      <w:pPr>
        <w:spacing w:after="4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LISTA DE TABLAS</w:t>
      </w:r>
    </w:p>
    <w:p w14:paraId="61A0391A" w14:textId="77777777" w:rsidR="006A522B" w:rsidRPr="009B1257" w:rsidRDefault="00000000">
      <w:pPr>
        <w:spacing w:after="4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LISTA DE FIGURAS</w:t>
      </w:r>
    </w:p>
    <w:p w14:paraId="5ABB801F" w14:textId="77777777" w:rsidR="006A522B" w:rsidRPr="009B1257" w:rsidRDefault="00000000">
      <w:pPr>
        <w:spacing w:after="4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LISTA DE ACRÓNIMOS Y ABREVIATURAS</w:t>
      </w:r>
    </w:p>
    <w:p w14:paraId="662F11C2" w14:textId="77777777" w:rsidR="006A522B" w:rsidRPr="009B1257" w:rsidRDefault="006A522B">
      <w:pPr>
        <w:rPr>
          <w:rFonts w:ascii="Times New Roman" w:hAnsi="Times New Roman" w:cs="Times New Roman"/>
          <w:sz w:val="20"/>
          <w:szCs w:val="20"/>
          <w:lang w:val="es-CO"/>
        </w:rPr>
      </w:pPr>
    </w:p>
    <w:p w14:paraId="36C919EA" w14:textId="77777777" w:rsidR="006A522B" w:rsidRPr="009B1257" w:rsidRDefault="00000000">
      <w:pPr>
        <w:spacing w:before="280" w:after="4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CAPÍTULO 1: INTRODUCCIÓN A LA TESIS</w:t>
      </w:r>
    </w:p>
    <w:p w14:paraId="5BF40910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1.1. Introducción</w:t>
      </w:r>
    </w:p>
    <w:p w14:paraId="3C0C8999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1.2. Contexto de la investigación</w:t>
      </w:r>
    </w:p>
    <w:p w14:paraId="480783CE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1.2.1. El café en la economía colombiana</w:t>
      </w:r>
    </w:p>
    <w:p w14:paraId="63584BC7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1.2.2. Distribución del valor en la cadena global y la brecha del VCO</w:t>
      </w:r>
    </w:p>
    <w:p w14:paraId="4D5FF83E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1.2.3. El minifundio cafetero como universo de estudio</w:t>
      </w:r>
    </w:p>
    <w:p w14:paraId="75C35263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1.3. El posconflicto colombiano y los PDET</w:t>
      </w:r>
    </w:p>
    <w:p w14:paraId="613CA76F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1.3.1. El Acuerdo de Paz de 2016</w:t>
      </w:r>
    </w:p>
    <w:p w14:paraId="6EF036BF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1.3.2. Los Programas de Desarrollo con Enfoque Territorial</w:t>
      </w:r>
    </w:p>
    <w:p w14:paraId="10712D08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1.3.3. La caficultura como vehículo de reincorporación</w:t>
      </w:r>
    </w:p>
    <w:p w14:paraId="60D95842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1.4. La gobernanza como factor habilitante</w:t>
      </w:r>
    </w:p>
    <w:p w14:paraId="0D1BB957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1.4.1. Gobernanza de comunes en organizaciones productoras</w:t>
      </w:r>
    </w:p>
    <w:p w14:paraId="7BA1FE84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1.4.2. La transformación digital de las organizaciones rurales</w:t>
      </w:r>
    </w:p>
    <w:p w14:paraId="10AE0BD6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1.4.3. La sostenibilidad como atributo de valor</w:t>
      </w:r>
    </w:p>
    <w:p w14:paraId="0008CA37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1.5. Planteamiento del problema de investigación</w:t>
      </w:r>
    </w:p>
    <w:p w14:paraId="6C425FAB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1.5.1. La brecha del valor capturado en origen (VCO)</w:t>
      </w:r>
    </w:p>
    <w:p w14:paraId="495D0C19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1.5.2. Los cuatro déficits estructurales</w:t>
      </w:r>
    </w:p>
    <w:p w14:paraId="11A5EEA1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1.5.3. Pregunta de investigación, hipótesis y objetivos</w:t>
      </w:r>
    </w:p>
    <w:p w14:paraId="25C05E46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1.6. Visión general de la metodología</w:t>
      </w:r>
    </w:p>
    <w:p w14:paraId="5FED575A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 xml:space="preserve">1.6.1. </w:t>
      </w:r>
      <w:r w:rsidRPr="009B1257">
        <w:rPr>
          <w:rFonts w:ascii="Times New Roman" w:hAnsi="Times New Roman" w:cs="Times New Roman"/>
          <w:sz w:val="20"/>
          <w:szCs w:val="20"/>
        </w:rPr>
        <w:t>Design Science Research (Hevner et al., 2004): tres fases</w:t>
      </w:r>
    </w:p>
    <w:p w14:paraId="2F3D132E" w14:textId="497D3F41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1.6.2. Análisis Cualitativo Comparativo (</w:t>
      </w:r>
      <w:proofErr w:type="spellStart"/>
      <w:r w:rsidRPr="009B1257">
        <w:rPr>
          <w:rFonts w:ascii="Times New Roman" w:hAnsi="Times New Roman" w:cs="Times New Roman"/>
          <w:sz w:val="20"/>
          <w:szCs w:val="20"/>
          <w:lang w:val="es-CO"/>
        </w:rPr>
        <w:t>fsQCA</w:t>
      </w:r>
      <w:proofErr w:type="spellEnd"/>
      <w:r w:rsidRPr="009B1257">
        <w:rPr>
          <w:rFonts w:ascii="Times New Roman" w:hAnsi="Times New Roman" w:cs="Times New Roman"/>
          <w:sz w:val="20"/>
          <w:szCs w:val="20"/>
          <w:lang w:val="es-CO"/>
        </w:rPr>
        <w:t>): censo FEMNCAFE</w:t>
      </w:r>
    </w:p>
    <w:p w14:paraId="55158C60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1.6.3. Simulación Monte Carlo e índices de sensibilidad de Sobol</w:t>
      </w:r>
    </w:p>
    <w:p w14:paraId="36B70F59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1.6.4. Enfoque mixto secuencial: integración de métodos cualitativos y cuantitativos</w:t>
      </w:r>
    </w:p>
    <w:p w14:paraId="27D4A652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1.7. Contribuciones esperadas</w:t>
      </w:r>
    </w:p>
    <w:p w14:paraId="23FD5B3A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1.7.1. Contribución teórica</w:t>
      </w:r>
    </w:p>
    <w:p w14:paraId="49A185D4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1.7.2. Contribución metodológica</w:t>
      </w:r>
    </w:p>
    <w:p w14:paraId="5497F3FA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1.7.3. Contribución praxeológica</w:t>
      </w:r>
    </w:p>
    <w:p w14:paraId="64778F1E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1.8. Estructura de la tesis</w:t>
      </w:r>
    </w:p>
    <w:p w14:paraId="59BA4ECF" w14:textId="77777777" w:rsidR="006A522B" w:rsidRPr="009B1257" w:rsidRDefault="00000000">
      <w:pPr>
        <w:spacing w:before="280" w:after="4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CAPÍTULO 2: EL CAFÉ EN COLOMBIA Y EN EL MUNDO</w:t>
      </w:r>
    </w:p>
    <w:p w14:paraId="5B6E3E07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2.1. Introducción</w:t>
      </w:r>
    </w:p>
    <w:p w14:paraId="2F4E82C9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2.2. Historia del café en Colombia</w:t>
      </w:r>
    </w:p>
    <w:p w14:paraId="71FC369A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2.3. Tendencias mundiales en la producción</w:t>
      </w:r>
    </w:p>
    <w:p w14:paraId="73C7AD20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2.3.1. Principales países productores</w:t>
      </w:r>
    </w:p>
    <w:p w14:paraId="4E499624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2.3.2. Posición de Colombia en el mercado mundial</w:t>
      </w:r>
    </w:p>
    <w:p w14:paraId="7811C41B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2.3.3. Evolución de la productividad</w:t>
      </w:r>
    </w:p>
    <w:p w14:paraId="5C9D48A0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lastRenderedPageBreak/>
        <w:t>2.4. Consumo, importaciones y exportaciones</w:t>
      </w:r>
    </w:p>
    <w:p w14:paraId="18F8160B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2.4.1. Principales mercados de destino del café colombiano</w:t>
      </w:r>
    </w:p>
    <w:p w14:paraId="00725767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2.4.2. Estados Unidos como mercado principal</w:t>
      </w:r>
    </w:p>
    <w:p w14:paraId="3D8FAEC2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2.4.3. La Unión Europea como mercado estratégico</w:t>
      </w:r>
    </w:p>
    <w:p w14:paraId="4C3025FD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2.5. Precios del café</w:t>
      </w:r>
    </w:p>
    <w:p w14:paraId="6E2E3439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2.5.1. El Contrato C y la formación internacional de precios</w:t>
      </w:r>
    </w:p>
    <w:p w14:paraId="7D965C53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 xml:space="preserve">2.5.2. El precio interno colombiano y el </w:t>
      </w:r>
      <w:proofErr w:type="spellStart"/>
      <w:r w:rsidRPr="009B1257">
        <w:rPr>
          <w:rFonts w:ascii="Times New Roman" w:hAnsi="Times New Roman" w:cs="Times New Roman"/>
          <w:sz w:val="20"/>
          <w:szCs w:val="20"/>
          <w:lang w:val="es-CO"/>
        </w:rPr>
        <w:t>FEPCafé</w:t>
      </w:r>
      <w:proofErr w:type="spellEnd"/>
    </w:p>
    <w:p w14:paraId="0C60D278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2.5.3. Diferencial UGQ y prima de calidad</w:t>
      </w:r>
    </w:p>
    <w:p w14:paraId="7976F1E0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2.6. La cadena de valor del café colombiano</w:t>
      </w:r>
    </w:p>
    <w:p w14:paraId="632A05A0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2.6.1. Eslabones productivos y comerciales</w:t>
      </w:r>
    </w:p>
    <w:p w14:paraId="5E26B0A7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2.6.2. Distribución del valor entre actores</w:t>
      </w:r>
    </w:p>
    <w:p w14:paraId="0D53D53B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2.6.3. El caficultor en el eslabón de menor captura</w:t>
      </w:r>
    </w:p>
    <w:p w14:paraId="6427F4C0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2.7. Segmentación del café</w:t>
      </w:r>
    </w:p>
    <w:p w14:paraId="6BE54C0E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2.7.1. Café convencional vs. cafés especiales</w:t>
      </w:r>
    </w:p>
    <w:p w14:paraId="56A39AEA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 xml:space="preserve">2.7.2. Métodos de procesamiento (lavado, </w:t>
      </w:r>
      <w:proofErr w:type="spellStart"/>
      <w:r w:rsidRPr="009B1257">
        <w:rPr>
          <w:rFonts w:ascii="Times New Roman" w:hAnsi="Times New Roman" w:cs="Times New Roman"/>
          <w:sz w:val="20"/>
          <w:szCs w:val="20"/>
          <w:lang w:val="es-CO"/>
        </w:rPr>
        <w:t>honey</w:t>
      </w:r>
      <w:proofErr w:type="spellEnd"/>
      <w:r w:rsidRPr="009B1257">
        <w:rPr>
          <w:rFonts w:ascii="Times New Roman" w:hAnsi="Times New Roman" w:cs="Times New Roman"/>
          <w:sz w:val="20"/>
          <w:szCs w:val="20"/>
          <w:lang w:val="es-CO"/>
        </w:rPr>
        <w:t>, natural)</w:t>
      </w:r>
    </w:p>
    <w:p w14:paraId="5D7AD727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2.7.3. Café de origen y trazabilidad</w:t>
      </w:r>
    </w:p>
    <w:p w14:paraId="4C9CCC55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2.8. Políticas e institucionalidad cafetera en Colombia</w:t>
      </w:r>
    </w:p>
    <w:p w14:paraId="3657B890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2.8.1. La Federación Nacional de Cafeteros (FNC)</w:t>
      </w:r>
    </w:p>
    <w:p w14:paraId="5E50446D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 xml:space="preserve">2.8.2. El </w:t>
      </w:r>
      <w:proofErr w:type="spellStart"/>
      <w:r w:rsidRPr="009B1257">
        <w:rPr>
          <w:rFonts w:ascii="Times New Roman" w:hAnsi="Times New Roman" w:cs="Times New Roman"/>
          <w:sz w:val="20"/>
          <w:szCs w:val="20"/>
          <w:lang w:val="es-CO"/>
        </w:rPr>
        <w:t>FEPCafé</w:t>
      </w:r>
      <w:proofErr w:type="spellEnd"/>
      <w:r w:rsidRPr="009B1257">
        <w:rPr>
          <w:rFonts w:ascii="Times New Roman" w:hAnsi="Times New Roman" w:cs="Times New Roman"/>
          <w:sz w:val="20"/>
          <w:szCs w:val="20"/>
          <w:lang w:val="es-CO"/>
        </w:rPr>
        <w:t xml:space="preserve"> y el costo medio de producción</w:t>
      </w:r>
    </w:p>
    <w:p w14:paraId="485DFAD0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2.8.3. Programas de apoyo y financiamiento</w:t>
      </w:r>
    </w:p>
    <w:p w14:paraId="586BE902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2.9. Caficultura y posconflicto</w:t>
      </w:r>
    </w:p>
    <w:p w14:paraId="3ED6DDB3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2.9.1. Territorios PDET cafeteros</w:t>
      </w:r>
    </w:p>
    <w:p w14:paraId="5403EC0D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2.9.2. Iniciativas de café para la paz</w:t>
      </w:r>
    </w:p>
    <w:p w14:paraId="35838843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2.9.3. La red FEMNCAFE</w:t>
      </w:r>
    </w:p>
    <w:p w14:paraId="120F4E81" w14:textId="77777777" w:rsidR="006A522B" w:rsidRPr="009B1257" w:rsidRDefault="00000000">
      <w:pPr>
        <w:spacing w:before="280" w:after="4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CAPÍTULO 3: GOBERNANZA Y CADENAS GLOBALES DE VALOR</w:t>
      </w:r>
    </w:p>
    <w:p w14:paraId="70436E5F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3.1. Introducción</w:t>
      </w:r>
    </w:p>
    <w:p w14:paraId="65EE2599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3.2. El marco analítico de las Cadenas Globales de Valor</w:t>
      </w:r>
    </w:p>
    <w:p w14:paraId="7C255EC8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3.2.1. Origen y evolución del concepto</w:t>
      </w:r>
    </w:p>
    <w:p w14:paraId="40B216B1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3.2.2. Las tres variables determinantes de Gereffi, Humphrey y Sturgeon</w:t>
      </w:r>
    </w:p>
    <w:p w14:paraId="0B1D5DD8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3.2.3. Los cinco tipos de gobernanza</w:t>
      </w:r>
    </w:p>
    <w:p w14:paraId="00A5DD45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3.3. La cadena cautiva del café colombiano</w:t>
      </w:r>
    </w:p>
    <w:p w14:paraId="76266393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3.3.1. Caracterización como oligopsonio</w:t>
      </w:r>
    </w:p>
    <w:p w14:paraId="39C6F17E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3.3.2. Mecanismos de extracción de renta territorial</w:t>
      </w:r>
    </w:p>
    <w:p w14:paraId="202B5427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3.3.3. Asimetrías estructurales de poder</w:t>
      </w:r>
    </w:p>
    <w:p w14:paraId="39482CCB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3.4. La evolución del poder en la cadena del café (</w:t>
      </w:r>
      <w:proofErr w:type="spellStart"/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Grabs</w:t>
      </w:r>
      <w:proofErr w:type="spellEnd"/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 xml:space="preserve"> y Ponte, 2019)</w:t>
      </w:r>
    </w:p>
    <w:p w14:paraId="20EB2C4F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3.4.1. Tres fases históricas (pre-1989, 1989-2000, post-2000)</w:t>
      </w:r>
    </w:p>
    <w:p w14:paraId="790F8DE4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3.4.2. Los cuatro tipos de poder en la cadena</w:t>
      </w:r>
    </w:p>
    <w:p w14:paraId="64C350B2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3.4.3. La paradoja de los sellos de sostenibilidad</w:t>
      </w:r>
    </w:p>
    <w:p w14:paraId="33FBBA05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 xml:space="preserve">3.5. </w:t>
      </w:r>
      <w:proofErr w:type="spellStart"/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Upgrading</w:t>
      </w:r>
      <w:proofErr w:type="spellEnd"/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 xml:space="preserve"> en cadenas globales</w:t>
      </w:r>
    </w:p>
    <w:p w14:paraId="5B1C273C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 xml:space="preserve">3.5.1. </w:t>
      </w:r>
      <w:proofErr w:type="spellStart"/>
      <w:r w:rsidRPr="009B1257">
        <w:rPr>
          <w:rFonts w:ascii="Times New Roman" w:hAnsi="Times New Roman" w:cs="Times New Roman"/>
          <w:sz w:val="20"/>
          <w:szCs w:val="20"/>
          <w:lang w:val="es-CO"/>
        </w:rPr>
        <w:t>Upgrading</w:t>
      </w:r>
      <w:proofErr w:type="spellEnd"/>
      <w:r w:rsidRPr="009B1257">
        <w:rPr>
          <w:rFonts w:ascii="Times New Roman" w:hAnsi="Times New Roman" w:cs="Times New Roman"/>
          <w:sz w:val="20"/>
          <w:szCs w:val="20"/>
          <w:lang w:val="es-CO"/>
        </w:rPr>
        <w:t xml:space="preserve"> de proceso, producto, funcional e intersectorial</w:t>
      </w:r>
    </w:p>
    <w:p w14:paraId="621A0555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3.5.2. Trayectorias posibles para organizaciones de pequeños productores</w:t>
      </w:r>
    </w:p>
    <w:p w14:paraId="1B4B743C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3.5.3. Hacia cadenas modulares y relacionales</w:t>
      </w:r>
    </w:p>
    <w:p w14:paraId="38B6D9EB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3.6. Redes de producción global (GPN 2.0)</w:t>
      </w:r>
    </w:p>
    <w:p w14:paraId="59D2E815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3.6.1. Actores no empresariales en la cadena</w:t>
      </w:r>
    </w:p>
    <w:p w14:paraId="0B1E540F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lastRenderedPageBreak/>
        <w:t>3.6.2. El papel del Estado, las ONG y la cooperación internacional</w:t>
      </w:r>
    </w:p>
    <w:p w14:paraId="258B828A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3.6.3. Aplicación al contexto PDET</w:t>
      </w:r>
    </w:p>
    <w:p w14:paraId="741BBFB9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3.7. Diagnóstico del café colombiano como caso paradigmático</w:t>
      </w:r>
    </w:p>
    <w:p w14:paraId="67970302" w14:textId="77777777" w:rsidR="006A522B" w:rsidRPr="009B1257" w:rsidRDefault="00000000">
      <w:pPr>
        <w:spacing w:before="280" w:after="4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CAPÍTULO 4: GOBERNANZA DE COMUNES, POSCONFLICTO Y SOSTENIBILIDAD</w:t>
      </w:r>
    </w:p>
    <w:p w14:paraId="275B45A9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4.1. Introducción</w:t>
      </w:r>
    </w:p>
    <w:p w14:paraId="738C2761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4.2. La teoría de gobernanza de comunes (Ostrom, 1990)</w:t>
      </w:r>
    </w:p>
    <w:p w14:paraId="62CF9CE9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4.2.1. El problema de los recursos de uso común</w:t>
      </w:r>
    </w:p>
    <w:p w14:paraId="51C38D68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4.2.2. Los ocho principios de diseño institucional</w:t>
      </w:r>
    </w:p>
    <w:p w14:paraId="5614A4CC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 xml:space="preserve">4.2.3. Validación empírica </w:t>
      </w:r>
      <w:proofErr w:type="spellStart"/>
      <w:r w:rsidRPr="009B1257">
        <w:rPr>
          <w:rFonts w:ascii="Times New Roman" w:hAnsi="Times New Roman" w:cs="Times New Roman"/>
          <w:sz w:val="20"/>
          <w:szCs w:val="20"/>
          <w:lang w:val="es-CO"/>
        </w:rPr>
        <w:t>multicontextual</w:t>
      </w:r>
      <w:proofErr w:type="spellEnd"/>
      <w:r w:rsidRPr="009B1257">
        <w:rPr>
          <w:rFonts w:ascii="Times New Roman" w:hAnsi="Times New Roman" w:cs="Times New Roman"/>
          <w:sz w:val="20"/>
          <w:szCs w:val="20"/>
          <w:lang w:val="es-CO"/>
        </w:rPr>
        <w:t xml:space="preserve"> (Agrawal, 2001)</w:t>
      </w:r>
    </w:p>
    <w:p w14:paraId="71031407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4.3. Capital social y posconflicto en Colombia</w:t>
      </w:r>
    </w:p>
    <w:p w14:paraId="1E243C4B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4.3.1. Erosión del capital social por el conflicto armado (Rettberg, 2010)</w:t>
      </w:r>
    </w:p>
    <w:p w14:paraId="6F29C483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4.3.2. La cultura colectiva de los firmantes de paz como activo</w:t>
      </w:r>
    </w:p>
    <w:p w14:paraId="3064C96E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4.3.3. Ausencia estatal histórica como causa estructural</w:t>
      </w:r>
    </w:p>
    <w:p w14:paraId="259053E9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4.4. Cooperativismo agroalimentario y sus fallas (Ortmann y King, 2007)</w:t>
      </w:r>
    </w:p>
    <w:p w14:paraId="2CEFC80B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4.4.1. Estructuras de gobernanza en cooperativas cafeteras colombianas</w:t>
      </w:r>
    </w:p>
    <w:p w14:paraId="05DA22E5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4.4.2. Análisis institucional de la red FEMNCAFE</w:t>
      </w:r>
    </w:p>
    <w:p w14:paraId="1C7956F4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4.5. Adaptación de Ostrom al posconflicto</w:t>
      </w:r>
    </w:p>
    <w:p w14:paraId="7609851C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4.5.1. Reformulación contextual de los ocho principios</w:t>
      </w:r>
    </w:p>
    <w:p w14:paraId="66448565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4.5.2. Principios complementarios para alta fragilidad institucional</w:t>
      </w:r>
    </w:p>
    <w:p w14:paraId="6DBE6834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4.5.3. Operacionalización: el Índice de Gobernanza (IG)</w:t>
      </w:r>
    </w:p>
    <w:p w14:paraId="3CB07E0A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4.6. Investigación acción participativa (Fals Borda, 1986)</w:t>
      </w:r>
    </w:p>
    <w:p w14:paraId="59E015E1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 xml:space="preserve">4.6.1. Fundamento epistemológico para la </w:t>
      </w:r>
      <w:proofErr w:type="spellStart"/>
      <w:r w:rsidRPr="009B1257">
        <w:rPr>
          <w:rFonts w:ascii="Times New Roman" w:hAnsi="Times New Roman" w:cs="Times New Roman"/>
          <w:sz w:val="20"/>
          <w:szCs w:val="20"/>
          <w:lang w:val="es-CO"/>
        </w:rPr>
        <w:t>co-construcción</w:t>
      </w:r>
      <w:proofErr w:type="spellEnd"/>
    </w:p>
    <w:p w14:paraId="04B44730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4.6.2. Implicaciones metodológicas</w:t>
      </w:r>
    </w:p>
    <w:p w14:paraId="131BA5E0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4.7. Sostenibilidad y compromiso ambiental en PYMES</w:t>
      </w:r>
    </w:p>
    <w:p w14:paraId="26B74703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4.7.1. Apoyo público e inversión ambiental (Benito-Hernández et al., 2023)</w:t>
      </w:r>
    </w:p>
    <w:p w14:paraId="602C0040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4.7.2. PDET como instrumento de política habilitadora</w:t>
      </w:r>
    </w:p>
    <w:p w14:paraId="13128001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4.8. Valor implícito de los atributos de sostenibilidad en el café</w:t>
      </w:r>
    </w:p>
    <w:p w14:paraId="47C5574B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4.8.1. El modelo de precios hedónicos (</w:t>
      </w:r>
      <w:proofErr w:type="spellStart"/>
      <w:r w:rsidRPr="009B1257">
        <w:rPr>
          <w:rFonts w:ascii="Times New Roman" w:hAnsi="Times New Roman" w:cs="Times New Roman"/>
          <w:sz w:val="20"/>
          <w:szCs w:val="20"/>
          <w:lang w:val="es-CO"/>
        </w:rPr>
        <w:t>Merbah</w:t>
      </w:r>
      <w:proofErr w:type="spellEnd"/>
      <w:r w:rsidRPr="009B1257">
        <w:rPr>
          <w:rFonts w:ascii="Times New Roman" w:hAnsi="Times New Roman" w:cs="Times New Roman"/>
          <w:sz w:val="20"/>
          <w:szCs w:val="20"/>
          <w:lang w:val="es-CO"/>
        </w:rPr>
        <w:t xml:space="preserve"> &amp; Benito-Hernández, 2023)</w:t>
      </w:r>
    </w:p>
    <w:p w14:paraId="78B2A32C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4.8.2. La prima por trazabilidad verificada</w:t>
      </w:r>
    </w:p>
    <w:p w14:paraId="782AC166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4.8.3. Implicaciones para el VCO</w:t>
      </w:r>
    </w:p>
    <w:p w14:paraId="1B4A4DFC" w14:textId="77777777" w:rsidR="006A522B" w:rsidRPr="009B1257" w:rsidRDefault="00000000">
      <w:pPr>
        <w:spacing w:before="280" w:after="4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CAPÍTULO 5: TECNOLOGÍA DIGITAL, SOBERANÍA DE DATOS Y DISEÑO SOCIOTÉCNICO</w:t>
      </w:r>
    </w:p>
    <w:p w14:paraId="0C9E6DA1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5.1. Introducción</w:t>
      </w:r>
    </w:p>
    <w:p w14:paraId="34E06BFE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5.2. La teoría de sistemas sociotécnicos</w:t>
      </w:r>
    </w:p>
    <w:p w14:paraId="209BB316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5.2.1. Orígenes: la tradición de Tavistock (</w:t>
      </w:r>
      <w:proofErr w:type="spellStart"/>
      <w:r w:rsidRPr="009B1257">
        <w:rPr>
          <w:rFonts w:ascii="Times New Roman" w:hAnsi="Times New Roman" w:cs="Times New Roman"/>
          <w:sz w:val="20"/>
          <w:szCs w:val="20"/>
          <w:lang w:val="es-CO"/>
        </w:rPr>
        <w:t>Trist</w:t>
      </w:r>
      <w:proofErr w:type="spellEnd"/>
      <w:r w:rsidRPr="009B1257">
        <w:rPr>
          <w:rFonts w:ascii="Times New Roman" w:hAnsi="Times New Roman" w:cs="Times New Roman"/>
          <w:sz w:val="20"/>
          <w:szCs w:val="20"/>
          <w:lang w:val="es-CO"/>
        </w:rPr>
        <w:t xml:space="preserve"> y Bamforth, 1951)</w:t>
      </w:r>
    </w:p>
    <w:p w14:paraId="1032153B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 xml:space="preserve">5.2.2. Sistemas abiertos y optimización conjunta (Emery y </w:t>
      </w:r>
      <w:proofErr w:type="spellStart"/>
      <w:r w:rsidRPr="009B1257">
        <w:rPr>
          <w:rFonts w:ascii="Times New Roman" w:hAnsi="Times New Roman" w:cs="Times New Roman"/>
          <w:sz w:val="20"/>
          <w:szCs w:val="20"/>
          <w:lang w:val="es-CO"/>
        </w:rPr>
        <w:t>Trist</w:t>
      </w:r>
      <w:proofErr w:type="spellEnd"/>
      <w:r w:rsidRPr="009B1257">
        <w:rPr>
          <w:rFonts w:ascii="Times New Roman" w:hAnsi="Times New Roman" w:cs="Times New Roman"/>
          <w:sz w:val="20"/>
          <w:szCs w:val="20"/>
          <w:lang w:val="es-CO"/>
        </w:rPr>
        <w:t xml:space="preserve">, 1965; </w:t>
      </w:r>
      <w:proofErr w:type="spellStart"/>
      <w:r w:rsidRPr="009B1257">
        <w:rPr>
          <w:rFonts w:ascii="Times New Roman" w:hAnsi="Times New Roman" w:cs="Times New Roman"/>
          <w:sz w:val="20"/>
          <w:szCs w:val="20"/>
          <w:lang w:val="es-CO"/>
        </w:rPr>
        <w:t>Trist</w:t>
      </w:r>
      <w:proofErr w:type="spellEnd"/>
      <w:r w:rsidRPr="009B1257">
        <w:rPr>
          <w:rFonts w:ascii="Times New Roman" w:hAnsi="Times New Roman" w:cs="Times New Roman"/>
          <w:sz w:val="20"/>
          <w:szCs w:val="20"/>
          <w:lang w:val="es-CO"/>
        </w:rPr>
        <w:t>, 1981)</w:t>
      </w:r>
    </w:p>
    <w:p w14:paraId="6C6541C9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 xml:space="preserve">5.2.3. Vigencia contemporánea (Abbas y Michael, 2026; Horváth y </w:t>
      </w:r>
      <w:proofErr w:type="spellStart"/>
      <w:r w:rsidRPr="009B1257">
        <w:rPr>
          <w:rFonts w:ascii="Times New Roman" w:hAnsi="Times New Roman" w:cs="Times New Roman"/>
          <w:sz w:val="20"/>
          <w:szCs w:val="20"/>
          <w:lang w:val="es-CO"/>
        </w:rPr>
        <w:t>Kemser</w:t>
      </w:r>
      <w:proofErr w:type="spellEnd"/>
      <w:r w:rsidRPr="009B1257">
        <w:rPr>
          <w:rFonts w:ascii="Times New Roman" w:hAnsi="Times New Roman" w:cs="Times New Roman"/>
          <w:sz w:val="20"/>
          <w:szCs w:val="20"/>
          <w:lang w:val="es-CO"/>
        </w:rPr>
        <w:t>, 2026)</w:t>
      </w:r>
    </w:p>
    <w:p w14:paraId="0399B58F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5.2.4. El subsistema social y el subsistema técnico del GDA</w:t>
      </w:r>
    </w:p>
    <w:p w14:paraId="3AD6D40A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 xml:space="preserve">5.3. </w:t>
      </w:r>
      <w:proofErr w:type="spellStart"/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Blockchain</w:t>
      </w:r>
      <w:proofErr w:type="spellEnd"/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 xml:space="preserve"> y gobernanza de comunes</w:t>
      </w:r>
    </w:p>
    <w:p w14:paraId="5E915A19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 xml:space="preserve">5.3.1. Las seis </w:t>
      </w:r>
      <w:proofErr w:type="spellStart"/>
      <w:r w:rsidRPr="009B1257">
        <w:rPr>
          <w:rFonts w:ascii="Times New Roman" w:hAnsi="Times New Roman" w:cs="Times New Roman"/>
          <w:sz w:val="20"/>
          <w:szCs w:val="20"/>
          <w:lang w:val="es-CO"/>
        </w:rPr>
        <w:t>affordances</w:t>
      </w:r>
      <w:proofErr w:type="spellEnd"/>
      <w:r w:rsidRPr="009B1257">
        <w:rPr>
          <w:rFonts w:ascii="Times New Roman" w:hAnsi="Times New Roman" w:cs="Times New Roman"/>
          <w:sz w:val="20"/>
          <w:szCs w:val="20"/>
          <w:lang w:val="es-CO"/>
        </w:rPr>
        <w:t xml:space="preserve"> de Rozas et al. (2021)</w:t>
      </w:r>
    </w:p>
    <w:p w14:paraId="093A6274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5.3.2. Codificación de la confianza</w:t>
      </w:r>
    </w:p>
    <w:p w14:paraId="1FDFA8CD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5.3.3. Riesgos de la adopción top-</w:t>
      </w:r>
      <w:proofErr w:type="spellStart"/>
      <w:r w:rsidRPr="009B1257">
        <w:rPr>
          <w:rFonts w:ascii="Times New Roman" w:hAnsi="Times New Roman" w:cs="Times New Roman"/>
          <w:sz w:val="20"/>
          <w:szCs w:val="20"/>
          <w:lang w:val="es-CO"/>
        </w:rPr>
        <w:t>down</w:t>
      </w:r>
      <w:proofErr w:type="spellEnd"/>
    </w:p>
    <w:p w14:paraId="625B7DD6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 xml:space="preserve">5.4. </w:t>
      </w:r>
      <w:proofErr w:type="spellStart"/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Blockchain</w:t>
      </w:r>
      <w:proofErr w:type="spellEnd"/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 xml:space="preserve"> en cadenas agroalimentarias</w:t>
      </w:r>
    </w:p>
    <w:p w14:paraId="6AF771E0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5.4.1. Trazabilidad y verificación (</w:t>
      </w:r>
      <w:proofErr w:type="spellStart"/>
      <w:r w:rsidRPr="009B1257">
        <w:rPr>
          <w:rFonts w:ascii="Times New Roman" w:hAnsi="Times New Roman" w:cs="Times New Roman"/>
          <w:sz w:val="20"/>
          <w:szCs w:val="20"/>
          <w:lang w:val="es-CO"/>
        </w:rPr>
        <w:t>Werbach</w:t>
      </w:r>
      <w:proofErr w:type="spellEnd"/>
      <w:r w:rsidRPr="009B1257">
        <w:rPr>
          <w:rFonts w:ascii="Times New Roman" w:hAnsi="Times New Roman" w:cs="Times New Roman"/>
          <w:sz w:val="20"/>
          <w:szCs w:val="20"/>
          <w:lang w:val="es-CO"/>
        </w:rPr>
        <w:t>, 2018)</w:t>
      </w:r>
    </w:p>
    <w:p w14:paraId="31D8973C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lastRenderedPageBreak/>
        <w:t>5.4.2. Aplicaciones en café (</w:t>
      </w:r>
      <w:proofErr w:type="spellStart"/>
      <w:r w:rsidRPr="009B1257">
        <w:rPr>
          <w:rFonts w:ascii="Times New Roman" w:hAnsi="Times New Roman" w:cs="Times New Roman"/>
          <w:sz w:val="20"/>
          <w:szCs w:val="20"/>
          <w:lang w:val="es-CO"/>
        </w:rPr>
        <w:t>Miatton</w:t>
      </w:r>
      <w:proofErr w:type="spellEnd"/>
      <w:r w:rsidRPr="009B1257">
        <w:rPr>
          <w:rFonts w:ascii="Times New Roman" w:hAnsi="Times New Roman" w:cs="Times New Roman"/>
          <w:sz w:val="20"/>
          <w:szCs w:val="20"/>
          <w:lang w:val="es-CO"/>
        </w:rPr>
        <w:t xml:space="preserve"> y Amado, 2020; </w:t>
      </w:r>
      <w:proofErr w:type="spellStart"/>
      <w:r w:rsidRPr="009B1257">
        <w:rPr>
          <w:rFonts w:ascii="Times New Roman" w:hAnsi="Times New Roman" w:cs="Times New Roman"/>
          <w:sz w:val="20"/>
          <w:szCs w:val="20"/>
          <w:lang w:val="es-CO"/>
        </w:rPr>
        <w:t>Elmatsani</w:t>
      </w:r>
      <w:proofErr w:type="spellEnd"/>
      <w:r w:rsidRPr="009B1257">
        <w:rPr>
          <w:rFonts w:ascii="Times New Roman" w:hAnsi="Times New Roman" w:cs="Times New Roman"/>
          <w:sz w:val="20"/>
          <w:szCs w:val="20"/>
          <w:lang w:val="es-CO"/>
        </w:rPr>
        <w:t xml:space="preserve"> et al., 2026)</w:t>
      </w:r>
    </w:p>
    <w:p w14:paraId="5D2EB22F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5.4.3. El EUDR y la georreferenciación obligatoria</w:t>
      </w:r>
    </w:p>
    <w:p w14:paraId="6376A9A9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5.5. Soberanía de datos como recurso de uso común</w:t>
      </w:r>
    </w:p>
    <w:p w14:paraId="5A57AA82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5.5.1. Los datos de la finca como activo colectivo</w:t>
      </w:r>
    </w:p>
    <w:p w14:paraId="70352F91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5.5.2. Arquitecturas técnicas de soberanía</w:t>
      </w:r>
    </w:p>
    <w:p w14:paraId="436EAE8F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5.5.3. Implicaciones éticas</w:t>
      </w:r>
    </w:p>
    <w:p w14:paraId="082B788C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 xml:space="preserve">5.6. Instrumentos financieros complementarios al VCO: </w:t>
      </w:r>
      <w:proofErr w:type="spellStart"/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blended</w:t>
      </w:r>
      <w:proofErr w:type="spellEnd"/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 xml:space="preserve"> </w:t>
      </w:r>
      <w:proofErr w:type="spellStart"/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finance</w:t>
      </w:r>
      <w:proofErr w:type="spellEnd"/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 xml:space="preserve"> y créditos de carbono</w:t>
      </w:r>
    </w:p>
    <w:p w14:paraId="06BC491C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 xml:space="preserve">5.6.1. </w:t>
      </w:r>
      <w:proofErr w:type="spellStart"/>
      <w:r w:rsidRPr="009B1257">
        <w:rPr>
          <w:rFonts w:ascii="Times New Roman" w:hAnsi="Times New Roman" w:cs="Times New Roman"/>
          <w:sz w:val="20"/>
          <w:szCs w:val="20"/>
          <w:lang w:val="es-CO"/>
        </w:rPr>
        <w:t>Blended</w:t>
      </w:r>
      <w:proofErr w:type="spellEnd"/>
      <w:r w:rsidRPr="009B1257">
        <w:rPr>
          <w:rFonts w:ascii="Times New Roman" w:hAnsi="Times New Roman" w:cs="Times New Roman"/>
          <w:sz w:val="20"/>
          <w:szCs w:val="20"/>
          <w:lang w:val="es-CO"/>
        </w:rPr>
        <w:t xml:space="preserve"> </w:t>
      </w:r>
      <w:proofErr w:type="spellStart"/>
      <w:r w:rsidRPr="009B1257">
        <w:rPr>
          <w:rFonts w:ascii="Times New Roman" w:hAnsi="Times New Roman" w:cs="Times New Roman"/>
          <w:sz w:val="20"/>
          <w:szCs w:val="20"/>
          <w:lang w:val="es-CO"/>
        </w:rPr>
        <w:t>finance</w:t>
      </w:r>
      <w:proofErr w:type="spellEnd"/>
      <w:r w:rsidRPr="009B1257">
        <w:rPr>
          <w:rFonts w:ascii="Times New Roman" w:hAnsi="Times New Roman" w:cs="Times New Roman"/>
          <w:sz w:val="20"/>
          <w:szCs w:val="20"/>
          <w:lang w:val="es-CO"/>
        </w:rPr>
        <w:t xml:space="preserve"> para agricultura (Havemann et al., 2020)</w:t>
      </w:r>
    </w:p>
    <w:p w14:paraId="004D7E22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 xml:space="preserve">5.6.2. </w:t>
      </w:r>
      <w:proofErr w:type="spellStart"/>
      <w:r w:rsidRPr="009B1257">
        <w:rPr>
          <w:rFonts w:ascii="Times New Roman" w:hAnsi="Times New Roman" w:cs="Times New Roman"/>
          <w:sz w:val="20"/>
          <w:szCs w:val="20"/>
          <w:lang w:val="es-CO"/>
        </w:rPr>
        <w:t>Blockchain</w:t>
      </w:r>
      <w:proofErr w:type="spellEnd"/>
      <w:r w:rsidRPr="009B1257">
        <w:rPr>
          <w:rFonts w:ascii="Times New Roman" w:hAnsi="Times New Roman" w:cs="Times New Roman"/>
          <w:sz w:val="20"/>
          <w:szCs w:val="20"/>
          <w:lang w:val="es-CO"/>
        </w:rPr>
        <w:t xml:space="preserve"> y regenerative </w:t>
      </w:r>
      <w:proofErr w:type="spellStart"/>
      <w:r w:rsidRPr="009B1257">
        <w:rPr>
          <w:rFonts w:ascii="Times New Roman" w:hAnsi="Times New Roman" w:cs="Times New Roman"/>
          <w:sz w:val="20"/>
          <w:szCs w:val="20"/>
          <w:lang w:val="es-CO"/>
        </w:rPr>
        <w:t>finance</w:t>
      </w:r>
      <w:proofErr w:type="spellEnd"/>
      <w:r w:rsidRPr="009B1257">
        <w:rPr>
          <w:rFonts w:ascii="Times New Roman" w:hAnsi="Times New Roman" w:cs="Times New Roman"/>
          <w:sz w:val="20"/>
          <w:szCs w:val="20"/>
          <w:lang w:val="es-CO"/>
        </w:rPr>
        <w:t xml:space="preserve"> (Schletz et al., 2023)</w:t>
      </w:r>
    </w:p>
    <w:p w14:paraId="37EC925A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5.6.3. Instrumentos por horizonte temporal e implicaciones para la captura de valor en origen</w:t>
      </w:r>
    </w:p>
    <w:p w14:paraId="09B762CA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5.7. Síntesis del marco teórico integrado</w:t>
      </w:r>
    </w:p>
    <w:p w14:paraId="5B5583F2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5.7.1. Articulación de los pilares: CGV + comunes + digital bajo la lente sociotécnica</w:t>
      </w:r>
    </w:p>
    <w:p w14:paraId="7AB3CD54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5.7.2. El modelo conceptual del GDA como sistema sociotécnico de optimización conjunta</w:t>
      </w:r>
    </w:p>
    <w:p w14:paraId="5ED8F75D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5.7.3. Proposiciones teóricas e hipótesis derivadas</w:t>
      </w:r>
    </w:p>
    <w:p w14:paraId="4496A1B2" w14:textId="77777777" w:rsidR="006A522B" w:rsidRPr="009B1257" w:rsidRDefault="00000000">
      <w:pPr>
        <w:spacing w:before="280" w:after="4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CAPÍTULO 6: DIAGNÓSTICO DEL VALOR CAPTURADO EN ORIGEN — ANÁLISIS DE LA CADENA DEL CAFÉ COLOMBIANO PDET</w:t>
      </w:r>
    </w:p>
    <w:p w14:paraId="61C60D9E" w14:textId="1301D509" w:rsidR="006A522B" w:rsidRPr="009B1257" w:rsidRDefault="00000000">
      <w:pPr>
        <w:spacing w:after="8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i/>
          <w:sz w:val="20"/>
          <w:szCs w:val="20"/>
          <w:lang w:val="es-CO"/>
        </w:rPr>
        <w:t xml:space="preserve">(Fase I — Diagnóstica </w:t>
      </w:r>
      <w:r w:rsidR="009B1257">
        <w:rPr>
          <w:rFonts w:ascii="Times New Roman" w:hAnsi="Times New Roman" w:cs="Times New Roman"/>
          <w:i/>
          <w:sz w:val="20"/>
          <w:szCs w:val="20"/>
          <w:lang w:val="es-CO"/>
        </w:rPr>
        <w:t>y para la construcción del primer artículo</w:t>
      </w:r>
      <w:r w:rsidRPr="009B1257">
        <w:rPr>
          <w:rFonts w:ascii="Times New Roman" w:hAnsi="Times New Roman" w:cs="Times New Roman"/>
          <w:i/>
          <w:sz w:val="20"/>
          <w:szCs w:val="20"/>
          <w:lang w:val="es-CO"/>
        </w:rPr>
        <w:t>)</w:t>
      </w:r>
    </w:p>
    <w:p w14:paraId="06054C14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6.1. Introducción</w:t>
      </w:r>
    </w:p>
    <w:p w14:paraId="14446167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6.2. Marco analítico de la distribución de valor</w:t>
      </w:r>
    </w:p>
    <w:p w14:paraId="1E59607F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6.2.1. Definición y medición del Valor Capturado en Origen (VCO)</w:t>
      </w:r>
    </w:p>
    <w:p w14:paraId="65D7A4D4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6.2.2. Variables del modelo de diagnóstico</w:t>
      </w:r>
    </w:p>
    <w:p w14:paraId="1CDB37CD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6.2.3. Construcción del Índice de Consolidación PDET (IPDET) como moderador</w:t>
      </w:r>
    </w:p>
    <w:p w14:paraId="20F884B2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6.3. Metodología</w:t>
      </w:r>
    </w:p>
    <w:p w14:paraId="7907769B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6.3.1. Enfoque mixto secuencial y rol del DSR en la Fase I</w:t>
      </w:r>
    </w:p>
    <w:p w14:paraId="2E5DFF43" w14:textId="7970FBFB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6.3.2. Selección de organizaciones y territorios</w:t>
      </w:r>
    </w:p>
    <w:p w14:paraId="671676FE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6.3.3. Instrumentos cualitativos: entrevistas semiestructuradas, SNA y mapeo de la cadena</w:t>
      </w:r>
    </w:p>
    <w:p w14:paraId="63DFDD51" w14:textId="7E7FC5A4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6.3.4. Análisis Cualitativo Comparativo (</w:t>
      </w:r>
      <w:proofErr w:type="spellStart"/>
      <w:r w:rsidRPr="009B1257">
        <w:rPr>
          <w:rFonts w:ascii="Times New Roman" w:hAnsi="Times New Roman" w:cs="Times New Roman"/>
          <w:sz w:val="20"/>
          <w:szCs w:val="20"/>
          <w:lang w:val="es-CO"/>
        </w:rPr>
        <w:t>fsQCA</w:t>
      </w:r>
      <w:proofErr w:type="spellEnd"/>
      <w:r w:rsidRPr="009B1257">
        <w:rPr>
          <w:rFonts w:ascii="Times New Roman" w:hAnsi="Times New Roman" w:cs="Times New Roman"/>
          <w:sz w:val="20"/>
          <w:szCs w:val="20"/>
          <w:lang w:val="es-CO"/>
        </w:rPr>
        <w:t>): configuraciones institucionales para VCO alto</w:t>
      </w:r>
    </w:p>
    <w:p w14:paraId="1E3A4D9C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6.3.5. Integración de resultados cualitativos y cuantitativos</w:t>
      </w:r>
    </w:p>
    <w:p w14:paraId="3DC023B4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6.4. Resultados</w:t>
      </w:r>
    </w:p>
    <w:p w14:paraId="0F26758E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6.4.1. Mapeo de la cadena del café colombiano hasta el mercado europeo</w:t>
      </w:r>
    </w:p>
    <w:p w14:paraId="51786ECC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6.4.2. Distribución cuantitativa del valor por eslabón</w:t>
      </w:r>
    </w:p>
    <w:p w14:paraId="143F7A61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6.4.3. VCO inicial (VCO₀) de las organizaciones estudiadas</w:t>
      </w:r>
    </w:p>
    <w:p w14:paraId="62468ECA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6.4.4. Diagnóstico del capital social posconflicto (resultados SNA)</w:t>
      </w:r>
    </w:p>
    <w:p w14:paraId="47E0B406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6.4.5. IPDET por municipio y categorización territorial</w:t>
      </w:r>
    </w:p>
    <w:p w14:paraId="12671F74" w14:textId="06CE0F5B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 xml:space="preserve">6.4.6. Configuraciones necesarias y suficientes para VCO alto (resultados </w:t>
      </w:r>
      <w:proofErr w:type="spellStart"/>
      <w:r w:rsidRPr="009B1257">
        <w:rPr>
          <w:rFonts w:ascii="Times New Roman" w:hAnsi="Times New Roman" w:cs="Times New Roman"/>
          <w:sz w:val="20"/>
          <w:szCs w:val="20"/>
          <w:lang w:val="es-CO"/>
        </w:rPr>
        <w:t>fsQCA</w:t>
      </w:r>
      <w:proofErr w:type="spellEnd"/>
      <w:r w:rsidRPr="009B1257">
        <w:rPr>
          <w:rFonts w:ascii="Times New Roman" w:hAnsi="Times New Roman" w:cs="Times New Roman"/>
          <w:sz w:val="20"/>
          <w:szCs w:val="20"/>
          <w:lang w:val="es-CO"/>
        </w:rPr>
        <w:t>)</w:t>
      </w:r>
    </w:p>
    <w:p w14:paraId="192E4D61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6.5. Discusión</w:t>
      </w:r>
    </w:p>
    <w:p w14:paraId="205B4A79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6.5.1. Comparación con la literatura previa</w:t>
      </w:r>
    </w:p>
    <w:p w14:paraId="6944BB54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6.5.2. Patrones emergentes en la red FEMNCAFE</w:t>
      </w:r>
    </w:p>
    <w:p w14:paraId="0CD36846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6.5.3. Implicaciones para el diseño del modelo GDA</w:t>
      </w:r>
    </w:p>
    <w:p w14:paraId="1A7B70A7" w14:textId="77777777" w:rsidR="00D7073F" w:rsidRDefault="00D7073F">
      <w:pPr>
        <w:spacing w:before="280" w:after="40"/>
        <w:rPr>
          <w:rFonts w:ascii="Times New Roman" w:hAnsi="Times New Roman" w:cs="Times New Roman"/>
          <w:b/>
          <w:sz w:val="20"/>
          <w:szCs w:val="20"/>
          <w:lang w:val="es-CO"/>
        </w:rPr>
      </w:pPr>
    </w:p>
    <w:p w14:paraId="55897C47" w14:textId="77777777" w:rsidR="00D7073F" w:rsidRDefault="00D7073F">
      <w:pPr>
        <w:spacing w:before="280" w:after="40"/>
        <w:rPr>
          <w:rFonts w:ascii="Times New Roman" w:hAnsi="Times New Roman" w:cs="Times New Roman"/>
          <w:b/>
          <w:sz w:val="20"/>
          <w:szCs w:val="20"/>
          <w:lang w:val="es-CO"/>
        </w:rPr>
      </w:pPr>
    </w:p>
    <w:p w14:paraId="25540858" w14:textId="0DFD9D55" w:rsidR="006A522B" w:rsidRPr="009B1257" w:rsidRDefault="00000000">
      <w:pPr>
        <w:spacing w:before="280" w:after="4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lastRenderedPageBreak/>
        <w:t>CAPÍTULO 7: DISEÑO Y VALIDACIÓN DEL MODELO GDA — ENFOQUE PARTICIPATIVO Y DELPHI</w:t>
      </w:r>
    </w:p>
    <w:p w14:paraId="23D0D350" w14:textId="15814AF7" w:rsidR="006A522B" w:rsidRPr="009B1257" w:rsidRDefault="00000000">
      <w:pPr>
        <w:spacing w:after="8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i/>
          <w:sz w:val="20"/>
          <w:szCs w:val="20"/>
          <w:lang w:val="es-CO"/>
        </w:rPr>
        <w:t xml:space="preserve">(Fase II — Constructiva </w:t>
      </w:r>
      <w:r w:rsidR="009B1257">
        <w:rPr>
          <w:rFonts w:ascii="Times New Roman" w:hAnsi="Times New Roman" w:cs="Times New Roman"/>
          <w:i/>
          <w:sz w:val="20"/>
          <w:szCs w:val="20"/>
          <w:lang w:val="es-CO"/>
        </w:rPr>
        <w:t>y para producción del</w:t>
      </w:r>
      <w:r w:rsidRPr="009B1257">
        <w:rPr>
          <w:rFonts w:ascii="Times New Roman" w:hAnsi="Times New Roman" w:cs="Times New Roman"/>
          <w:i/>
          <w:sz w:val="20"/>
          <w:szCs w:val="20"/>
          <w:lang w:val="es-CO"/>
        </w:rPr>
        <w:t xml:space="preserve"> </w:t>
      </w:r>
      <w:r w:rsidR="009B1257">
        <w:rPr>
          <w:rFonts w:ascii="Times New Roman" w:hAnsi="Times New Roman" w:cs="Times New Roman"/>
          <w:i/>
          <w:sz w:val="20"/>
          <w:szCs w:val="20"/>
          <w:lang w:val="es-CO"/>
        </w:rPr>
        <w:t>segundo artículo</w:t>
      </w:r>
      <w:r w:rsidRPr="009B1257">
        <w:rPr>
          <w:rFonts w:ascii="Times New Roman" w:hAnsi="Times New Roman" w:cs="Times New Roman"/>
          <w:i/>
          <w:sz w:val="20"/>
          <w:szCs w:val="20"/>
          <w:lang w:val="es-CO"/>
        </w:rPr>
        <w:t>)</w:t>
      </w:r>
    </w:p>
    <w:p w14:paraId="1D477882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7.1. Introducción</w:t>
      </w:r>
    </w:p>
    <w:p w14:paraId="59E6E1E6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7.2. Diseño científico de artefactos (</w:t>
      </w:r>
      <w:proofErr w:type="spellStart"/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Design</w:t>
      </w:r>
      <w:proofErr w:type="spellEnd"/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 xml:space="preserve"> </w:t>
      </w:r>
      <w:proofErr w:type="spellStart"/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Science</w:t>
      </w:r>
      <w:proofErr w:type="spellEnd"/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 xml:space="preserve"> </w:t>
      </w:r>
      <w:proofErr w:type="spellStart"/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Research</w:t>
      </w:r>
      <w:proofErr w:type="spellEnd"/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)</w:t>
      </w:r>
    </w:p>
    <w:p w14:paraId="09752A1F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7.2.1. El paradigma de Hevner et al. (2004)</w:t>
      </w:r>
    </w:p>
    <w:p w14:paraId="6EDD9A83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7.2.2. Las tres condiciones de validez</w:t>
      </w:r>
    </w:p>
    <w:p w14:paraId="467D76B8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7.2.3. Aplicación al GDA</w:t>
      </w:r>
    </w:p>
    <w:p w14:paraId="564056AC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7.3. Metodología</w:t>
      </w:r>
    </w:p>
    <w:p w14:paraId="7D49D88D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7.3.1. Talleres de diseño participativo con las organizaciones</w:t>
      </w:r>
    </w:p>
    <w:p w14:paraId="150591C9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7.3.2. Panel Delphi: composición experta y protocolo de las tres rondas</w:t>
      </w:r>
    </w:p>
    <w:p w14:paraId="11B6898A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7.3.3. Validación comunitaria</w:t>
      </w:r>
    </w:p>
    <w:p w14:paraId="22C72B7B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7.4. Resultados</w:t>
      </w:r>
    </w:p>
    <w:p w14:paraId="4DDBD7F0" w14:textId="2EB81CEE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 xml:space="preserve">7.4.1. </w:t>
      </w:r>
      <w:r w:rsidR="00D7073F">
        <w:rPr>
          <w:rFonts w:ascii="Times New Roman" w:hAnsi="Times New Roman" w:cs="Times New Roman"/>
          <w:sz w:val="20"/>
          <w:szCs w:val="20"/>
          <w:lang w:val="es-CO"/>
        </w:rPr>
        <w:t xml:space="preserve">Subsistema Social: </w:t>
      </w:r>
      <w:proofErr w:type="spellStart"/>
      <w:r w:rsidRPr="009B1257">
        <w:rPr>
          <w:rFonts w:ascii="Times New Roman" w:hAnsi="Times New Roman" w:cs="Times New Roman"/>
          <w:sz w:val="20"/>
          <w:szCs w:val="20"/>
          <w:lang w:val="es-CO"/>
        </w:rPr>
        <w:t>Co-diseño</w:t>
      </w:r>
      <w:proofErr w:type="spellEnd"/>
      <w:r w:rsidRPr="009B1257">
        <w:rPr>
          <w:rFonts w:ascii="Times New Roman" w:hAnsi="Times New Roman" w:cs="Times New Roman"/>
          <w:sz w:val="20"/>
          <w:szCs w:val="20"/>
          <w:lang w:val="es-CO"/>
        </w:rPr>
        <w:t xml:space="preserve"> de los mecanismos de gobernanza</w:t>
      </w:r>
    </w:p>
    <w:p w14:paraId="4B86045A" w14:textId="13DD8FE1" w:rsidR="00D7073F" w:rsidRPr="009B1257" w:rsidRDefault="00000000" w:rsidP="00D7073F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 xml:space="preserve">7.4.2. </w:t>
      </w:r>
      <w:r w:rsidR="00D7073F">
        <w:rPr>
          <w:rFonts w:ascii="Times New Roman" w:hAnsi="Times New Roman" w:cs="Times New Roman"/>
          <w:sz w:val="20"/>
          <w:szCs w:val="20"/>
          <w:lang w:val="es-CO"/>
        </w:rPr>
        <w:t xml:space="preserve">Subsistema Técnico: </w:t>
      </w:r>
      <w:r w:rsidRPr="009B1257">
        <w:rPr>
          <w:rFonts w:ascii="Times New Roman" w:hAnsi="Times New Roman" w:cs="Times New Roman"/>
          <w:sz w:val="20"/>
          <w:szCs w:val="20"/>
          <w:lang w:val="es-CO"/>
        </w:rPr>
        <w:t xml:space="preserve">Arquitectura técnica del componente </w:t>
      </w:r>
      <w:proofErr w:type="spellStart"/>
      <w:r w:rsidRPr="009B1257">
        <w:rPr>
          <w:rFonts w:ascii="Times New Roman" w:hAnsi="Times New Roman" w:cs="Times New Roman"/>
          <w:sz w:val="20"/>
          <w:szCs w:val="20"/>
          <w:lang w:val="es-CO"/>
        </w:rPr>
        <w:t>blockchain</w:t>
      </w:r>
      <w:proofErr w:type="spellEnd"/>
    </w:p>
    <w:p w14:paraId="132F39D4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7.4.3. Consenso experto Delphi por variable</w:t>
      </w:r>
    </w:p>
    <w:p w14:paraId="15CA470B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7.4.4. Distribuciones a priori construidas para la simulación</w:t>
      </w:r>
    </w:p>
    <w:p w14:paraId="0C144059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7.4.5. Prototipo del modelo GDA validado</w:t>
      </w:r>
    </w:p>
    <w:p w14:paraId="7FF55784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7.5. Discusión</w:t>
      </w:r>
    </w:p>
    <w:p w14:paraId="022B6435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7.5.1. El modelo GDA como artefacto sociotécnico de optimización conjunta</w:t>
      </w:r>
    </w:p>
    <w:p w14:paraId="55B00577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7.5.2. Soberanía de datos como innovación institucional</w:t>
      </w:r>
    </w:p>
    <w:p w14:paraId="5CCE999F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7.5.3. Diferenciación frente a modelos previos</w:t>
      </w:r>
    </w:p>
    <w:p w14:paraId="7CE84F1C" w14:textId="77777777" w:rsidR="006A522B" w:rsidRPr="009B1257" w:rsidRDefault="00000000">
      <w:pPr>
        <w:spacing w:before="280" w:after="4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CAPÍTULO 8: EVALUACIÓN DEL MODELO — MONTE CARLO, SOBOL Y PRUEBAS DE ESTRÉS</w:t>
      </w:r>
    </w:p>
    <w:p w14:paraId="772FEA04" w14:textId="07A5B779" w:rsidR="006A522B" w:rsidRPr="009B1257" w:rsidRDefault="00000000">
      <w:pPr>
        <w:spacing w:after="8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i/>
          <w:sz w:val="20"/>
          <w:szCs w:val="20"/>
          <w:lang w:val="es-CO"/>
        </w:rPr>
        <w:t xml:space="preserve">(Fase III — Evaluativa </w:t>
      </w:r>
      <w:r w:rsidR="009B1257">
        <w:rPr>
          <w:rFonts w:ascii="Times New Roman" w:hAnsi="Times New Roman" w:cs="Times New Roman"/>
          <w:i/>
          <w:sz w:val="20"/>
          <w:szCs w:val="20"/>
          <w:lang w:val="es-CO"/>
        </w:rPr>
        <w:t>para la elaboración del tercer artículo</w:t>
      </w:r>
      <w:r w:rsidRPr="009B1257">
        <w:rPr>
          <w:rFonts w:ascii="Times New Roman" w:hAnsi="Times New Roman" w:cs="Times New Roman"/>
          <w:i/>
          <w:sz w:val="20"/>
          <w:szCs w:val="20"/>
          <w:lang w:val="es-CO"/>
        </w:rPr>
        <w:t>)</w:t>
      </w:r>
    </w:p>
    <w:p w14:paraId="04319D9C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8.1. Introducción</w:t>
      </w:r>
    </w:p>
    <w:p w14:paraId="7E780A69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8.2. Marco evaluativo</w:t>
      </w:r>
    </w:p>
    <w:p w14:paraId="5E346CCE" w14:textId="35E55CB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 xml:space="preserve">8.2.1. </w:t>
      </w:r>
      <w:r w:rsidR="009B1257">
        <w:rPr>
          <w:rFonts w:ascii="Times New Roman" w:hAnsi="Times New Roman" w:cs="Times New Roman"/>
          <w:sz w:val="20"/>
          <w:szCs w:val="20"/>
          <w:lang w:val="es-CO"/>
        </w:rPr>
        <w:t>Contraste de hipótesis</w:t>
      </w:r>
    </w:p>
    <w:p w14:paraId="1C3F150C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8.2.2. Variables, parámetros e indicadores</w:t>
      </w:r>
    </w:p>
    <w:p w14:paraId="3B172AA7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8.2.3. Indicadores de robustez del VCO</w:t>
      </w:r>
    </w:p>
    <w:p w14:paraId="02CC127A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8.3. Metodología</w:t>
      </w:r>
    </w:p>
    <w:p w14:paraId="69ED8292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8.3.1. Configuración del modelo de simulación Monte Carlo</w:t>
      </w:r>
    </w:p>
    <w:p w14:paraId="57B71A58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8.3.2. Implementación de los índices de sensibilidad de Sobol</w:t>
      </w:r>
    </w:p>
    <w:p w14:paraId="267A83C1" w14:textId="37182E19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8.3.3. Diseño de escenarios adversos</w:t>
      </w:r>
    </w:p>
    <w:p w14:paraId="451D382A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8.3.4. Piloto acotado e indicadores tempranos de adopción</w:t>
      </w:r>
    </w:p>
    <w:p w14:paraId="0D006DD1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8.4. Resultados</w:t>
      </w:r>
    </w:p>
    <w:p w14:paraId="64819422" w14:textId="07613418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8.4.1. Distribución del VCO bajo el modelo GDA</w:t>
      </w:r>
    </w:p>
    <w:p w14:paraId="5A1CD8CE" w14:textId="35AD4375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8.4.2. Descomposición de varianza: gobernanza vs. tecnología</w:t>
      </w:r>
    </w:p>
    <w:p w14:paraId="1FB64BBA" w14:textId="5301B931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8.4.3. Respuesta del VCO bajo escenarios adversos</w:t>
      </w:r>
    </w:p>
    <w:p w14:paraId="2F83DFD6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8.4.4. Robustez de los resultados</w:t>
      </w:r>
    </w:p>
    <w:p w14:paraId="712ED03C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8.4.5. Resultados del piloto acotado</w:t>
      </w:r>
    </w:p>
    <w:p w14:paraId="2BF7702E" w14:textId="042A76E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8.4.6. Transferibilidad en la red FEMNCAFE</w:t>
      </w:r>
    </w:p>
    <w:p w14:paraId="4E975B38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8.5. Discusión</w:t>
      </w:r>
    </w:p>
    <w:p w14:paraId="1F934A43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8.5.1. Validación o refutación de la hipótesis central</w:t>
      </w:r>
    </w:p>
    <w:p w14:paraId="7094BACA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8.5.2. Alcance y límites de la robustez de los hallazgos</w:t>
      </w:r>
    </w:p>
    <w:p w14:paraId="14CEB80B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lastRenderedPageBreak/>
        <w:t>8.5.3. Limitaciones del modelo</w:t>
      </w:r>
    </w:p>
    <w:p w14:paraId="59773DC2" w14:textId="77777777" w:rsidR="006A522B" w:rsidRPr="009B1257" w:rsidRDefault="00000000">
      <w:pPr>
        <w:spacing w:before="280" w:after="4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CAPÍTULO 9: CONCLUSIÓN GENERAL</w:t>
      </w:r>
    </w:p>
    <w:p w14:paraId="4E892B6B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9.1. Síntesis de hallazgos por capítulo</w:t>
      </w:r>
    </w:p>
    <w:p w14:paraId="7F538FF1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9.2. Respuesta a la pregunta de investigación</w:t>
      </w:r>
    </w:p>
    <w:p w14:paraId="43C61C38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9.3. Validación de las hipótesis y cumplimiento de los objetivos</w:t>
      </w:r>
    </w:p>
    <w:p w14:paraId="22355A00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9.4. Contribuciones originales al conocimiento</w:t>
      </w:r>
    </w:p>
    <w:p w14:paraId="73CA7AAD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9.4.1. Aportes teóricos</w:t>
      </w:r>
    </w:p>
    <w:p w14:paraId="39D14665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9.4.2. Aportes metodológicos</w:t>
      </w:r>
    </w:p>
    <w:p w14:paraId="2C865ACC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9.4.3. Aportes praxeológicos</w:t>
      </w:r>
    </w:p>
    <w:p w14:paraId="3956103D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9.5. Implicaciones para la política pública</w:t>
      </w:r>
    </w:p>
    <w:p w14:paraId="35B9BC9E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9.5.1. Para el marco PDET</w:t>
      </w:r>
    </w:p>
    <w:p w14:paraId="3185C5AD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9.5.2. Para la política cafetera colombiana</w:t>
      </w:r>
    </w:p>
    <w:p w14:paraId="73FD543D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9.5.3. Para la regulación europea de sostenibilidad (EUDR)</w:t>
      </w:r>
    </w:p>
    <w:p w14:paraId="5895928F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9.6. Implicaciones prácticas para las organizaciones</w:t>
      </w:r>
    </w:p>
    <w:p w14:paraId="7D244F16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9.7. Limitaciones del estudio</w:t>
      </w:r>
    </w:p>
    <w:p w14:paraId="74FB08B5" w14:textId="77777777" w:rsidR="006A522B" w:rsidRPr="009B1257" w:rsidRDefault="00000000">
      <w:pPr>
        <w:spacing w:before="6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9.8. Líneas futuras de investigación</w:t>
      </w:r>
    </w:p>
    <w:p w14:paraId="5D8A028F" w14:textId="77777777" w:rsidR="006A522B" w:rsidRPr="009B1257" w:rsidRDefault="006A522B">
      <w:pPr>
        <w:rPr>
          <w:rFonts w:ascii="Times New Roman" w:hAnsi="Times New Roman" w:cs="Times New Roman"/>
          <w:sz w:val="20"/>
          <w:szCs w:val="20"/>
          <w:lang w:val="es-CO"/>
        </w:rPr>
      </w:pPr>
    </w:p>
    <w:p w14:paraId="12911D11" w14:textId="77777777" w:rsidR="006A522B" w:rsidRPr="009B1257" w:rsidRDefault="00000000">
      <w:pPr>
        <w:spacing w:before="20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ANEXOS</w:t>
      </w:r>
    </w:p>
    <w:p w14:paraId="6414C4FA" w14:textId="77777777" w:rsidR="006A522B" w:rsidRPr="009B1257" w:rsidRDefault="00000000">
      <w:pPr>
        <w:spacing w:before="10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Anexo 1. Instrumentos de campo</w:t>
      </w:r>
    </w:p>
    <w:p w14:paraId="0BD5A6AE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A1.1. Guion de entrevistas semiestructuradas</w:t>
      </w:r>
    </w:p>
    <w:p w14:paraId="1E681E5B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A1.2. Protocolo del Análisis de Redes Sociales (SNA)</w:t>
      </w:r>
    </w:p>
    <w:p w14:paraId="1B6144EE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A1.3. Cuestionario del panel Delphi</w:t>
      </w:r>
    </w:p>
    <w:p w14:paraId="7D9E16F4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A1.4. Formularios de consentimiento informado</w:t>
      </w:r>
    </w:p>
    <w:p w14:paraId="34E38D32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A1.5. Encuesta de transferibilidad FEMNCAFE</w:t>
      </w:r>
    </w:p>
    <w:p w14:paraId="18AC8910" w14:textId="77777777" w:rsidR="006A522B" w:rsidRPr="009B1257" w:rsidRDefault="00000000">
      <w:pPr>
        <w:spacing w:before="10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Anexo 2. Operacionalización de constructos</w:t>
      </w:r>
    </w:p>
    <w:p w14:paraId="2E12F2BF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A2.1. Índice de Gobernanza (IG): indicadores y escalas de calibración</w:t>
      </w:r>
    </w:p>
    <w:p w14:paraId="27F74B40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A2.2. IPDET: dimensiones e indicadores</w:t>
      </w:r>
    </w:p>
    <w:p w14:paraId="550EA320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A2.3. Cálculo del VCO: ecuaciones y fuentes de datos</w:t>
      </w:r>
    </w:p>
    <w:p w14:paraId="2D94EA67" w14:textId="24EEA6B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 xml:space="preserve">A2.4. Tablas de calibración </w:t>
      </w:r>
      <w:proofErr w:type="spellStart"/>
      <w:r w:rsidRPr="009B1257">
        <w:rPr>
          <w:rFonts w:ascii="Times New Roman" w:hAnsi="Times New Roman" w:cs="Times New Roman"/>
          <w:sz w:val="20"/>
          <w:szCs w:val="20"/>
          <w:lang w:val="es-CO"/>
        </w:rPr>
        <w:t>fsQCA</w:t>
      </w:r>
      <w:proofErr w:type="spellEnd"/>
    </w:p>
    <w:p w14:paraId="44F13AD9" w14:textId="77777777" w:rsidR="006A522B" w:rsidRPr="009B1257" w:rsidRDefault="00000000">
      <w:pPr>
        <w:spacing w:before="10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Anexo 3. Implementación computacional</w:t>
      </w:r>
    </w:p>
    <w:p w14:paraId="756B70F8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A3.1. Código de la simulación Monte Carlo</w:t>
      </w:r>
    </w:p>
    <w:p w14:paraId="35D9C7A4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A3.2. Implementación de los índices de Sobol</w:t>
      </w:r>
    </w:p>
    <w:p w14:paraId="7ECCA7A1" w14:textId="727E785E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A3.3. Diseño de escenarios adversos</w:t>
      </w:r>
    </w:p>
    <w:p w14:paraId="0C47CF84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A3.4. Validación del modelo</w:t>
      </w:r>
    </w:p>
    <w:p w14:paraId="39F0B087" w14:textId="77777777" w:rsidR="006A522B" w:rsidRPr="009B1257" w:rsidRDefault="00000000">
      <w:pPr>
        <w:spacing w:before="10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Anexo 4. Aprobación ética</w:t>
      </w:r>
    </w:p>
    <w:p w14:paraId="61B10003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A4.1. Dictamen del comité de ética institucional</w:t>
      </w:r>
    </w:p>
    <w:p w14:paraId="5E5A4C2E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A4.2. Convenios con organizaciones participantes</w:t>
      </w:r>
    </w:p>
    <w:p w14:paraId="4929596D" w14:textId="77777777" w:rsidR="006A522B" w:rsidRPr="009B1257" w:rsidRDefault="00000000">
      <w:pPr>
        <w:spacing w:before="100" w:after="2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Anexo 5. Publicaciones derivadas</w:t>
      </w:r>
    </w:p>
    <w:p w14:paraId="525886D5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A5.1. Artículo 1: Diagnóstico de la distribución de valor (Fase I)</w:t>
      </w:r>
    </w:p>
    <w:p w14:paraId="29398A39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A5.2. Artículo 2: El modelo de gobernanza GDA (Fase II)</w:t>
      </w:r>
    </w:p>
    <w:p w14:paraId="1F787551" w14:textId="77777777" w:rsidR="006A522B" w:rsidRPr="009B1257" w:rsidRDefault="00000000">
      <w:pPr>
        <w:spacing w:after="0"/>
        <w:ind w:left="397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A5.3. Artículo 3: Evaluación bajo incertidumbre (Fase III)</w:t>
      </w:r>
    </w:p>
    <w:p w14:paraId="6B395846" w14:textId="77777777" w:rsidR="006A522B" w:rsidRPr="009B1257" w:rsidRDefault="006A522B">
      <w:pPr>
        <w:rPr>
          <w:rFonts w:ascii="Times New Roman" w:hAnsi="Times New Roman" w:cs="Times New Roman"/>
          <w:sz w:val="20"/>
          <w:szCs w:val="20"/>
          <w:lang w:val="es-CO"/>
        </w:rPr>
      </w:pPr>
    </w:p>
    <w:p w14:paraId="11FC69F2" w14:textId="77777777" w:rsidR="006A522B" w:rsidRPr="009B1257" w:rsidRDefault="00000000">
      <w:pPr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lastRenderedPageBreak/>
        <w:t>REFERENCIAS</w:t>
      </w:r>
    </w:p>
    <w:p w14:paraId="454D421D" w14:textId="77777777" w:rsidR="001C39AE" w:rsidRDefault="001C39AE">
      <w:pPr>
        <w:spacing w:before="200"/>
        <w:rPr>
          <w:rFonts w:ascii="Times New Roman" w:hAnsi="Times New Roman" w:cs="Times New Roman"/>
          <w:b/>
          <w:sz w:val="20"/>
          <w:szCs w:val="20"/>
          <w:lang w:val="es-CO"/>
        </w:rPr>
      </w:pPr>
    </w:p>
    <w:p w14:paraId="644DA205" w14:textId="3FEE3584" w:rsidR="006A522B" w:rsidRPr="009B1257" w:rsidRDefault="00000000">
      <w:pPr>
        <w:spacing w:before="20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b/>
          <w:sz w:val="20"/>
          <w:szCs w:val="20"/>
          <w:lang w:val="es-CO"/>
        </w:rPr>
        <w:t>MEDIOS Y RECURSOS (RD 99/2011)</w:t>
      </w:r>
    </w:p>
    <w:p w14:paraId="114D9899" w14:textId="6DA3D9F9" w:rsidR="006A522B" w:rsidRPr="009B1257" w:rsidRDefault="00000000">
      <w:pPr>
        <w:spacing w:after="4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• Acceso al terreno: vínculo operativo con COFFIS y la red FEMNCAF</w:t>
      </w:r>
      <w:r w:rsidR="001C39AE">
        <w:rPr>
          <w:rFonts w:ascii="Times New Roman" w:hAnsi="Times New Roman" w:cs="Times New Roman"/>
          <w:sz w:val="20"/>
          <w:szCs w:val="20"/>
          <w:lang w:val="es-CO"/>
        </w:rPr>
        <w:t>E</w:t>
      </w:r>
      <w:r w:rsidRPr="009B1257">
        <w:rPr>
          <w:rFonts w:ascii="Times New Roman" w:hAnsi="Times New Roman" w:cs="Times New Roman"/>
          <w:sz w:val="20"/>
          <w:szCs w:val="20"/>
          <w:lang w:val="es-CO"/>
        </w:rPr>
        <w:t>. Sede del candidato en Popayán, Cauca.</w:t>
      </w:r>
    </w:p>
    <w:p w14:paraId="68E3E5F1" w14:textId="77777777" w:rsidR="006A522B" w:rsidRPr="009B1257" w:rsidRDefault="00000000">
      <w:pPr>
        <w:spacing w:after="4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 xml:space="preserve">• Datos: entrevistas semiestructuradas, datos de cadena por eslabón, datos de finca; panel de expertos para el Delphi; condiciones institucionales para el </w:t>
      </w:r>
      <w:proofErr w:type="spellStart"/>
      <w:r w:rsidRPr="009B1257">
        <w:rPr>
          <w:rFonts w:ascii="Times New Roman" w:hAnsi="Times New Roman" w:cs="Times New Roman"/>
          <w:sz w:val="20"/>
          <w:szCs w:val="20"/>
          <w:lang w:val="es-CO"/>
        </w:rPr>
        <w:t>fsQCA</w:t>
      </w:r>
      <w:proofErr w:type="spellEnd"/>
      <w:r w:rsidRPr="009B1257">
        <w:rPr>
          <w:rFonts w:ascii="Times New Roman" w:hAnsi="Times New Roman" w:cs="Times New Roman"/>
          <w:sz w:val="20"/>
          <w:szCs w:val="20"/>
          <w:lang w:val="es-CO"/>
        </w:rPr>
        <w:t>.</w:t>
      </w:r>
    </w:p>
    <w:p w14:paraId="09F94FE1" w14:textId="57B79B9B" w:rsidR="006A522B" w:rsidRPr="009B1257" w:rsidRDefault="00000000">
      <w:pPr>
        <w:spacing w:after="4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 xml:space="preserve">• Recursos computacionales: Python </w:t>
      </w:r>
      <w:r w:rsidR="001C39AE">
        <w:rPr>
          <w:rFonts w:ascii="Times New Roman" w:hAnsi="Times New Roman" w:cs="Times New Roman"/>
          <w:sz w:val="20"/>
          <w:szCs w:val="20"/>
          <w:lang w:val="es-CO"/>
        </w:rPr>
        <w:t xml:space="preserve">para ejecución de </w:t>
      </w:r>
      <w:r w:rsidRPr="009B1257">
        <w:rPr>
          <w:rFonts w:ascii="Times New Roman" w:hAnsi="Times New Roman" w:cs="Times New Roman"/>
          <w:sz w:val="20"/>
          <w:szCs w:val="20"/>
          <w:lang w:val="es-CO"/>
        </w:rPr>
        <w:t>Monte Carlo</w:t>
      </w:r>
      <w:r w:rsidR="001C39AE">
        <w:rPr>
          <w:rFonts w:ascii="Times New Roman" w:hAnsi="Times New Roman" w:cs="Times New Roman"/>
          <w:sz w:val="20"/>
          <w:szCs w:val="20"/>
          <w:lang w:val="es-CO"/>
        </w:rPr>
        <w:t xml:space="preserve"> y</w:t>
      </w:r>
      <w:r w:rsidRPr="009B1257">
        <w:rPr>
          <w:rFonts w:ascii="Times New Roman" w:hAnsi="Times New Roman" w:cs="Times New Roman"/>
          <w:sz w:val="20"/>
          <w:szCs w:val="20"/>
          <w:lang w:val="es-CO"/>
        </w:rPr>
        <w:t xml:space="preserve"> Sobol; software </w:t>
      </w:r>
      <w:proofErr w:type="spellStart"/>
      <w:r w:rsidRPr="009B1257">
        <w:rPr>
          <w:rFonts w:ascii="Times New Roman" w:hAnsi="Times New Roman" w:cs="Times New Roman"/>
          <w:sz w:val="20"/>
          <w:szCs w:val="20"/>
          <w:lang w:val="es-CO"/>
        </w:rPr>
        <w:t>fsQCA</w:t>
      </w:r>
      <w:proofErr w:type="spellEnd"/>
      <w:r w:rsidRPr="009B1257">
        <w:rPr>
          <w:rFonts w:ascii="Times New Roman" w:hAnsi="Times New Roman" w:cs="Times New Roman"/>
          <w:sz w:val="20"/>
          <w:szCs w:val="20"/>
          <w:lang w:val="es-CO"/>
        </w:rPr>
        <w:t xml:space="preserve"> 3.0 / R-QCA; herramientas SNA.</w:t>
      </w:r>
    </w:p>
    <w:p w14:paraId="3C7A31D9" w14:textId="77777777" w:rsidR="006A522B" w:rsidRPr="009B1257" w:rsidRDefault="00000000">
      <w:pPr>
        <w:spacing w:after="4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• Dirección y marco institucional: Dra. Sonia Benito (ETSIAAB-UPM, grupo BIDA); programa TAPAS; modalidad virtual desde Colombia con trabajo de campo in situ.</w:t>
      </w:r>
    </w:p>
    <w:p w14:paraId="36D713C5" w14:textId="77777777" w:rsidR="006A522B" w:rsidRPr="009B1257" w:rsidRDefault="00000000">
      <w:pPr>
        <w:spacing w:after="40"/>
        <w:rPr>
          <w:rFonts w:ascii="Times New Roman" w:hAnsi="Times New Roman" w:cs="Times New Roman"/>
          <w:sz w:val="20"/>
          <w:szCs w:val="20"/>
          <w:lang w:val="es-CO"/>
        </w:rPr>
      </w:pPr>
      <w:r w:rsidRPr="009B1257">
        <w:rPr>
          <w:rFonts w:ascii="Times New Roman" w:hAnsi="Times New Roman" w:cs="Times New Roman"/>
          <w:sz w:val="20"/>
          <w:szCs w:val="20"/>
          <w:lang w:val="es-CO"/>
        </w:rPr>
        <w:t>• Ética: dictamen del comité de ética institucional y convenios de consentimiento informado (Anexo 4).</w:t>
      </w:r>
    </w:p>
    <w:p w14:paraId="4DFD5236" w14:textId="77777777" w:rsidR="001C39AE" w:rsidRDefault="001C39AE">
      <w:pPr>
        <w:spacing w:before="160"/>
        <w:rPr>
          <w:rFonts w:ascii="Times New Roman" w:hAnsi="Times New Roman" w:cs="Times New Roman"/>
          <w:b/>
          <w:sz w:val="20"/>
          <w:szCs w:val="20"/>
        </w:rPr>
      </w:pPr>
    </w:p>
    <w:p w14:paraId="741E4069" w14:textId="56D69B6C" w:rsidR="006A522B" w:rsidRPr="009B1257" w:rsidRDefault="00000000">
      <w:pPr>
        <w:spacing w:before="160"/>
        <w:rPr>
          <w:rFonts w:ascii="Times New Roman" w:hAnsi="Times New Roman" w:cs="Times New Roman"/>
          <w:sz w:val="20"/>
          <w:szCs w:val="20"/>
        </w:rPr>
      </w:pPr>
      <w:r w:rsidRPr="009B1257">
        <w:rPr>
          <w:rFonts w:ascii="Times New Roman" w:hAnsi="Times New Roman" w:cs="Times New Roman"/>
          <w:b/>
          <w:sz w:val="20"/>
          <w:szCs w:val="20"/>
        </w:rPr>
        <w:t xml:space="preserve">PLANIFICACIÓN TEMPORAL </w:t>
      </w:r>
      <w:r w:rsidR="001C39AE">
        <w:rPr>
          <w:rFonts w:ascii="Times New Roman" w:hAnsi="Times New Roman" w:cs="Times New Roman"/>
          <w:b/>
          <w:sz w:val="20"/>
          <w:szCs w:val="20"/>
        </w:rPr>
        <w:t>PROPUESTA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6A522B" w:rsidRPr="009B1257" w14:paraId="26A92804" w14:textId="77777777">
        <w:tc>
          <w:tcPr>
            <w:tcW w:w="3041" w:type="dxa"/>
          </w:tcPr>
          <w:p w14:paraId="4799DFCD" w14:textId="77777777" w:rsidR="006A522B" w:rsidRPr="009B125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1257">
              <w:rPr>
                <w:rFonts w:ascii="Times New Roman" w:hAnsi="Times New Roman" w:cs="Times New Roman"/>
                <w:b/>
                <w:sz w:val="20"/>
                <w:szCs w:val="20"/>
              </w:rPr>
              <w:t>Periodo</w:t>
            </w:r>
          </w:p>
        </w:tc>
        <w:tc>
          <w:tcPr>
            <w:tcW w:w="3041" w:type="dxa"/>
          </w:tcPr>
          <w:p w14:paraId="752B856D" w14:textId="77777777" w:rsidR="006A522B" w:rsidRPr="009B125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1257">
              <w:rPr>
                <w:rFonts w:ascii="Times New Roman" w:hAnsi="Times New Roman" w:cs="Times New Roman"/>
                <w:b/>
                <w:sz w:val="20"/>
                <w:szCs w:val="20"/>
              </w:rPr>
              <w:t>Fase / Hito</w:t>
            </w:r>
          </w:p>
        </w:tc>
        <w:tc>
          <w:tcPr>
            <w:tcW w:w="3041" w:type="dxa"/>
          </w:tcPr>
          <w:p w14:paraId="21AA8B27" w14:textId="77777777" w:rsidR="006A522B" w:rsidRPr="009B125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1257">
              <w:rPr>
                <w:rFonts w:ascii="Times New Roman" w:hAnsi="Times New Roman" w:cs="Times New Roman"/>
                <w:b/>
                <w:sz w:val="20"/>
                <w:szCs w:val="20"/>
              </w:rPr>
              <w:t>Producto</w:t>
            </w:r>
          </w:p>
        </w:tc>
      </w:tr>
      <w:tr w:rsidR="006A522B" w:rsidRPr="00D7073F" w14:paraId="79082B0C" w14:textId="77777777">
        <w:tc>
          <w:tcPr>
            <w:tcW w:w="3041" w:type="dxa"/>
          </w:tcPr>
          <w:p w14:paraId="4270FAEB" w14:textId="77777777" w:rsidR="006A522B" w:rsidRPr="009B125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1257">
              <w:rPr>
                <w:rFonts w:ascii="Times New Roman" w:hAnsi="Times New Roman" w:cs="Times New Roman"/>
                <w:sz w:val="20"/>
                <w:szCs w:val="20"/>
              </w:rPr>
              <w:t>Año 1</w:t>
            </w:r>
          </w:p>
        </w:tc>
        <w:tc>
          <w:tcPr>
            <w:tcW w:w="3041" w:type="dxa"/>
          </w:tcPr>
          <w:p w14:paraId="0356DE92" w14:textId="77777777" w:rsidR="006A522B" w:rsidRPr="009B1257" w:rsidRDefault="00000000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9B1257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 xml:space="preserve">Marco teórico (Caps. 1-5) + Fase I diagnóstica: trabajo de campo, SNA, </w:t>
            </w:r>
            <w:proofErr w:type="spellStart"/>
            <w:r w:rsidRPr="009B1257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fsQCA</w:t>
            </w:r>
            <w:proofErr w:type="spellEnd"/>
            <w:r w:rsidRPr="009B1257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, VCO₀, IPDET</w:t>
            </w:r>
          </w:p>
        </w:tc>
        <w:tc>
          <w:tcPr>
            <w:tcW w:w="3041" w:type="dxa"/>
          </w:tcPr>
          <w:p w14:paraId="36A5284F" w14:textId="6C27D349" w:rsidR="006A522B" w:rsidRPr="00D7073F" w:rsidRDefault="00D7073F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D7073F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 xml:space="preserve">Compromiso de actividades y plan de Desarrollo </w:t>
            </w:r>
            <w:r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del Doctorado</w:t>
            </w:r>
            <w:r w:rsidR="00000000" w:rsidRPr="00D7073F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 xml:space="preserve"> </w:t>
            </w:r>
            <w:r w:rsidRPr="00D7073F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y primer artículo</w:t>
            </w:r>
          </w:p>
        </w:tc>
      </w:tr>
      <w:tr w:rsidR="006A522B" w:rsidRPr="00D7073F" w14:paraId="387F62BA" w14:textId="77777777">
        <w:tc>
          <w:tcPr>
            <w:tcW w:w="3041" w:type="dxa"/>
          </w:tcPr>
          <w:p w14:paraId="49686F15" w14:textId="77777777" w:rsidR="006A522B" w:rsidRPr="009B125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1257">
              <w:rPr>
                <w:rFonts w:ascii="Times New Roman" w:hAnsi="Times New Roman" w:cs="Times New Roman"/>
                <w:sz w:val="20"/>
                <w:szCs w:val="20"/>
              </w:rPr>
              <w:t>Año 2</w:t>
            </w:r>
          </w:p>
        </w:tc>
        <w:tc>
          <w:tcPr>
            <w:tcW w:w="3041" w:type="dxa"/>
          </w:tcPr>
          <w:p w14:paraId="467A5F0E" w14:textId="77777777" w:rsidR="006A522B" w:rsidRPr="009B1257" w:rsidRDefault="00000000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9B1257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Fase II constructiva: talleres participativos + panel Delphi (3 rondas); operacionalización y distribuciones a priori</w:t>
            </w:r>
          </w:p>
        </w:tc>
        <w:tc>
          <w:tcPr>
            <w:tcW w:w="3041" w:type="dxa"/>
          </w:tcPr>
          <w:p w14:paraId="5F9D818A" w14:textId="253ACE3F" w:rsidR="006A522B" w:rsidRPr="00D7073F" w:rsidRDefault="00000000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D7073F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 xml:space="preserve">Modelo GDA validado </w:t>
            </w:r>
            <w:r w:rsidR="00D7073F" w:rsidRPr="00D7073F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 xml:space="preserve">y </w:t>
            </w:r>
            <w:r w:rsidR="00D7073F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segundo artículo</w:t>
            </w:r>
          </w:p>
        </w:tc>
      </w:tr>
      <w:tr w:rsidR="006A522B" w:rsidRPr="00D7073F" w14:paraId="2EBCAFEA" w14:textId="77777777">
        <w:tc>
          <w:tcPr>
            <w:tcW w:w="3041" w:type="dxa"/>
          </w:tcPr>
          <w:p w14:paraId="09FB3A03" w14:textId="77777777" w:rsidR="006A522B" w:rsidRPr="009B125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1257">
              <w:rPr>
                <w:rFonts w:ascii="Times New Roman" w:hAnsi="Times New Roman" w:cs="Times New Roman"/>
                <w:sz w:val="20"/>
                <w:szCs w:val="20"/>
              </w:rPr>
              <w:t>Año 3</w:t>
            </w:r>
          </w:p>
        </w:tc>
        <w:tc>
          <w:tcPr>
            <w:tcW w:w="3041" w:type="dxa"/>
          </w:tcPr>
          <w:p w14:paraId="05ED40A9" w14:textId="77777777" w:rsidR="006A522B" w:rsidRPr="009B1257" w:rsidRDefault="00000000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9B1257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Fase III evaluativa: simulación Monte Carlo, índices de Sobol, pruebas de estrés; piloto acotado</w:t>
            </w:r>
          </w:p>
        </w:tc>
        <w:tc>
          <w:tcPr>
            <w:tcW w:w="3041" w:type="dxa"/>
          </w:tcPr>
          <w:p w14:paraId="79D65661" w14:textId="40A3E9EF" w:rsidR="006A522B" w:rsidRPr="00D7073F" w:rsidRDefault="00000000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D7073F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 xml:space="preserve">Resultados de evaluación </w:t>
            </w:r>
            <w:r w:rsidR="00D7073F" w:rsidRPr="00D7073F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y t</w:t>
            </w:r>
            <w:r w:rsidR="00D7073F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ercer artículo</w:t>
            </w:r>
          </w:p>
        </w:tc>
      </w:tr>
      <w:tr w:rsidR="006A522B" w:rsidRPr="00D7073F" w14:paraId="5D55BF4A" w14:textId="77777777">
        <w:tc>
          <w:tcPr>
            <w:tcW w:w="3041" w:type="dxa"/>
          </w:tcPr>
          <w:p w14:paraId="17B57469" w14:textId="77777777" w:rsidR="006A522B" w:rsidRPr="009B125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1257">
              <w:rPr>
                <w:rFonts w:ascii="Times New Roman" w:hAnsi="Times New Roman" w:cs="Times New Roman"/>
                <w:sz w:val="20"/>
                <w:szCs w:val="20"/>
              </w:rPr>
              <w:t>Año 4</w:t>
            </w:r>
          </w:p>
        </w:tc>
        <w:tc>
          <w:tcPr>
            <w:tcW w:w="3041" w:type="dxa"/>
          </w:tcPr>
          <w:p w14:paraId="273F8FCD" w14:textId="77777777" w:rsidR="006A522B" w:rsidRPr="009B1257" w:rsidRDefault="00000000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9B1257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Integración, discusión, conclusión (Cap. 9); redacción y depósito de la tesis</w:t>
            </w:r>
          </w:p>
        </w:tc>
        <w:tc>
          <w:tcPr>
            <w:tcW w:w="3041" w:type="dxa"/>
          </w:tcPr>
          <w:p w14:paraId="4C7C7307" w14:textId="114CC4A9" w:rsidR="006A522B" w:rsidRPr="00D7073F" w:rsidRDefault="00000000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D7073F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Tesis depositada</w:t>
            </w:r>
            <w:r w:rsidR="00D7073F" w:rsidRPr="00D7073F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 xml:space="preserve"> en la UPM</w:t>
            </w:r>
            <w:r w:rsidRPr="00D7073F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 xml:space="preserve"> y defensa</w:t>
            </w:r>
          </w:p>
        </w:tc>
      </w:tr>
    </w:tbl>
    <w:p w14:paraId="3E02DB3F" w14:textId="77777777" w:rsidR="00D7073F" w:rsidRDefault="00D7073F">
      <w:pPr>
        <w:rPr>
          <w:rFonts w:ascii="Times New Roman" w:hAnsi="Times New Roman" w:cs="Times New Roman"/>
          <w:sz w:val="20"/>
          <w:szCs w:val="20"/>
          <w:lang w:val="es-CO"/>
        </w:rPr>
      </w:pPr>
    </w:p>
    <w:p w14:paraId="6F4D8738" w14:textId="77777777" w:rsidR="00D7073F" w:rsidRPr="00D7073F" w:rsidRDefault="00D7073F">
      <w:pPr>
        <w:rPr>
          <w:rFonts w:ascii="Times New Roman" w:hAnsi="Times New Roman" w:cs="Times New Roman"/>
          <w:sz w:val="20"/>
          <w:szCs w:val="20"/>
          <w:lang w:val="es-CO"/>
        </w:rPr>
      </w:pPr>
    </w:p>
    <w:sectPr w:rsidR="00D7073F" w:rsidRPr="00D7073F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9862088">
    <w:abstractNumId w:val="8"/>
  </w:num>
  <w:num w:numId="2" w16cid:durableId="1758675524">
    <w:abstractNumId w:val="6"/>
  </w:num>
  <w:num w:numId="3" w16cid:durableId="595477723">
    <w:abstractNumId w:val="5"/>
  </w:num>
  <w:num w:numId="4" w16cid:durableId="1316183611">
    <w:abstractNumId w:val="4"/>
  </w:num>
  <w:num w:numId="5" w16cid:durableId="245959884">
    <w:abstractNumId w:val="7"/>
  </w:num>
  <w:num w:numId="6" w16cid:durableId="393158540">
    <w:abstractNumId w:val="3"/>
  </w:num>
  <w:num w:numId="7" w16cid:durableId="1042100572">
    <w:abstractNumId w:val="2"/>
  </w:num>
  <w:num w:numId="8" w16cid:durableId="2091005974">
    <w:abstractNumId w:val="1"/>
  </w:num>
  <w:num w:numId="9" w16cid:durableId="1786388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C2"/>
    <w:rsid w:val="00034616"/>
    <w:rsid w:val="0006063C"/>
    <w:rsid w:val="0015074B"/>
    <w:rsid w:val="001C39AE"/>
    <w:rsid w:val="0029639D"/>
    <w:rsid w:val="00326F90"/>
    <w:rsid w:val="006A522B"/>
    <w:rsid w:val="009B1257"/>
    <w:rsid w:val="00AA1D8D"/>
    <w:rsid w:val="00B47730"/>
    <w:rsid w:val="00CB0664"/>
    <w:rsid w:val="00D707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15E760"/>
  <w14:defaultImageDpi w14:val="300"/>
  <w15:docId w15:val="{130AEE43-AE4E-4737-BC49-CD7301232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2435</Words>
  <Characters>13397</Characters>
  <Application>Microsoft Office Word</Application>
  <DocSecurity>0</DocSecurity>
  <Lines>111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Alejandro Pajoy Bastos</cp:lastModifiedBy>
  <cp:revision>3</cp:revision>
  <dcterms:created xsi:type="dcterms:W3CDTF">2026-06-17T17:51:00Z</dcterms:created>
  <dcterms:modified xsi:type="dcterms:W3CDTF">2026-06-17T17:58:00Z</dcterms:modified>
  <cp:category/>
</cp:coreProperties>
</file>