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29328" w14:textId="77777777" w:rsidR="00B421EB" w:rsidRPr="00127B16" w:rsidRDefault="00000000">
      <w:pPr>
        <w:spacing w:after="160"/>
        <w:jc w:val="center"/>
        <w:rPr>
          <w:rFonts w:ascii="Times New Roman" w:hAnsi="Times New Roman" w:cs="Times New Roman"/>
          <w:sz w:val="20"/>
          <w:szCs w:val="20"/>
          <w:lang w:val="es-CO"/>
        </w:rPr>
      </w:pPr>
      <w:r w:rsidRPr="00127B16">
        <w:rPr>
          <w:rFonts w:ascii="Times New Roman" w:hAnsi="Times New Roman" w:cs="Times New Roman"/>
          <w:b/>
          <w:sz w:val="20"/>
          <w:szCs w:val="20"/>
          <w:lang w:val="es-CO"/>
        </w:rPr>
        <w:t>TABLA DE CONTENIDO — PLAN DE INVESTIGACIÓN</w:t>
      </w:r>
    </w:p>
    <w:p w14:paraId="23945E2B" w14:textId="77777777" w:rsidR="00B421EB" w:rsidRPr="00127B16" w:rsidRDefault="00000000">
      <w:pPr>
        <w:spacing w:after="60"/>
        <w:rPr>
          <w:rFonts w:ascii="Times New Roman" w:hAnsi="Times New Roman" w:cs="Times New Roman"/>
          <w:sz w:val="20"/>
          <w:szCs w:val="20"/>
          <w:lang w:val="es-CO"/>
        </w:rPr>
      </w:pPr>
      <w:r w:rsidRPr="00127B16">
        <w:rPr>
          <w:rFonts w:ascii="Times New Roman" w:hAnsi="Times New Roman" w:cs="Times New Roman"/>
          <w:b/>
          <w:sz w:val="20"/>
          <w:szCs w:val="20"/>
          <w:lang w:val="es-CO"/>
        </w:rPr>
        <w:t xml:space="preserve">Título: </w:t>
      </w:r>
      <w:r w:rsidRPr="00127B16">
        <w:rPr>
          <w:rFonts w:ascii="Times New Roman" w:hAnsi="Times New Roman" w:cs="Times New Roman"/>
          <w:sz w:val="20"/>
          <w:szCs w:val="20"/>
          <w:lang w:val="es-CO"/>
        </w:rPr>
        <w:t>Gobernanza Digital Asociativa: un modelo sociotécnico para la captura de valor en origen en organizaciones caficultoras de territorios PDET de Colombia</w:t>
      </w:r>
    </w:p>
    <w:p w14:paraId="0DED5C09" w14:textId="77777777" w:rsidR="00B421EB" w:rsidRPr="00127B16" w:rsidRDefault="00000000">
      <w:pPr>
        <w:spacing w:after="60"/>
        <w:rPr>
          <w:rFonts w:ascii="Times New Roman" w:hAnsi="Times New Roman" w:cs="Times New Roman"/>
          <w:sz w:val="20"/>
          <w:szCs w:val="20"/>
          <w:lang w:val="es-CO"/>
        </w:rPr>
      </w:pPr>
      <w:r w:rsidRPr="00127B16">
        <w:rPr>
          <w:rFonts w:ascii="Times New Roman" w:hAnsi="Times New Roman" w:cs="Times New Roman"/>
          <w:b/>
          <w:sz w:val="20"/>
          <w:szCs w:val="20"/>
          <w:lang w:val="es-CO"/>
        </w:rPr>
        <w:t xml:space="preserve">Programa: </w:t>
      </w:r>
      <w:r w:rsidRPr="00127B16">
        <w:rPr>
          <w:rFonts w:ascii="Times New Roman" w:hAnsi="Times New Roman" w:cs="Times New Roman"/>
          <w:sz w:val="20"/>
          <w:szCs w:val="20"/>
          <w:lang w:val="es-CO"/>
        </w:rPr>
        <w:t>Doctorado TAPAS — ETSIAAB, Universidad Politécnica de Madrid</w:t>
      </w:r>
    </w:p>
    <w:p w14:paraId="65F07286" w14:textId="77777777" w:rsidR="00B421EB" w:rsidRPr="00127B16" w:rsidRDefault="00000000">
      <w:pPr>
        <w:spacing w:after="60"/>
        <w:rPr>
          <w:rFonts w:ascii="Times New Roman" w:hAnsi="Times New Roman" w:cs="Times New Roman"/>
          <w:sz w:val="20"/>
          <w:szCs w:val="20"/>
          <w:lang w:val="es-CO"/>
        </w:rPr>
      </w:pPr>
      <w:r w:rsidRPr="00127B16">
        <w:rPr>
          <w:rFonts w:ascii="Times New Roman" w:hAnsi="Times New Roman" w:cs="Times New Roman"/>
          <w:b/>
          <w:sz w:val="20"/>
          <w:szCs w:val="20"/>
          <w:lang w:val="es-CO"/>
        </w:rPr>
        <w:t xml:space="preserve">Directora: </w:t>
      </w:r>
      <w:r w:rsidRPr="00127B16">
        <w:rPr>
          <w:rFonts w:ascii="Times New Roman" w:hAnsi="Times New Roman" w:cs="Times New Roman"/>
          <w:sz w:val="20"/>
          <w:szCs w:val="20"/>
          <w:lang w:val="es-CO"/>
        </w:rPr>
        <w:t>Dra. Sonia Benito Hernández</w:t>
      </w:r>
    </w:p>
    <w:p w14:paraId="546673CB" w14:textId="77777777" w:rsidR="00B421EB" w:rsidRPr="00127B16" w:rsidRDefault="00000000">
      <w:pPr>
        <w:spacing w:after="60"/>
        <w:rPr>
          <w:rFonts w:ascii="Times New Roman" w:hAnsi="Times New Roman" w:cs="Times New Roman"/>
          <w:sz w:val="20"/>
          <w:szCs w:val="20"/>
          <w:lang w:val="es-CO"/>
        </w:rPr>
      </w:pPr>
      <w:r w:rsidRPr="00127B16">
        <w:rPr>
          <w:rFonts w:ascii="Times New Roman" w:hAnsi="Times New Roman" w:cs="Times New Roman"/>
          <w:b/>
          <w:sz w:val="20"/>
          <w:szCs w:val="20"/>
          <w:lang w:val="es-CO"/>
        </w:rPr>
        <w:t xml:space="preserve">Candidato: </w:t>
      </w:r>
      <w:r w:rsidRPr="00127B16">
        <w:rPr>
          <w:rFonts w:ascii="Times New Roman" w:hAnsi="Times New Roman" w:cs="Times New Roman"/>
          <w:sz w:val="20"/>
          <w:szCs w:val="20"/>
          <w:lang w:val="es-CO"/>
        </w:rPr>
        <w:t>Daniel Alejandro Pajoy Bastos</w:t>
      </w:r>
    </w:p>
    <w:p w14:paraId="797508E9" w14:textId="77777777" w:rsidR="00B421EB" w:rsidRPr="00127B16" w:rsidRDefault="00000000">
      <w:pPr>
        <w:spacing w:after="60"/>
        <w:rPr>
          <w:rFonts w:ascii="Times New Roman" w:hAnsi="Times New Roman" w:cs="Times New Roman"/>
          <w:sz w:val="20"/>
          <w:szCs w:val="20"/>
          <w:lang w:val="es-CO"/>
        </w:rPr>
      </w:pPr>
      <w:r w:rsidRPr="00127B16">
        <w:rPr>
          <w:rFonts w:ascii="Times New Roman" w:hAnsi="Times New Roman" w:cs="Times New Roman"/>
          <w:b/>
          <w:sz w:val="20"/>
          <w:szCs w:val="20"/>
          <w:lang w:val="es-CO"/>
        </w:rPr>
        <w:t xml:space="preserve">Versión: </w:t>
      </w:r>
      <w:r w:rsidRPr="00127B16">
        <w:rPr>
          <w:rFonts w:ascii="Times New Roman" w:hAnsi="Times New Roman" w:cs="Times New Roman"/>
          <w:sz w:val="20"/>
          <w:szCs w:val="20"/>
          <w:lang w:val="es-CO"/>
        </w:rPr>
        <w:t>0.7 — 17 de junio de 2026</w:t>
      </w:r>
    </w:p>
    <w:p w14:paraId="19E3CE81" w14:textId="77777777" w:rsidR="00B421EB" w:rsidRPr="00127B16" w:rsidRDefault="00B421EB">
      <w:pPr>
        <w:rPr>
          <w:rFonts w:ascii="Times New Roman" w:hAnsi="Times New Roman" w:cs="Times New Roman"/>
          <w:sz w:val="20"/>
          <w:szCs w:val="20"/>
          <w:lang w:val="es-CO"/>
        </w:rPr>
      </w:pPr>
    </w:p>
    <w:p w14:paraId="5375E814" w14:textId="77777777" w:rsidR="00B421EB" w:rsidRPr="00127B16" w:rsidRDefault="00000000">
      <w:pPr>
        <w:spacing w:before="80"/>
        <w:rPr>
          <w:rFonts w:ascii="Times New Roman" w:hAnsi="Times New Roman" w:cs="Times New Roman"/>
          <w:sz w:val="20"/>
          <w:szCs w:val="20"/>
          <w:lang w:val="es-CO"/>
        </w:rPr>
      </w:pPr>
      <w:r w:rsidRPr="00127B16">
        <w:rPr>
          <w:rFonts w:ascii="Times New Roman" w:hAnsi="Times New Roman" w:cs="Times New Roman"/>
          <w:b/>
          <w:sz w:val="20"/>
          <w:szCs w:val="20"/>
          <w:lang w:val="es-CO"/>
        </w:rPr>
        <w:t xml:space="preserve">Pregunta de investigación: </w:t>
      </w:r>
      <w:r w:rsidRPr="00127B16">
        <w:rPr>
          <w:rFonts w:ascii="Times New Roman" w:hAnsi="Times New Roman" w:cs="Times New Roman"/>
          <w:i/>
          <w:sz w:val="20"/>
          <w:szCs w:val="20"/>
          <w:lang w:val="es-CO"/>
        </w:rPr>
        <w:t>¿Cómo un modelo sociotécnico de gobernanza digital asociativa habilita a las organizaciones caficultoras de pequeña escala en territorios PDET de Colombia para incrementar la proporción de valor capturado en origen (VCO) en la cadena global de valor del café?</w:t>
      </w:r>
    </w:p>
    <w:p w14:paraId="78311FF7" w14:textId="77777777" w:rsidR="00B421EB" w:rsidRPr="00127B16" w:rsidRDefault="00000000">
      <w:pPr>
        <w:spacing w:before="120" w:after="80"/>
        <w:rPr>
          <w:rFonts w:ascii="Times New Roman" w:hAnsi="Times New Roman" w:cs="Times New Roman"/>
          <w:sz w:val="20"/>
          <w:szCs w:val="20"/>
          <w:lang w:val="es-CO"/>
        </w:rPr>
      </w:pPr>
      <w:r w:rsidRPr="00127B16">
        <w:rPr>
          <w:rFonts w:ascii="Times New Roman" w:hAnsi="Times New Roman" w:cs="Times New Roman"/>
          <w:b/>
          <w:sz w:val="20"/>
          <w:szCs w:val="20"/>
          <w:lang w:val="es-CO"/>
        </w:rPr>
        <w:t>OBJETIVOS DE LA INVESTIGACIÓN</w:t>
      </w:r>
    </w:p>
    <w:p w14:paraId="0FA445BD" w14:textId="0538D2D7" w:rsidR="00B421EB" w:rsidRPr="00127B16" w:rsidRDefault="00000000">
      <w:pPr>
        <w:spacing w:after="120"/>
        <w:rPr>
          <w:rFonts w:ascii="Times New Roman" w:hAnsi="Times New Roman" w:cs="Times New Roman"/>
          <w:sz w:val="20"/>
          <w:szCs w:val="20"/>
          <w:lang w:val="es-CO"/>
        </w:rPr>
      </w:pPr>
      <w:r w:rsidRPr="00127B16">
        <w:rPr>
          <w:rFonts w:ascii="Times New Roman" w:hAnsi="Times New Roman" w:cs="Times New Roman"/>
          <w:b/>
          <w:sz w:val="20"/>
          <w:szCs w:val="20"/>
          <w:lang w:val="es-CO"/>
        </w:rPr>
        <w:t xml:space="preserve">Objetivo general (OG): </w:t>
      </w:r>
      <w:r w:rsidRPr="00127B16">
        <w:rPr>
          <w:rFonts w:ascii="Times New Roman" w:hAnsi="Times New Roman" w:cs="Times New Roman"/>
          <w:sz w:val="20"/>
          <w:szCs w:val="20"/>
          <w:lang w:val="es-CO"/>
        </w:rPr>
        <w:t>Desarrollar y evaluar un modelo sociotécnico de gobernanza digital asociativa (GDA) que habilite a las organizaciones caficultoras de pequeña escala en territorios PDET de Colombia para incrementar la proporción de valor capturado en origen (VCO) en la cadena global de valor del café, en coherencia con la Misión Bioeconomía y Territorio</w:t>
      </w:r>
      <w:r w:rsidR="00127B16">
        <w:rPr>
          <w:rFonts w:ascii="Times New Roman" w:hAnsi="Times New Roman" w:cs="Times New Roman"/>
          <w:sz w:val="20"/>
          <w:szCs w:val="20"/>
          <w:lang w:val="es-CO"/>
        </w:rPr>
        <w:t xml:space="preserve"> de las Políticas Orientadas por Misiones PIIOM</w:t>
      </w:r>
      <w:r w:rsidRPr="00127B16">
        <w:rPr>
          <w:rFonts w:ascii="Times New Roman" w:hAnsi="Times New Roman" w:cs="Times New Roman"/>
          <w:sz w:val="20"/>
          <w:szCs w:val="20"/>
          <w:lang w:val="es-CO"/>
        </w:rPr>
        <w:t>.</w:t>
      </w:r>
    </w:p>
    <w:tbl>
      <w:tblPr>
        <w:tblStyle w:val="Tablaconcuadrcula"/>
        <w:tblW w:w="0" w:type="auto"/>
        <w:tblLook w:val="04A0" w:firstRow="1" w:lastRow="0" w:firstColumn="1" w:lastColumn="0" w:noHBand="0" w:noVBand="1"/>
      </w:tblPr>
      <w:tblGrid>
        <w:gridCol w:w="2280"/>
        <w:gridCol w:w="2280"/>
        <w:gridCol w:w="2280"/>
        <w:gridCol w:w="2280"/>
      </w:tblGrid>
      <w:tr w:rsidR="00B421EB" w:rsidRPr="00127B16" w14:paraId="6237CD21" w14:textId="77777777">
        <w:tc>
          <w:tcPr>
            <w:tcW w:w="2280" w:type="dxa"/>
          </w:tcPr>
          <w:p w14:paraId="2C1412A4"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b/>
                <w:sz w:val="20"/>
                <w:szCs w:val="20"/>
              </w:rPr>
              <w:t>OE</w:t>
            </w:r>
          </w:p>
        </w:tc>
        <w:tc>
          <w:tcPr>
            <w:tcW w:w="2280" w:type="dxa"/>
          </w:tcPr>
          <w:p w14:paraId="191BF326"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b/>
                <w:sz w:val="20"/>
                <w:szCs w:val="20"/>
              </w:rPr>
              <w:t>Fase</w:t>
            </w:r>
          </w:p>
        </w:tc>
        <w:tc>
          <w:tcPr>
            <w:tcW w:w="2280" w:type="dxa"/>
          </w:tcPr>
          <w:p w14:paraId="604BBCEA"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b/>
                <w:sz w:val="20"/>
                <w:szCs w:val="20"/>
              </w:rPr>
              <w:t>Enunciado</w:t>
            </w:r>
          </w:p>
        </w:tc>
        <w:tc>
          <w:tcPr>
            <w:tcW w:w="2280" w:type="dxa"/>
          </w:tcPr>
          <w:p w14:paraId="549B3B1E"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b/>
                <w:sz w:val="20"/>
                <w:szCs w:val="20"/>
              </w:rPr>
              <w:t>Capítulo</w:t>
            </w:r>
          </w:p>
        </w:tc>
      </w:tr>
      <w:tr w:rsidR="00B421EB" w:rsidRPr="00127B16" w14:paraId="5DE77C3D" w14:textId="77777777">
        <w:tc>
          <w:tcPr>
            <w:tcW w:w="2280" w:type="dxa"/>
          </w:tcPr>
          <w:p w14:paraId="11C56606"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sz w:val="20"/>
                <w:szCs w:val="20"/>
              </w:rPr>
              <w:t>OE1</w:t>
            </w:r>
          </w:p>
        </w:tc>
        <w:tc>
          <w:tcPr>
            <w:tcW w:w="2280" w:type="dxa"/>
          </w:tcPr>
          <w:p w14:paraId="5CE7B165"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sz w:val="20"/>
                <w:szCs w:val="20"/>
              </w:rPr>
              <w:t>I — Diagnóstica</w:t>
            </w:r>
          </w:p>
        </w:tc>
        <w:tc>
          <w:tcPr>
            <w:tcW w:w="2280" w:type="dxa"/>
          </w:tcPr>
          <w:p w14:paraId="3F8D58E4" w14:textId="77777777" w:rsidR="00B421EB" w:rsidRPr="00127B16" w:rsidRDefault="00000000">
            <w:pPr>
              <w:rPr>
                <w:rFonts w:ascii="Times New Roman" w:hAnsi="Times New Roman" w:cs="Times New Roman"/>
                <w:sz w:val="20"/>
                <w:szCs w:val="20"/>
                <w:lang w:val="es-CO"/>
              </w:rPr>
            </w:pPr>
            <w:r w:rsidRPr="00127B16">
              <w:rPr>
                <w:rFonts w:ascii="Times New Roman" w:hAnsi="Times New Roman" w:cs="Times New Roman"/>
                <w:sz w:val="20"/>
                <w:szCs w:val="20"/>
                <w:lang w:val="es-CO"/>
              </w:rPr>
              <w:t xml:space="preserve">Diagnosticar la distribución del valor a lo largo de la cadena del café colombiano, establecer la línea base VCO₀ y el capital social de las organizaciones en territorios PDET, construir el IPDET como moderador, identificar mediante </w:t>
            </w:r>
            <w:proofErr w:type="spellStart"/>
            <w:r w:rsidRPr="00127B16">
              <w:rPr>
                <w:rFonts w:ascii="Times New Roman" w:hAnsi="Times New Roman" w:cs="Times New Roman"/>
                <w:sz w:val="20"/>
                <w:szCs w:val="20"/>
                <w:lang w:val="es-CO"/>
              </w:rPr>
              <w:t>fsQCA</w:t>
            </w:r>
            <w:proofErr w:type="spellEnd"/>
            <w:r w:rsidRPr="00127B16">
              <w:rPr>
                <w:rFonts w:ascii="Times New Roman" w:hAnsi="Times New Roman" w:cs="Times New Roman"/>
                <w:sz w:val="20"/>
                <w:szCs w:val="20"/>
                <w:lang w:val="es-CO"/>
              </w:rPr>
              <w:t xml:space="preserve"> las configuraciones institucionales necesarias y suficientes para VCO alto, y mapear las oportunidades de diversificación bio-basada.</w:t>
            </w:r>
          </w:p>
        </w:tc>
        <w:tc>
          <w:tcPr>
            <w:tcW w:w="2280" w:type="dxa"/>
          </w:tcPr>
          <w:p w14:paraId="2C97FD91"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sz w:val="20"/>
                <w:szCs w:val="20"/>
              </w:rPr>
              <w:t>Cap. 6</w:t>
            </w:r>
          </w:p>
        </w:tc>
      </w:tr>
      <w:tr w:rsidR="00B421EB" w:rsidRPr="00127B16" w14:paraId="51C5A6F3" w14:textId="77777777">
        <w:tc>
          <w:tcPr>
            <w:tcW w:w="2280" w:type="dxa"/>
          </w:tcPr>
          <w:p w14:paraId="149624D4"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sz w:val="20"/>
                <w:szCs w:val="20"/>
              </w:rPr>
              <w:t>OE2</w:t>
            </w:r>
          </w:p>
        </w:tc>
        <w:tc>
          <w:tcPr>
            <w:tcW w:w="2280" w:type="dxa"/>
          </w:tcPr>
          <w:p w14:paraId="5F0F855F"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sz w:val="20"/>
                <w:szCs w:val="20"/>
              </w:rPr>
              <w:t>II — Constructiva</w:t>
            </w:r>
          </w:p>
        </w:tc>
        <w:tc>
          <w:tcPr>
            <w:tcW w:w="2280" w:type="dxa"/>
          </w:tcPr>
          <w:p w14:paraId="717C7BBB" w14:textId="2AE1DB33" w:rsidR="00B421EB" w:rsidRPr="00127B16" w:rsidRDefault="00000000">
            <w:pPr>
              <w:rPr>
                <w:rFonts w:ascii="Times New Roman" w:hAnsi="Times New Roman" w:cs="Times New Roman"/>
                <w:sz w:val="20"/>
                <w:szCs w:val="20"/>
                <w:lang w:val="es-CO"/>
              </w:rPr>
            </w:pPr>
            <w:r w:rsidRPr="00127B16">
              <w:rPr>
                <w:rFonts w:ascii="Times New Roman" w:hAnsi="Times New Roman" w:cs="Times New Roman"/>
                <w:sz w:val="20"/>
                <w:szCs w:val="20"/>
                <w:lang w:val="es-CO"/>
              </w:rPr>
              <w:t xml:space="preserve">Diseñar de forma participativa, mediante </w:t>
            </w:r>
            <w:proofErr w:type="spellStart"/>
            <w:r w:rsidRPr="00127B16">
              <w:rPr>
                <w:rFonts w:ascii="Times New Roman" w:hAnsi="Times New Roman" w:cs="Times New Roman"/>
                <w:sz w:val="20"/>
                <w:szCs w:val="20"/>
                <w:lang w:val="es-CO"/>
              </w:rPr>
              <w:t>Design</w:t>
            </w:r>
            <w:proofErr w:type="spellEnd"/>
            <w:r w:rsidRPr="00127B16">
              <w:rPr>
                <w:rFonts w:ascii="Times New Roman" w:hAnsi="Times New Roman" w:cs="Times New Roman"/>
                <w:sz w:val="20"/>
                <w:szCs w:val="20"/>
                <w:lang w:val="es-CO"/>
              </w:rPr>
              <w:t xml:space="preserve"> </w:t>
            </w:r>
            <w:proofErr w:type="spellStart"/>
            <w:r w:rsidRPr="00127B16">
              <w:rPr>
                <w:rFonts w:ascii="Times New Roman" w:hAnsi="Times New Roman" w:cs="Times New Roman"/>
                <w:sz w:val="20"/>
                <w:szCs w:val="20"/>
                <w:lang w:val="es-CO"/>
              </w:rPr>
              <w:t>Science</w:t>
            </w:r>
            <w:proofErr w:type="spellEnd"/>
            <w:r w:rsidRPr="00127B16">
              <w:rPr>
                <w:rFonts w:ascii="Times New Roman" w:hAnsi="Times New Roman" w:cs="Times New Roman"/>
                <w:sz w:val="20"/>
                <w:szCs w:val="20"/>
                <w:lang w:val="es-CO"/>
              </w:rPr>
              <w:t xml:space="preserve"> </w:t>
            </w:r>
            <w:proofErr w:type="spellStart"/>
            <w:r w:rsidRPr="00127B16">
              <w:rPr>
                <w:rFonts w:ascii="Times New Roman" w:hAnsi="Times New Roman" w:cs="Times New Roman"/>
                <w:sz w:val="20"/>
                <w:szCs w:val="20"/>
                <w:lang w:val="es-CO"/>
              </w:rPr>
              <w:t>Research</w:t>
            </w:r>
            <w:proofErr w:type="spellEnd"/>
            <w:r w:rsidRPr="00127B16">
              <w:rPr>
                <w:rFonts w:ascii="Times New Roman" w:hAnsi="Times New Roman" w:cs="Times New Roman"/>
                <w:sz w:val="20"/>
                <w:szCs w:val="20"/>
                <w:lang w:val="es-CO"/>
              </w:rPr>
              <w:t xml:space="preserve"> y panel Delphi, el modelo GDA que articula el subsistema social y el subsistema técnico bajo optimización conjunta, incorporando las palancas </w:t>
            </w:r>
            <w:proofErr w:type="spellStart"/>
            <w:r w:rsidRPr="00127B16">
              <w:rPr>
                <w:rFonts w:ascii="Times New Roman" w:hAnsi="Times New Roman" w:cs="Times New Roman"/>
                <w:sz w:val="20"/>
                <w:szCs w:val="20"/>
                <w:lang w:val="es-CO"/>
              </w:rPr>
              <w:t>bioeconómicas</w:t>
            </w:r>
            <w:proofErr w:type="spellEnd"/>
            <w:r w:rsidRPr="00127B16">
              <w:rPr>
                <w:rFonts w:ascii="Times New Roman" w:hAnsi="Times New Roman" w:cs="Times New Roman"/>
                <w:sz w:val="20"/>
                <w:szCs w:val="20"/>
                <w:lang w:val="es-CO"/>
              </w:rPr>
              <w:t xml:space="preserve"> como mecanismos transversales de VCO.</w:t>
            </w:r>
          </w:p>
        </w:tc>
        <w:tc>
          <w:tcPr>
            <w:tcW w:w="2280" w:type="dxa"/>
          </w:tcPr>
          <w:p w14:paraId="4FA39631"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sz w:val="20"/>
                <w:szCs w:val="20"/>
              </w:rPr>
              <w:t>Cap. 7</w:t>
            </w:r>
          </w:p>
        </w:tc>
      </w:tr>
      <w:tr w:rsidR="00B421EB" w:rsidRPr="00127B16" w14:paraId="757DAEAF" w14:textId="77777777">
        <w:tc>
          <w:tcPr>
            <w:tcW w:w="2280" w:type="dxa"/>
          </w:tcPr>
          <w:p w14:paraId="26A28741"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sz w:val="20"/>
                <w:szCs w:val="20"/>
              </w:rPr>
              <w:t>OE3</w:t>
            </w:r>
          </w:p>
        </w:tc>
        <w:tc>
          <w:tcPr>
            <w:tcW w:w="2280" w:type="dxa"/>
          </w:tcPr>
          <w:p w14:paraId="442B8D53"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sz w:val="20"/>
                <w:szCs w:val="20"/>
              </w:rPr>
              <w:t>II → III</w:t>
            </w:r>
          </w:p>
        </w:tc>
        <w:tc>
          <w:tcPr>
            <w:tcW w:w="2280" w:type="dxa"/>
          </w:tcPr>
          <w:p w14:paraId="55D97248" w14:textId="67AB3F0C" w:rsidR="00B421EB" w:rsidRPr="00127B16" w:rsidRDefault="00000000">
            <w:pPr>
              <w:rPr>
                <w:rFonts w:ascii="Times New Roman" w:hAnsi="Times New Roman" w:cs="Times New Roman"/>
                <w:sz w:val="20"/>
                <w:szCs w:val="20"/>
                <w:lang w:val="es-CO"/>
              </w:rPr>
            </w:pPr>
            <w:r w:rsidRPr="00127B16">
              <w:rPr>
                <w:rFonts w:ascii="Times New Roman" w:hAnsi="Times New Roman" w:cs="Times New Roman"/>
                <w:sz w:val="20"/>
                <w:szCs w:val="20"/>
                <w:lang w:val="es-CO"/>
              </w:rPr>
              <w:t xml:space="preserve">Operacionalizar y </w:t>
            </w:r>
            <w:r w:rsidRPr="00127B16">
              <w:rPr>
                <w:rFonts w:ascii="Times New Roman" w:hAnsi="Times New Roman" w:cs="Times New Roman"/>
                <w:sz w:val="20"/>
                <w:szCs w:val="20"/>
                <w:lang w:val="es-CO"/>
              </w:rPr>
              <w:lastRenderedPageBreak/>
              <w:t>parametrizar los constructos del modelo y construir las distribuciones a priori, a partir del consenso Delphi, que alimentan la simulación.</w:t>
            </w:r>
          </w:p>
        </w:tc>
        <w:tc>
          <w:tcPr>
            <w:tcW w:w="2280" w:type="dxa"/>
          </w:tcPr>
          <w:p w14:paraId="120218CA"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sz w:val="20"/>
                <w:szCs w:val="20"/>
              </w:rPr>
              <w:lastRenderedPageBreak/>
              <w:t>Caps. 7-8</w:t>
            </w:r>
          </w:p>
        </w:tc>
      </w:tr>
      <w:tr w:rsidR="00B421EB" w:rsidRPr="00127B16" w14:paraId="401F667C" w14:textId="77777777">
        <w:tc>
          <w:tcPr>
            <w:tcW w:w="2280" w:type="dxa"/>
          </w:tcPr>
          <w:p w14:paraId="71A35D57"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sz w:val="20"/>
                <w:szCs w:val="20"/>
              </w:rPr>
              <w:t>OE4</w:t>
            </w:r>
          </w:p>
        </w:tc>
        <w:tc>
          <w:tcPr>
            <w:tcW w:w="2280" w:type="dxa"/>
          </w:tcPr>
          <w:p w14:paraId="2340D6DB"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sz w:val="20"/>
                <w:szCs w:val="20"/>
              </w:rPr>
              <w:t>III — Evaluativa</w:t>
            </w:r>
          </w:p>
        </w:tc>
        <w:tc>
          <w:tcPr>
            <w:tcW w:w="2280" w:type="dxa"/>
          </w:tcPr>
          <w:p w14:paraId="097F59F7" w14:textId="2F9E97E3" w:rsidR="00B421EB" w:rsidRPr="00127B16" w:rsidRDefault="00000000">
            <w:pPr>
              <w:rPr>
                <w:rFonts w:ascii="Times New Roman" w:hAnsi="Times New Roman" w:cs="Times New Roman"/>
                <w:sz w:val="20"/>
                <w:szCs w:val="20"/>
                <w:lang w:val="es-CO"/>
              </w:rPr>
            </w:pPr>
            <w:r w:rsidRPr="00127B16">
              <w:rPr>
                <w:rFonts w:ascii="Times New Roman" w:hAnsi="Times New Roman" w:cs="Times New Roman"/>
                <w:sz w:val="20"/>
                <w:szCs w:val="20"/>
                <w:lang w:val="es-CO"/>
              </w:rPr>
              <w:t>Evaluar el efecto del modelo GDA sobre el VCO y su robustez mediante Monte Carlo, índices de Sobol y escenarios adversos, contrastando la hipótesis de que la gobernanza explica más varianza del VCO que la tecnología.</w:t>
            </w:r>
          </w:p>
        </w:tc>
        <w:tc>
          <w:tcPr>
            <w:tcW w:w="2280" w:type="dxa"/>
          </w:tcPr>
          <w:p w14:paraId="75AB1A5D"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sz w:val="20"/>
                <w:szCs w:val="20"/>
              </w:rPr>
              <w:t>Cap. 8</w:t>
            </w:r>
          </w:p>
        </w:tc>
      </w:tr>
    </w:tbl>
    <w:p w14:paraId="0FAB70E7" w14:textId="77777777" w:rsidR="00B421EB" w:rsidRPr="00127B16" w:rsidRDefault="00000000">
      <w:pPr>
        <w:spacing w:before="160"/>
        <w:rPr>
          <w:rFonts w:ascii="Times New Roman" w:hAnsi="Times New Roman" w:cs="Times New Roman"/>
          <w:sz w:val="20"/>
          <w:szCs w:val="20"/>
          <w:lang w:val="es-CO"/>
        </w:rPr>
      </w:pPr>
      <w:r w:rsidRPr="00127B16">
        <w:rPr>
          <w:rFonts w:ascii="Times New Roman" w:hAnsi="Times New Roman" w:cs="Times New Roman"/>
          <w:b/>
          <w:sz w:val="20"/>
          <w:szCs w:val="20"/>
          <w:lang w:val="es-CO"/>
        </w:rPr>
        <w:t xml:space="preserve">Hipótesis central: </w:t>
      </w:r>
      <w:r w:rsidRPr="00127B16">
        <w:rPr>
          <w:rFonts w:ascii="Times New Roman" w:hAnsi="Times New Roman" w:cs="Times New Roman"/>
          <w:sz w:val="20"/>
          <w:szCs w:val="20"/>
          <w:lang w:val="es-CO"/>
        </w:rPr>
        <w:t>La dimensión de gobernanza (subsistema social) explica una mayor proporción de la varianza del VCO que la dimensión tecnológica (subsistema técnico), evidenciando que la optimización conjunta (no solo lo digital) es la condición habilitante. Se contrasta con la descomposición de varianza de Sobol.</w:t>
      </w:r>
    </w:p>
    <w:p w14:paraId="0E8EFF7D" w14:textId="77777777" w:rsidR="00234F7F" w:rsidRDefault="00234F7F">
      <w:pPr>
        <w:spacing w:after="40"/>
        <w:rPr>
          <w:rFonts w:ascii="Times New Roman" w:hAnsi="Times New Roman" w:cs="Times New Roman"/>
          <w:b/>
          <w:sz w:val="20"/>
          <w:szCs w:val="20"/>
          <w:lang w:val="es-CO"/>
        </w:rPr>
      </w:pPr>
    </w:p>
    <w:p w14:paraId="64FD9A87" w14:textId="77777777" w:rsidR="00234F7F" w:rsidRDefault="00234F7F">
      <w:pPr>
        <w:spacing w:after="40"/>
        <w:rPr>
          <w:rFonts w:ascii="Times New Roman" w:hAnsi="Times New Roman" w:cs="Times New Roman"/>
          <w:b/>
          <w:sz w:val="20"/>
          <w:szCs w:val="20"/>
          <w:lang w:val="es-CO"/>
        </w:rPr>
      </w:pPr>
    </w:p>
    <w:p w14:paraId="4C764CB4" w14:textId="77777777" w:rsidR="00234F7F" w:rsidRDefault="00234F7F">
      <w:pPr>
        <w:spacing w:after="40"/>
        <w:rPr>
          <w:rFonts w:ascii="Times New Roman" w:hAnsi="Times New Roman" w:cs="Times New Roman"/>
          <w:b/>
          <w:sz w:val="20"/>
          <w:szCs w:val="20"/>
          <w:lang w:val="es-CO"/>
        </w:rPr>
      </w:pPr>
    </w:p>
    <w:p w14:paraId="73C90885" w14:textId="77777777" w:rsidR="00234F7F" w:rsidRDefault="00234F7F">
      <w:pPr>
        <w:spacing w:after="40"/>
        <w:rPr>
          <w:rFonts w:ascii="Times New Roman" w:hAnsi="Times New Roman" w:cs="Times New Roman"/>
          <w:b/>
          <w:sz w:val="20"/>
          <w:szCs w:val="20"/>
          <w:lang w:val="es-CO"/>
        </w:rPr>
      </w:pPr>
    </w:p>
    <w:p w14:paraId="212B2C1B" w14:textId="77777777" w:rsidR="00234F7F" w:rsidRDefault="00234F7F">
      <w:pPr>
        <w:spacing w:after="40"/>
        <w:rPr>
          <w:rFonts w:ascii="Times New Roman" w:hAnsi="Times New Roman" w:cs="Times New Roman"/>
          <w:b/>
          <w:sz w:val="20"/>
          <w:szCs w:val="20"/>
          <w:lang w:val="es-CO"/>
        </w:rPr>
      </w:pPr>
    </w:p>
    <w:p w14:paraId="2D474CE8" w14:textId="77777777" w:rsidR="00234F7F" w:rsidRDefault="00234F7F">
      <w:pPr>
        <w:spacing w:after="40"/>
        <w:rPr>
          <w:rFonts w:ascii="Times New Roman" w:hAnsi="Times New Roman" w:cs="Times New Roman"/>
          <w:b/>
          <w:sz w:val="20"/>
          <w:szCs w:val="20"/>
          <w:lang w:val="es-CO"/>
        </w:rPr>
      </w:pPr>
    </w:p>
    <w:p w14:paraId="7167033E" w14:textId="77777777" w:rsidR="00234F7F" w:rsidRDefault="00234F7F">
      <w:pPr>
        <w:spacing w:after="40"/>
        <w:rPr>
          <w:rFonts w:ascii="Times New Roman" w:hAnsi="Times New Roman" w:cs="Times New Roman"/>
          <w:b/>
          <w:sz w:val="20"/>
          <w:szCs w:val="20"/>
          <w:lang w:val="es-CO"/>
        </w:rPr>
      </w:pPr>
    </w:p>
    <w:p w14:paraId="11175F35" w14:textId="77777777" w:rsidR="00234F7F" w:rsidRDefault="00234F7F">
      <w:pPr>
        <w:spacing w:after="40"/>
        <w:rPr>
          <w:rFonts w:ascii="Times New Roman" w:hAnsi="Times New Roman" w:cs="Times New Roman"/>
          <w:b/>
          <w:sz w:val="20"/>
          <w:szCs w:val="20"/>
          <w:lang w:val="es-CO"/>
        </w:rPr>
      </w:pPr>
    </w:p>
    <w:p w14:paraId="0E32717B" w14:textId="77777777" w:rsidR="00234F7F" w:rsidRDefault="00234F7F">
      <w:pPr>
        <w:spacing w:after="40"/>
        <w:rPr>
          <w:rFonts w:ascii="Times New Roman" w:hAnsi="Times New Roman" w:cs="Times New Roman"/>
          <w:b/>
          <w:sz w:val="20"/>
          <w:szCs w:val="20"/>
          <w:lang w:val="es-CO"/>
        </w:rPr>
      </w:pPr>
    </w:p>
    <w:p w14:paraId="486D12EF" w14:textId="77777777" w:rsidR="00234F7F" w:rsidRDefault="00234F7F">
      <w:pPr>
        <w:spacing w:after="40"/>
        <w:rPr>
          <w:rFonts w:ascii="Times New Roman" w:hAnsi="Times New Roman" w:cs="Times New Roman"/>
          <w:b/>
          <w:sz w:val="20"/>
          <w:szCs w:val="20"/>
          <w:lang w:val="es-CO"/>
        </w:rPr>
      </w:pPr>
    </w:p>
    <w:p w14:paraId="081402E4" w14:textId="77777777" w:rsidR="00234F7F" w:rsidRDefault="00234F7F">
      <w:pPr>
        <w:spacing w:after="40"/>
        <w:rPr>
          <w:rFonts w:ascii="Times New Roman" w:hAnsi="Times New Roman" w:cs="Times New Roman"/>
          <w:b/>
          <w:sz w:val="20"/>
          <w:szCs w:val="20"/>
          <w:lang w:val="es-CO"/>
        </w:rPr>
      </w:pPr>
    </w:p>
    <w:p w14:paraId="08C77698" w14:textId="77777777" w:rsidR="00234F7F" w:rsidRDefault="00234F7F">
      <w:pPr>
        <w:spacing w:after="40"/>
        <w:rPr>
          <w:rFonts w:ascii="Times New Roman" w:hAnsi="Times New Roman" w:cs="Times New Roman"/>
          <w:b/>
          <w:sz w:val="20"/>
          <w:szCs w:val="20"/>
          <w:lang w:val="es-CO"/>
        </w:rPr>
      </w:pPr>
    </w:p>
    <w:p w14:paraId="6A50FF4E" w14:textId="77777777" w:rsidR="00234F7F" w:rsidRDefault="00234F7F">
      <w:pPr>
        <w:spacing w:after="40"/>
        <w:rPr>
          <w:rFonts w:ascii="Times New Roman" w:hAnsi="Times New Roman" w:cs="Times New Roman"/>
          <w:b/>
          <w:sz w:val="20"/>
          <w:szCs w:val="20"/>
          <w:lang w:val="es-CO"/>
        </w:rPr>
      </w:pPr>
    </w:p>
    <w:p w14:paraId="1FF89624" w14:textId="77777777" w:rsidR="00234F7F" w:rsidRDefault="00234F7F">
      <w:pPr>
        <w:spacing w:after="40"/>
        <w:rPr>
          <w:rFonts w:ascii="Times New Roman" w:hAnsi="Times New Roman" w:cs="Times New Roman"/>
          <w:b/>
          <w:sz w:val="20"/>
          <w:szCs w:val="20"/>
          <w:lang w:val="es-CO"/>
        </w:rPr>
      </w:pPr>
    </w:p>
    <w:p w14:paraId="2CF10316" w14:textId="77777777" w:rsidR="00234F7F" w:rsidRDefault="00234F7F">
      <w:pPr>
        <w:spacing w:after="40"/>
        <w:rPr>
          <w:rFonts w:ascii="Times New Roman" w:hAnsi="Times New Roman" w:cs="Times New Roman"/>
          <w:b/>
          <w:sz w:val="20"/>
          <w:szCs w:val="20"/>
          <w:lang w:val="es-CO"/>
        </w:rPr>
      </w:pPr>
    </w:p>
    <w:p w14:paraId="468DFC01" w14:textId="77777777" w:rsidR="00234F7F" w:rsidRDefault="00234F7F">
      <w:pPr>
        <w:spacing w:after="40"/>
        <w:rPr>
          <w:rFonts w:ascii="Times New Roman" w:hAnsi="Times New Roman" w:cs="Times New Roman"/>
          <w:b/>
          <w:sz w:val="20"/>
          <w:szCs w:val="20"/>
          <w:lang w:val="es-CO"/>
        </w:rPr>
      </w:pPr>
    </w:p>
    <w:p w14:paraId="1B2063DF" w14:textId="77777777" w:rsidR="00234F7F" w:rsidRDefault="00234F7F">
      <w:pPr>
        <w:spacing w:after="40"/>
        <w:rPr>
          <w:rFonts w:ascii="Times New Roman" w:hAnsi="Times New Roman" w:cs="Times New Roman"/>
          <w:b/>
          <w:sz w:val="20"/>
          <w:szCs w:val="20"/>
          <w:lang w:val="es-CO"/>
        </w:rPr>
      </w:pPr>
    </w:p>
    <w:p w14:paraId="6A73B90E" w14:textId="77777777" w:rsidR="00234F7F" w:rsidRDefault="00234F7F">
      <w:pPr>
        <w:spacing w:after="40"/>
        <w:rPr>
          <w:rFonts w:ascii="Times New Roman" w:hAnsi="Times New Roman" w:cs="Times New Roman"/>
          <w:b/>
          <w:sz w:val="20"/>
          <w:szCs w:val="20"/>
          <w:lang w:val="es-CO"/>
        </w:rPr>
      </w:pPr>
    </w:p>
    <w:p w14:paraId="386AC22D" w14:textId="77777777" w:rsidR="00234F7F" w:rsidRDefault="00234F7F">
      <w:pPr>
        <w:spacing w:after="40"/>
        <w:rPr>
          <w:rFonts w:ascii="Times New Roman" w:hAnsi="Times New Roman" w:cs="Times New Roman"/>
          <w:b/>
          <w:sz w:val="20"/>
          <w:szCs w:val="20"/>
          <w:lang w:val="es-CO"/>
        </w:rPr>
      </w:pPr>
    </w:p>
    <w:p w14:paraId="34CE8D1C" w14:textId="77777777" w:rsidR="00234F7F" w:rsidRDefault="00234F7F">
      <w:pPr>
        <w:spacing w:after="40"/>
        <w:rPr>
          <w:rFonts w:ascii="Times New Roman" w:hAnsi="Times New Roman" w:cs="Times New Roman"/>
          <w:b/>
          <w:sz w:val="20"/>
          <w:szCs w:val="20"/>
          <w:lang w:val="es-CO"/>
        </w:rPr>
      </w:pPr>
    </w:p>
    <w:p w14:paraId="1F40D648" w14:textId="77777777" w:rsidR="00234F7F" w:rsidRDefault="00234F7F">
      <w:pPr>
        <w:spacing w:after="40"/>
        <w:rPr>
          <w:rFonts w:ascii="Times New Roman" w:hAnsi="Times New Roman" w:cs="Times New Roman"/>
          <w:b/>
          <w:sz w:val="20"/>
          <w:szCs w:val="20"/>
          <w:lang w:val="es-CO"/>
        </w:rPr>
      </w:pPr>
    </w:p>
    <w:p w14:paraId="038E6B98" w14:textId="77777777" w:rsidR="00234F7F" w:rsidRDefault="00234F7F">
      <w:pPr>
        <w:spacing w:after="40"/>
        <w:rPr>
          <w:rFonts w:ascii="Times New Roman" w:hAnsi="Times New Roman" w:cs="Times New Roman"/>
          <w:b/>
          <w:sz w:val="20"/>
          <w:szCs w:val="20"/>
          <w:lang w:val="es-CO"/>
        </w:rPr>
      </w:pPr>
    </w:p>
    <w:p w14:paraId="7EBBA18F" w14:textId="77777777" w:rsidR="00234F7F" w:rsidRDefault="00234F7F">
      <w:pPr>
        <w:spacing w:after="40"/>
        <w:rPr>
          <w:rFonts w:ascii="Times New Roman" w:hAnsi="Times New Roman" w:cs="Times New Roman"/>
          <w:b/>
          <w:sz w:val="20"/>
          <w:szCs w:val="20"/>
          <w:lang w:val="es-CO"/>
        </w:rPr>
      </w:pPr>
    </w:p>
    <w:p w14:paraId="37F795D9" w14:textId="77777777" w:rsidR="00234F7F" w:rsidRDefault="00234F7F">
      <w:pPr>
        <w:spacing w:after="40"/>
        <w:rPr>
          <w:rFonts w:ascii="Times New Roman" w:hAnsi="Times New Roman" w:cs="Times New Roman"/>
          <w:b/>
          <w:sz w:val="20"/>
          <w:szCs w:val="20"/>
          <w:lang w:val="es-CO"/>
        </w:rPr>
      </w:pPr>
    </w:p>
    <w:p w14:paraId="1B7C40D9" w14:textId="77777777" w:rsidR="00234F7F" w:rsidRDefault="00234F7F">
      <w:pPr>
        <w:spacing w:after="40"/>
        <w:rPr>
          <w:rFonts w:ascii="Times New Roman" w:hAnsi="Times New Roman" w:cs="Times New Roman"/>
          <w:b/>
          <w:sz w:val="20"/>
          <w:szCs w:val="20"/>
          <w:lang w:val="es-CO"/>
        </w:rPr>
      </w:pPr>
    </w:p>
    <w:p w14:paraId="1491AAA0" w14:textId="77777777" w:rsidR="00234F7F" w:rsidRDefault="00234F7F">
      <w:pPr>
        <w:spacing w:after="40"/>
        <w:rPr>
          <w:rFonts w:ascii="Times New Roman" w:hAnsi="Times New Roman" w:cs="Times New Roman"/>
          <w:b/>
          <w:sz w:val="20"/>
          <w:szCs w:val="20"/>
          <w:lang w:val="es-CO"/>
        </w:rPr>
      </w:pPr>
    </w:p>
    <w:p w14:paraId="7005389D" w14:textId="2602EBED" w:rsidR="00234F7F" w:rsidRDefault="00234F7F" w:rsidP="00234F7F">
      <w:pPr>
        <w:spacing w:after="40"/>
        <w:jc w:val="center"/>
        <w:rPr>
          <w:rFonts w:ascii="Times New Roman" w:hAnsi="Times New Roman" w:cs="Times New Roman"/>
          <w:b/>
          <w:sz w:val="20"/>
          <w:szCs w:val="20"/>
          <w:lang w:val="es-CO"/>
        </w:rPr>
      </w:pPr>
      <w:r>
        <w:rPr>
          <w:rFonts w:ascii="Times New Roman" w:hAnsi="Times New Roman" w:cs="Times New Roman"/>
          <w:b/>
          <w:sz w:val="20"/>
          <w:szCs w:val="20"/>
          <w:lang w:val="es-CO"/>
        </w:rPr>
        <w:lastRenderedPageBreak/>
        <w:t>CONTENIDO</w:t>
      </w:r>
    </w:p>
    <w:p w14:paraId="7B46784B" w14:textId="77777777" w:rsidR="00234F7F" w:rsidRDefault="00234F7F">
      <w:pPr>
        <w:spacing w:after="40"/>
        <w:rPr>
          <w:rFonts w:ascii="Times New Roman" w:hAnsi="Times New Roman" w:cs="Times New Roman"/>
          <w:b/>
          <w:sz w:val="20"/>
          <w:szCs w:val="20"/>
          <w:lang w:val="es-CO"/>
        </w:rPr>
      </w:pPr>
    </w:p>
    <w:p w14:paraId="6F080398" w14:textId="334B6F9A" w:rsidR="00B421EB" w:rsidRPr="00127B16" w:rsidRDefault="00000000">
      <w:pPr>
        <w:spacing w:after="40"/>
        <w:rPr>
          <w:rFonts w:ascii="Times New Roman" w:hAnsi="Times New Roman" w:cs="Times New Roman"/>
          <w:sz w:val="20"/>
          <w:szCs w:val="20"/>
          <w:lang w:val="es-CO"/>
        </w:rPr>
      </w:pPr>
      <w:r w:rsidRPr="00127B16">
        <w:rPr>
          <w:rFonts w:ascii="Times New Roman" w:hAnsi="Times New Roman" w:cs="Times New Roman"/>
          <w:b/>
          <w:sz w:val="20"/>
          <w:szCs w:val="20"/>
          <w:lang w:val="es-CO"/>
        </w:rPr>
        <w:t>ABSTRACT (</w:t>
      </w:r>
      <w:proofErr w:type="gramStart"/>
      <w:r w:rsidRPr="00127B16">
        <w:rPr>
          <w:rFonts w:ascii="Times New Roman" w:hAnsi="Times New Roman" w:cs="Times New Roman"/>
          <w:b/>
          <w:sz w:val="20"/>
          <w:szCs w:val="20"/>
          <w:lang w:val="es-CO"/>
        </w:rPr>
        <w:t>Inglés</w:t>
      </w:r>
      <w:proofErr w:type="gramEnd"/>
      <w:r w:rsidRPr="00127B16">
        <w:rPr>
          <w:rFonts w:ascii="Times New Roman" w:hAnsi="Times New Roman" w:cs="Times New Roman"/>
          <w:b/>
          <w:sz w:val="20"/>
          <w:szCs w:val="20"/>
          <w:lang w:val="es-CO"/>
        </w:rPr>
        <w:t>)</w:t>
      </w:r>
    </w:p>
    <w:p w14:paraId="217EE398" w14:textId="77777777" w:rsidR="00B421EB" w:rsidRPr="00127B16" w:rsidRDefault="00000000">
      <w:pPr>
        <w:spacing w:after="40"/>
        <w:rPr>
          <w:rFonts w:ascii="Times New Roman" w:hAnsi="Times New Roman" w:cs="Times New Roman"/>
          <w:sz w:val="20"/>
          <w:szCs w:val="20"/>
          <w:lang w:val="es-CO"/>
        </w:rPr>
      </w:pPr>
      <w:r w:rsidRPr="00127B16">
        <w:rPr>
          <w:rFonts w:ascii="Times New Roman" w:hAnsi="Times New Roman" w:cs="Times New Roman"/>
          <w:b/>
          <w:sz w:val="20"/>
          <w:szCs w:val="20"/>
          <w:lang w:val="es-CO"/>
        </w:rPr>
        <w:t>RESUMEN (</w:t>
      </w:r>
      <w:proofErr w:type="gramStart"/>
      <w:r w:rsidRPr="00127B16">
        <w:rPr>
          <w:rFonts w:ascii="Times New Roman" w:hAnsi="Times New Roman" w:cs="Times New Roman"/>
          <w:b/>
          <w:sz w:val="20"/>
          <w:szCs w:val="20"/>
          <w:lang w:val="es-CO"/>
        </w:rPr>
        <w:t>Español</w:t>
      </w:r>
      <w:proofErr w:type="gramEnd"/>
      <w:r w:rsidRPr="00127B16">
        <w:rPr>
          <w:rFonts w:ascii="Times New Roman" w:hAnsi="Times New Roman" w:cs="Times New Roman"/>
          <w:b/>
          <w:sz w:val="20"/>
          <w:szCs w:val="20"/>
          <w:lang w:val="es-CO"/>
        </w:rPr>
        <w:t>)</w:t>
      </w:r>
    </w:p>
    <w:p w14:paraId="1BEDFDFC" w14:textId="77777777" w:rsidR="00B421EB" w:rsidRPr="00127B16" w:rsidRDefault="00000000">
      <w:pPr>
        <w:spacing w:after="40"/>
        <w:rPr>
          <w:rFonts w:ascii="Times New Roman" w:hAnsi="Times New Roman" w:cs="Times New Roman"/>
          <w:sz w:val="20"/>
          <w:szCs w:val="20"/>
          <w:lang w:val="es-CO"/>
        </w:rPr>
      </w:pPr>
      <w:r w:rsidRPr="00127B16">
        <w:rPr>
          <w:rFonts w:ascii="Times New Roman" w:hAnsi="Times New Roman" w:cs="Times New Roman"/>
          <w:b/>
          <w:sz w:val="20"/>
          <w:szCs w:val="20"/>
          <w:lang w:val="es-CO"/>
        </w:rPr>
        <w:t>LISTA DE TABLAS</w:t>
      </w:r>
    </w:p>
    <w:p w14:paraId="14357621" w14:textId="77777777" w:rsidR="00B421EB" w:rsidRPr="00127B16" w:rsidRDefault="00000000">
      <w:pPr>
        <w:spacing w:after="40"/>
        <w:rPr>
          <w:rFonts w:ascii="Times New Roman" w:hAnsi="Times New Roman" w:cs="Times New Roman"/>
          <w:sz w:val="20"/>
          <w:szCs w:val="20"/>
          <w:lang w:val="es-CO"/>
        </w:rPr>
      </w:pPr>
      <w:r w:rsidRPr="00127B16">
        <w:rPr>
          <w:rFonts w:ascii="Times New Roman" w:hAnsi="Times New Roman" w:cs="Times New Roman"/>
          <w:b/>
          <w:sz w:val="20"/>
          <w:szCs w:val="20"/>
          <w:lang w:val="es-CO"/>
        </w:rPr>
        <w:t>LISTA DE FIGURAS</w:t>
      </w:r>
    </w:p>
    <w:p w14:paraId="620191B3" w14:textId="77777777" w:rsidR="00B421EB" w:rsidRPr="00127B16" w:rsidRDefault="00000000">
      <w:pPr>
        <w:spacing w:after="40"/>
        <w:rPr>
          <w:rFonts w:ascii="Times New Roman" w:hAnsi="Times New Roman" w:cs="Times New Roman"/>
          <w:sz w:val="20"/>
          <w:szCs w:val="20"/>
          <w:lang w:val="es-CO"/>
        </w:rPr>
      </w:pPr>
      <w:r w:rsidRPr="00127B16">
        <w:rPr>
          <w:rFonts w:ascii="Times New Roman" w:hAnsi="Times New Roman" w:cs="Times New Roman"/>
          <w:b/>
          <w:sz w:val="20"/>
          <w:szCs w:val="20"/>
          <w:lang w:val="es-CO"/>
        </w:rPr>
        <w:t>LISTA DE ACRÓNIMOS Y ABREVIATURAS</w:t>
      </w:r>
    </w:p>
    <w:p w14:paraId="713F6554" w14:textId="77777777" w:rsidR="00B421EB" w:rsidRPr="00127B16" w:rsidRDefault="00B421EB">
      <w:pPr>
        <w:rPr>
          <w:rFonts w:ascii="Times New Roman" w:hAnsi="Times New Roman" w:cs="Times New Roman"/>
          <w:sz w:val="20"/>
          <w:szCs w:val="20"/>
          <w:lang w:val="es-CO"/>
        </w:rPr>
      </w:pPr>
    </w:p>
    <w:p w14:paraId="281F3789" w14:textId="77777777" w:rsidR="00B421EB" w:rsidRPr="00127B16" w:rsidRDefault="00000000">
      <w:pPr>
        <w:spacing w:before="280" w:after="40"/>
        <w:rPr>
          <w:rFonts w:ascii="Times New Roman" w:hAnsi="Times New Roman" w:cs="Times New Roman"/>
          <w:sz w:val="20"/>
          <w:szCs w:val="20"/>
          <w:lang w:val="es-CO"/>
        </w:rPr>
      </w:pPr>
      <w:r w:rsidRPr="00127B16">
        <w:rPr>
          <w:rFonts w:ascii="Times New Roman" w:hAnsi="Times New Roman" w:cs="Times New Roman"/>
          <w:b/>
          <w:sz w:val="20"/>
          <w:szCs w:val="20"/>
          <w:lang w:val="es-CO"/>
        </w:rPr>
        <w:t>CAPÍTULO 1: INTRODUCCIÓN A LA TESIS</w:t>
      </w:r>
    </w:p>
    <w:p w14:paraId="50A24B86"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1.1. Introducción</w:t>
      </w:r>
    </w:p>
    <w:p w14:paraId="7D383BD4"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1.2. Contexto de la investigación</w:t>
      </w:r>
    </w:p>
    <w:p w14:paraId="715C2049"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1.2.1. El café en la economía colombiana</w:t>
      </w:r>
    </w:p>
    <w:p w14:paraId="764F7C7D"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1.2.2. Distribución del valor en la cadena global y la brecha del VCO</w:t>
      </w:r>
    </w:p>
    <w:p w14:paraId="6267BDDF"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1.2.3. El minifundio cafetero como universo de estudio</w:t>
      </w:r>
    </w:p>
    <w:p w14:paraId="40EBF498"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1.3. El posconflicto colombiano y los PDET</w:t>
      </w:r>
    </w:p>
    <w:p w14:paraId="37134A3B"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1.3.1. El Acuerdo de Paz de 2016</w:t>
      </w:r>
    </w:p>
    <w:p w14:paraId="7A137932"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1.3.2. Los Programas de Desarrollo con Enfoque Territorial</w:t>
      </w:r>
    </w:p>
    <w:p w14:paraId="581D631B"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1.3.3. La caficultura como vehículo de reincorporación</w:t>
      </w:r>
    </w:p>
    <w:p w14:paraId="7A6FEB08"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1.4. La gobernanza como factor habilitante</w:t>
      </w:r>
    </w:p>
    <w:p w14:paraId="32988526"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1.4.1. Gobernanza de comunes en organizaciones productoras</w:t>
      </w:r>
    </w:p>
    <w:p w14:paraId="2038C45F"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1.4.2. La transformación digital de las organizaciones rurales</w:t>
      </w:r>
    </w:p>
    <w:p w14:paraId="3CD22184"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1.4.3. La sostenibilidad como atributo de valor</w:t>
      </w:r>
    </w:p>
    <w:p w14:paraId="645C96D9"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1.4.4. La bioeconomía territorial y la diversificación bio-basada como palancas transversales del VCO</w:t>
      </w:r>
    </w:p>
    <w:p w14:paraId="4F13F120"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1.5. Planteamiento del problema de investigación</w:t>
      </w:r>
    </w:p>
    <w:p w14:paraId="4B1640DA"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1.5.1. La brecha del valor capturado en origen (VCO)</w:t>
      </w:r>
    </w:p>
    <w:p w14:paraId="2FC2B813"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1.5.2. Los cuatro déficits estructurales</w:t>
      </w:r>
    </w:p>
    <w:p w14:paraId="5C1C7250"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1.5.3. Pregunta de investigación, hipótesis y objetivos</w:t>
      </w:r>
    </w:p>
    <w:p w14:paraId="4A5A56DB"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1.6. Visión general de la metodología</w:t>
      </w:r>
    </w:p>
    <w:p w14:paraId="06C2E9B3" w14:textId="744AECB7" w:rsidR="00B421EB" w:rsidRPr="00127B16" w:rsidRDefault="00000000">
      <w:pPr>
        <w:spacing w:after="0"/>
        <w:ind w:left="397"/>
        <w:rPr>
          <w:rFonts w:ascii="Times New Roman" w:hAnsi="Times New Roman" w:cs="Times New Roman"/>
          <w:sz w:val="20"/>
          <w:szCs w:val="20"/>
        </w:rPr>
      </w:pPr>
      <w:r w:rsidRPr="00127B16">
        <w:rPr>
          <w:rFonts w:ascii="Times New Roman" w:hAnsi="Times New Roman" w:cs="Times New Roman"/>
          <w:sz w:val="20"/>
          <w:szCs w:val="20"/>
          <w:lang w:val="es-CO"/>
        </w:rPr>
        <w:t xml:space="preserve">1.6.1. </w:t>
      </w:r>
      <w:r w:rsidRPr="00127B16">
        <w:rPr>
          <w:rFonts w:ascii="Times New Roman" w:hAnsi="Times New Roman" w:cs="Times New Roman"/>
          <w:sz w:val="20"/>
          <w:szCs w:val="20"/>
        </w:rPr>
        <w:t>Design Science Research (Hevner et al., 2004)</w:t>
      </w:r>
    </w:p>
    <w:p w14:paraId="7E8C3F35" w14:textId="75C07B66"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1.6.2. Análisis Cualitativo Comparativo (</w:t>
      </w:r>
      <w:proofErr w:type="spellStart"/>
      <w:r w:rsidRPr="00127B16">
        <w:rPr>
          <w:rFonts w:ascii="Times New Roman" w:hAnsi="Times New Roman" w:cs="Times New Roman"/>
          <w:sz w:val="20"/>
          <w:szCs w:val="20"/>
          <w:lang w:val="es-CO"/>
        </w:rPr>
        <w:t>fsQCA</w:t>
      </w:r>
      <w:proofErr w:type="spellEnd"/>
      <w:r w:rsidRPr="00127B16">
        <w:rPr>
          <w:rFonts w:ascii="Times New Roman" w:hAnsi="Times New Roman" w:cs="Times New Roman"/>
          <w:sz w:val="20"/>
          <w:szCs w:val="20"/>
          <w:lang w:val="es-CO"/>
        </w:rPr>
        <w:t>)</w:t>
      </w:r>
    </w:p>
    <w:p w14:paraId="6561C385"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1.6.3. Simulación Monte Carlo e índices de sensibilidad de Sobol</w:t>
      </w:r>
    </w:p>
    <w:p w14:paraId="7296BB7A"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1.6.4. Enfoque mixto secuencial: integración de métodos cualitativos y cuantitativos</w:t>
      </w:r>
    </w:p>
    <w:p w14:paraId="1BA32252"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1.7. Contribuciones esperadas</w:t>
      </w:r>
    </w:p>
    <w:p w14:paraId="5C6865F3"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1.7.1. Contribución teórica</w:t>
      </w:r>
    </w:p>
    <w:p w14:paraId="2C1C0407"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1.7.2. Contribución metodológica</w:t>
      </w:r>
    </w:p>
    <w:p w14:paraId="49D357D6"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1.7.3. Contribución praxeológica</w:t>
      </w:r>
    </w:p>
    <w:p w14:paraId="4BDD77AC"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1.8. Estructura de la tesis</w:t>
      </w:r>
    </w:p>
    <w:p w14:paraId="0A44CD8A" w14:textId="77777777" w:rsidR="00B421EB" w:rsidRPr="00127B16" w:rsidRDefault="00000000">
      <w:pPr>
        <w:spacing w:before="280" w:after="40"/>
        <w:rPr>
          <w:rFonts w:ascii="Times New Roman" w:hAnsi="Times New Roman" w:cs="Times New Roman"/>
          <w:sz w:val="20"/>
          <w:szCs w:val="20"/>
          <w:lang w:val="es-CO"/>
        </w:rPr>
      </w:pPr>
      <w:r w:rsidRPr="00127B16">
        <w:rPr>
          <w:rFonts w:ascii="Times New Roman" w:hAnsi="Times New Roman" w:cs="Times New Roman"/>
          <w:b/>
          <w:sz w:val="20"/>
          <w:szCs w:val="20"/>
          <w:lang w:val="es-CO"/>
        </w:rPr>
        <w:t>CAPÍTULO 2: EL CAFÉ EN COLOMBIA Y EN EL MUNDO</w:t>
      </w:r>
    </w:p>
    <w:p w14:paraId="0C8DE8A0"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2.1. Introducción</w:t>
      </w:r>
    </w:p>
    <w:p w14:paraId="3B21EC29"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2.2. Historia del café en Colombia</w:t>
      </w:r>
    </w:p>
    <w:p w14:paraId="1F6DB6EA"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2.3. Tendencias mundiales en la producción</w:t>
      </w:r>
    </w:p>
    <w:p w14:paraId="4F0EF690"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2.3.1. Principales países productores</w:t>
      </w:r>
    </w:p>
    <w:p w14:paraId="0C15DE10"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lastRenderedPageBreak/>
        <w:t>2.3.2. Posición de Colombia en el mercado mundial</w:t>
      </w:r>
    </w:p>
    <w:p w14:paraId="3DF4C6EE"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2.3.3. Evolución de la productividad</w:t>
      </w:r>
    </w:p>
    <w:p w14:paraId="72807E5C"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2.4. Consumo, importaciones y exportaciones</w:t>
      </w:r>
    </w:p>
    <w:p w14:paraId="467C90D3"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2.4.1. Principales mercados de destino del café colombiano</w:t>
      </w:r>
    </w:p>
    <w:p w14:paraId="33CCBCCE"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2.4.2. Estados Unidos como mercado principal</w:t>
      </w:r>
    </w:p>
    <w:p w14:paraId="5073EF9F"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2.4.3. La Unión Europea como mercado estratégico</w:t>
      </w:r>
    </w:p>
    <w:p w14:paraId="0ABC76DD"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2.5. Precios del café</w:t>
      </w:r>
    </w:p>
    <w:p w14:paraId="7B28B66D"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2.5.1. El Contrato C y la formación internacional de precios</w:t>
      </w:r>
    </w:p>
    <w:p w14:paraId="63EB7200"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 xml:space="preserve">2.5.2. El precio interno colombiano y el </w:t>
      </w:r>
      <w:proofErr w:type="spellStart"/>
      <w:r w:rsidRPr="00127B16">
        <w:rPr>
          <w:rFonts w:ascii="Times New Roman" w:hAnsi="Times New Roman" w:cs="Times New Roman"/>
          <w:sz w:val="20"/>
          <w:szCs w:val="20"/>
          <w:lang w:val="es-CO"/>
        </w:rPr>
        <w:t>FEPCafé</w:t>
      </w:r>
      <w:proofErr w:type="spellEnd"/>
    </w:p>
    <w:p w14:paraId="5A815452"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2.5.3. Diferencial UGQ y prima de calidad</w:t>
      </w:r>
    </w:p>
    <w:p w14:paraId="2E8CC454"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2.6. La cadena de valor del café colombiano</w:t>
      </w:r>
    </w:p>
    <w:p w14:paraId="69548BA0"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2.6.1. Eslabones productivos y comerciales</w:t>
      </w:r>
    </w:p>
    <w:p w14:paraId="6B7D7368"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2.6.2. Distribución del valor entre actores</w:t>
      </w:r>
    </w:p>
    <w:p w14:paraId="46C14767"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2.6.3. El caficultor en el eslabón de menor captura</w:t>
      </w:r>
    </w:p>
    <w:p w14:paraId="7FDD2689"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2.7. Segmentación del café</w:t>
      </w:r>
    </w:p>
    <w:p w14:paraId="621C5A17"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2.7.1. Café convencional vs. cafés especiales</w:t>
      </w:r>
    </w:p>
    <w:p w14:paraId="74B91C2A" w14:textId="04A708C1"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2.7.2. Métodos de procesamiento</w:t>
      </w:r>
      <w:r w:rsidR="00234F7F">
        <w:rPr>
          <w:rFonts w:ascii="Times New Roman" w:hAnsi="Times New Roman" w:cs="Times New Roman"/>
          <w:sz w:val="20"/>
          <w:szCs w:val="20"/>
          <w:lang w:val="es-CO"/>
        </w:rPr>
        <w:t xml:space="preserve"> y agregación de valor en finca</w:t>
      </w:r>
    </w:p>
    <w:p w14:paraId="7C7A621A"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2.7.3. Café de origen y trazabilidad</w:t>
      </w:r>
    </w:p>
    <w:p w14:paraId="7E12808B"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2.8. Políticas e institucionalidad cafetera en Colombia</w:t>
      </w:r>
    </w:p>
    <w:p w14:paraId="26DA5380"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2.8.1. La Federación Nacional de Cafeteros (FNC)</w:t>
      </w:r>
    </w:p>
    <w:p w14:paraId="20C22AD8"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 xml:space="preserve">2.8.2. El </w:t>
      </w:r>
      <w:proofErr w:type="spellStart"/>
      <w:r w:rsidRPr="00127B16">
        <w:rPr>
          <w:rFonts w:ascii="Times New Roman" w:hAnsi="Times New Roman" w:cs="Times New Roman"/>
          <w:sz w:val="20"/>
          <w:szCs w:val="20"/>
          <w:lang w:val="es-CO"/>
        </w:rPr>
        <w:t>FEPCafé</w:t>
      </w:r>
      <w:proofErr w:type="spellEnd"/>
      <w:r w:rsidRPr="00127B16">
        <w:rPr>
          <w:rFonts w:ascii="Times New Roman" w:hAnsi="Times New Roman" w:cs="Times New Roman"/>
          <w:sz w:val="20"/>
          <w:szCs w:val="20"/>
          <w:lang w:val="es-CO"/>
        </w:rPr>
        <w:t xml:space="preserve"> y el costo medio de producción</w:t>
      </w:r>
    </w:p>
    <w:p w14:paraId="53F27609"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2.8.3. Programas de apoyo y financiamiento</w:t>
      </w:r>
    </w:p>
    <w:p w14:paraId="17A721BF"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2.9. Caficultura y posconflicto</w:t>
      </w:r>
    </w:p>
    <w:p w14:paraId="01C65423"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2.9.1. Territorios PDET cafeteros</w:t>
      </w:r>
    </w:p>
    <w:p w14:paraId="30967B96"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2.9.2. Iniciativas de café para la paz</w:t>
      </w:r>
    </w:p>
    <w:p w14:paraId="180FFE2B"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2.9.3. La red FEMNCAFE</w:t>
      </w:r>
    </w:p>
    <w:p w14:paraId="3896657A" w14:textId="77777777" w:rsidR="00B421EB" w:rsidRPr="00127B16" w:rsidRDefault="00000000">
      <w:pPr>
        <w:spacing w:before="280" w:after="40"/>
        <w:rPr>
          <w:rFonts w:ascii="Times New Roman" w:hAnsi="Times New Roman" w:cs="Times New Roman"/>
          <w:sz w:val="20"/>
          <w:szCs w:val="20"/>
          <w:lang w:val="es-CO"/>
        </w:rPr>
      </w:pPr>
      <w:r w:rsidRPr="00127B16">
        <w:rPr>
          <w:rFonts w:ascii="Times New Roman" w:hAnsi="Times New Roman" w:cs="Times New Roman"/>
          <w:b/>
          <w:sz w:val="20"/>
          <w:szCs w:val="20"/>
          <w:lang w:val="es-CO"/>
        </w:rPr>
        <w:t>CAPÍTULO 3: GOBERNANZA Y CADENAS GLOBALES DE VALOR</w:t>
      </w:r>
    </w:p>
    <w:p w14:paraId="7CBFD973"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3.1. Introducción</w:t>
      </w:r>
    </w:p>
    <w:p w14:paraId="670612B3"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3.2. El marco analítico de las Cadenas Globales de Valor</w:t>
      </w:r>
    </w:p>
    <w:p w14:paraId="6F085C07"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3.2.1. Origen y evolución del concepto</w:t>
      </w:r>
    </w:p>
    <w:p w14:paraId="2EBF742D"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3.2.2. Las tres variables determinantes de Gereffi, Humphrey y Sturgeon</w:t>
      </w:r>
    </w:p>
    <w:p w14:paraId="01D8B11A"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3.2.3. Los cinco tipos de gobernanza</w:t>
      </w:r>
    </w:p>
    <w:p w14:paraId="710EE23F"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3.3. La cadena cautiva del café colombiano</w:t>
      </w:r>
    </w:p>
    <w:p w14:paraId="630A86BE"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3.3.1. Caracterización como oligopsonio</w:t>
      </w:r>
    </w:p>
    <w:p w14:paraId="25E02188"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3.3.2. Mecanismos de extracción de renta territorial</w:t>
      </w:r>
    </w:p>
    <w:p w14:paraId="22733793"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3.3.3. Asimetrías estructurales de poder</w:t>
      </w:r>
    </w:p>
    <w:p w14:paraId="3927BBB9" w14:textId="2B32079E"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3.4. La evolución del poder en la cadena del café</w:t>
      </w:r>
    </w:p>
    <w:p w14:paraId="44598053"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3.4.1. Tres fases históricas (pre-1989, 1989-2000, post-2000)</w:t>
      </w:r>
    </w:p>
    <w:p w14:paraId="389CBB02"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3.4.2. Los cuatro tipos de poder en la cadena</w:t>
      </w:r>
    </w:p>
    <w:p w14:paraId="6FBF00CF"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3.4.3. La paradoja de los sellos de sostenibilidad</w:t>
      </w:r>
    </w:p>
    <w:p w14:paraId="0D8EF12D"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 xml:space="preserve">3.5. </w:t>
      </w:r>
      <w:proofErr w:type="spellStart"/>
      <w:r w:rsidRPr="00127B16">
        <w:rPr>
          <w:rFonts w:ascii="Times New Roman" w:hAnsi="Times New Roman" w:cs="Times New Roman"/>
          <w:b/>
          <w:sz w:val="20"/>
          <w:szCs w:val="20"/>
          <w:lang w:val="es-CO"/>
        </w:rPr>
        <w:t>Upgrading</w:t>
      </w:r>
      <w:proofErr w:type="spellEnd"/>
      <w:r w:rsidRPr="00127B16">
        <w:rPr>
          <w:rFonts w:ascii="Times New Roman" w:hAnsi="Times New Roman" w:cs="Times New Roman"/>
          <w:b/>
          <w:sz w:val="20"/>
          <w:szCs w:val="20"/>
          <w:lang w:val="es-CO"/>
        </w:rPr>
        <w:t xml:space="preserve"> en cadenas globales</w:t>
      </w:r>
    </w:p>
    <w:p w14:paraId="3FC6F515"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 xml:space="preserve">3.5.1. </w:t>
      </w:r>
      <w:proofErr w:type="spellStart"/>
      <w:r w:rsidRPr="00127B16">
        <w:rPr>
          <w:rFonts w:ascii="Times New Roman" w:hAnsi="Times New Roman" w:cs="Times New Roman"/>
          <w:sz w:val="20"/>
          <w:szCs w:val="20"/>
          <w:lang w:val="es-CO"/>
        </w:rPr>
        <w:t>Upgrading</w:t>
      </w:r>
      <w:proofErr w:type="spellEnd"/>
      <w:r w:rsidRPr="00127B16">
        <w:rPr>
          <w:rFonts w:ascii="Times New Roman" w:hAnsi="Times New Roman" w:cs="Times New Roman"/>
          <w:sz w:val="20"/>
          <w:szCs w:val="20"/>
          <w:lang w:val="es-CO"/>
        </w:rPr>
        <w:t xml:space="preserve"> de proceso, producto, funcional e intersectorial</w:t>
      </w:r>
    </w:p>
    <w:p w14:paraId="4EB50723" w14:textId="145CFAE3"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3.5.2. Trayectorias posibles para organizaciones en países de ingreso medio</w:t>
      </w:r>
    </w:p>
    <w:p w14:paraId="11DFA1C2"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3.5.3. Hacia cadenas modulares y relacionales</w:t>
      </w:r>
    </w:p>
    <w:p w14:paraId="4B4D535C" w14:textId="0494182D"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lastRenderedPageBreak/>
        <w:t>3.6. Redes de producción global</w:t>
      </w:r>
    </w:p>
    <w:p w14:paraId="7083DFFD"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3.6.1. Actores no empresariales en la cadena</w:t>
      </w:r>
    </w:p>
    <w:p w14:paraId="0E34D883"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3.6.2. El papel del Estado, las ONG y la cooperación internacional</w:t>
      </w:r>
    </w:p>
    <w:p w14:paraId="1C62C6C6"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3.6.3. Aplicación al contexto PDET</w:t>
      </w:r>
    </w:p>
    <w:p w14:paraId="147061B7" w14:textId="4E119840"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3.6.4. Innovación en subsidiarias y cadenas colombianas: implicaciones para el café</w:t>
      </w:r>
    </w:p>
    <w:p w14:paraId="36615D68"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3.7. Diagnóstico del café colombiano como caso paradigmático</w:t>
      </w:r>
    </w:p>
    <w:p w14:paraId="504933E6" w14:textId="77777777" w:rsidR="00B421EB" w:rsidRPr="00127B16" w:rsidRDefault="00000000">
      <w:pPr>
        <w:spacing w:before="280" w:after="40"/>
        <w:rPr>
          <w:rFonts w:ascii="Times New Roman" w:hAnsi="Times New Roman" w:cs="Times New Roman"/>
          <w:sz w:val="20"/>
          <w:szCs w:val="20"/>
          <w:lang w:val="es-CO"/>
        </w:rPr>
      </w:pPr>
      <w:r w:rsidRPr="00127B16">
        <w:rPr>
          <w:rFonts w:ascii="Times New Roman" w:hAnsi="Times New Roman" w:cs="Times New Roman"/>
          <w:b/>
          <w:sz w:val="20"/>
          <w:szCs w:val="20"/>
          <w:lang w:val="es-CO"/>
        </w:rPr>
        <w:t>CAPÍTULO 4: GOBERNANZA DE COMUNES, POSCONFLICTO Y SOSTENIBILIDAD</w:t>
      </w:r>
    </w:p>
    <w:p w14:paraId="2358E595"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4.1. Introducción</w:t>
      </w:r>
    </w:p>
    <w:p w14:paraId="246C559B" w14:textId="7AC8C936"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4.2. La teoría de gobernanza de comunes</w:t>
      </w:r>
    </w:p>
    <w:p w14:paraId="6B1CD1EE"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4.2.1. El problema de los recursos de uso común</w:t>
      </w:r>
    </w:p>
    <w:p w14:paraId="4BAE8142"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4.2.2. Los ocho principios de diseño institucional</w:t>
      </w:r>
    </w:p>
    <w:p w14:paraId="00A1AD1A" w14:textId="140ABB86"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 xml:space="preserve">4.2.3. Validación empírica </w:t>
      </w:r>
      <w:proofErr w:type="spellStart"/>
      <w:r w:rsidRPr="00127B16">
        <w:rPr>
          <w:rFonts w:ascii="Times New Roman" w:hAnsi="Times New Roman" w:cs="Times New Roman"/>
          <w:sz w:val="20"/>
          <w:szCs w:val="20"/>
          <w:lang w:val="es-CO"/>
        </w:rPr>
        <w:t>multicontextual</w:t>
      </w:r>
      <w:proofErr w:type="spellEnd"/>
    </w:p>
    <w:p w14:paraId="557A760B"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4.3. Capital social y posconflicto en Colombia</w:t>
      </w:r>
    </w:p>
    <w:p w14:paraId="560F554B" w14:textId="03DC0C0A"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4.3.1. Erosión del capital social por el conflicto armado</w:t>
      </w:r>
    </w:p>
    <w:p w14:paraId="254806A0"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4.3.2. La cultura colectiva de los firmantes de paz como activo</w:t>
      </w:r>
    </w:p>
    <w:p w14:paraId="5732DC93"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4.3.3. Ausencia estatal histórica como causa estructural</w:t>
      </w:r>
    </w:p>
    <w:p w14:paraId="5544D2EF" w14:textId="2BC69302"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4.4. Cooperativismo agroalimentario y sus fallas</w:t>
      </w:r>
    </w:p>
    <w:p w14:paraId="4C5D0B5E"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4.4.1. Estructuras de gobernanza en cooperativas cafeteras colombianas</w:t>
      </w:r>
    </w:p>
    <w:p w14:paraId="2889E83F"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4.4.2. Análisis institucional de la red FEMNCAFE</w:t>
      </w:r>
    </w:p>
    <w:p w14:paraId="4D9F7D39"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4.5. Adaptación de Ostrom al posconflicto</w:t>
      </w:r>
    </w:p>
    <w:p w14:paraId="7A93C05B"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4.5.1. Reformulación contextual de los ocho principios</w:t>
      </w:r>
    </w:p>
    <w:p w14:paraId="11475C4C"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4.5.2. Principios complementarios para alta fragilidad institucional</w:t>
      </w:r>
    </w:p>
    <w:p w14:paraId="79AC7F30"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4.5.3. Operacionalización: el Índice de Gobernanza (IG)</w:t>
      </w:r>
    </w:p>
    <w:p w14:paraId="69983B63"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4.5.4. Fragilidad institucional en PDET: de la vulnerabilidad a la robustez como horizonte operativo</w:t>
      </w:r>
    </w:p>
    <w:p w14:paraId="102B34FC" w14:textId="395B02F4"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4.6. Investigación acción participativa</w:t>
      </w:r>
    </w:p>
    <w:p w14:paraId="649C703A"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 xml:space="preserve">4.6.1. Fundamento epistemológico para la </w:t>
      </w:r>
      <w:proofErr w:type="spellStart"/>
      <w:r w:rsidRPr="00127B16">
        <w:rPr>
          <w:rFonts w:ascii="Times New Roman" w:hAnsi="Times New Roman" w:cs="Times New Roman"/>
          <w:sz w:val="20"/>
          <w:szCs w:val="20"/>
          <w:lang w:val="es-CO"/>
        </w:rPr>
        <w:t>co-construcción</w:t>
      </w:r>
      <w:proofErr w:type="spellEnd"/>
    </w:p>
    <w:p w14:paraId="608A4240"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4.6.2. Implicaciones metodológicas</w:t>
      </w:r>
    </w:p>
    <w:p w14:paraId="331C81A5"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4.7. Sostenibilidad y compromiso ambiental en PYMES</w:t>
      </w:r>
    </w:p>
    <w:p w14:paraId="67A65C19" w14:textId="738D1A36"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4.7.1. Apoyo público e inversión ambiental</w:t>
      </w:r>
    </w:p>
    <w:p w14:paraId="74281E05"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4.7.2. PDET como instrumento de política habilitadora</w:t>
      </w:r>
    </w:p>
    <w:p w14:paraId="42149815"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4.8. Valor implícito de los atributos de sostenibilidad en el café</w:t>
      </w:r>
    </w:p>
    <w:p w14:paraId="2B1B379F" w14:textId="07338614"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4.8.1. El modelo de precios hedónicos</w:t>
      </w:r>
    </w:p>
    <w:p w14:paraId="4E318802"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4.8.2. La prima por trazabilidad verificada</w:t>
      </w:r>
    </w:p>
    <w:p w14:paraId="5D3B85DF"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4.8.3. Implicaciones para el VCO</w:t>
      </w:r>
    </w:p>
    <w:p w14:paraId="3D1F8E68" w14:textId="77777777" w:rsidR="00B421EB" w:rsidRPr="00127B16" w:rsidRDefault="00000000">
      <w:pPr>
        <w:spacing w:before="280" w:after="40"/>
        <w:rPr>
          <w:rFonts w:ascii="Times New Roman" w:hAnsi="Times New Roman" w:cs="Times New Roman"/>
          <w:sz w:val="20"/>
          <w:szCs w:val="20"/>
          <w:lang w:val="es-CO"/>
        </w:rPr>
      </w:pPr>
      <w:r w:rsidRPr="00127B16">
        <w:rPr>
          <w:rFonts w:ascii="Times New Roman" w:hAnsi="Times New Roman" w:cs="Times New Roman"/>
          <w:b/>
          <w:sz w:val="20"/>
          <w:szCs w:val="20"/>
          <w:lang w:val="es-CO"/>
        </w:rPr>
        <w:t>CAPÍTULO 5: TECNOLOGÍA DIGITAL, SOBERANÍA DE DATOS Y DISEÑO SOCIOTÉCNICO</w:t>
      </w:r>
    </w:p>
    <w:p w14:paraId="7EA6F4E8"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5.1. Introducción</w:t>
      </w:r>
    </w:p>
    <w:p w14:paraId="660E7345"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5.2. La teoría de sistemas sociotécnicos</w:t>
      </w:r>
    </w:p>
    <w:p w14:paraId="53691C2B" w14:textId="6DFBFE1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5.2.1. Orígenes: la tradición de Tavistock</w:t>
      </w:r>
    </w:p>
    <w:p w14:paraId="026A925D" w14:textId="774FBC73"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5.2.2. Sistemas abiertos y optimización conjunta</w:t>
      </w:r>
    </w:p>
    <w:p w14:paraId="4D7DAD1C" w14:textId="6EFC914A"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5.2.3. Vigencia contemporánea</w:t>
      </w:r>
      <w:r w:rsidR="00234F7F">
        <w:rPr>
          <w:rFonts w:ascii="Times New Roman" w:hAnsi="Times New Roman" w:cs="Times New Roman"/>
          <w:sz w:val="20"/>
          <w:szCs w:val="20"/>
          <w:lang w:val="es-CO"/>
        </w:rPr>
        <w:t xml:space="preserve"> de los sistemas sociotécnicos</w:t>
      </w:r>
    </w:p>
    <w:p w14:paraId="6966F545"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5.2.4. El subsistema social y el subsistema técnico del GDA</w:t>
      </w:r>
    </w:p>
    <w:p w14:paraId="2DDC50B4"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 xml:space="preserve">5.3. </w:t>
      </w:r>
      <w:proofErr w:type="spellStart"/>
      <w:r w:rsidRPr="00127B16">
        <w:rPr>
          <w:rFonts w:ascii="Times New Roman" w:hAnsi="Times New Roman" w:cs="Times New Roman"/>
          <w:b/>
          <w:sz w:val="20"/>
          <w:szCs w:val="20"/>
          <w:lang w:val="es-CO"/>
        </w:rPr>
        <w:t>Blockchain</w:t>
      </w:r>
      <w:proofErr w:type="spellEnd"/>
      <w:r w:rsidRPr="00127B16">
        <w:rPr>
          <w:rFonts w:ascii="Times New Roman" w:hAnsi="Times New Roman" w:cs="Times New Roman"/>
          <w:b/>
          <w:sz w:val="20"/>
          <w:szCs w:val="20"/>
          <w:lang w:val="es-CO"/>
        </w:rPr>
        <w:t xml:space="preserve"> y gobernanza de comunes</w:t>
      </w:r>
    </w:p>
    <w:p w14:paraId="7810CDCC" w14:textId="6A5EBE1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lastRenderedPageBreak/>
        <w:t xml:space="preserve">5.3.1. Las seis </w:t>
      </w:r>
      <w:proofErr w:type="spellStart"/>
      <w:r w:rsidRPr="00127B16">
        <w:rPr>
          <w:rFonts w:ascii="Times New Roman" w:hAnsi="Times New Roman" w:cs="Times New Roman"/>
          <w:sz w:val="20"/>
          <w:szCs w:val="20"/>
          <w:lang w:val="es-CO"/>
        </w:rPr>
        <w:t>affordances</w:t>
      </w:r>
      <w:proofErr w:type="spellEnd"/>
      <w:r w:rsidRPr="00127B16">
        <w:rPr>
          <w:rFonts w:ascii="Times New Roman" w:hAnsi="Times New Roman" w:cs="Times New Roman"/>
          <w:sz w:val="20"/>
          <w:szCs w:val="20"/>
          <w:lang w:val="es-CO"/>
        </w:rPr>
        <w:t xml:space="preserve"> de Rozas</w:t>
      </w:r>
    </w:p>
    <w:p w14:paraId="37B40518"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5.3.2. Codificación de la confianza</w:t>
      </w:r>
    </w:p>
    <w:p w14:paraId="10343879"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5.3.3. Riesgos de la adopción top-</w:t>
      </w:r>
      <w:proofErr w:type="spellStart"/>
      <w:r w:rsidRPr="00127B16">
        <w:rPr>
          <w:rFonts w:ascii="Times New Roman" w:hAnsi="Times New Roman" w:cs="Times New Roman"/>
          <w:sz w:val="20"/>
          <w:szCs w:val="20"/>
          <w:lang w:val="es-CO"/>
        </w:rPr>
        <w:t>down</w:t>
      </w:r>
      <w:proofErr w:type="spellEnd"/>
    </w:p>
    <w:p w14:paraId="3E6729C3"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 xml:space="preserve">5.4. </w:t>
      </w:r>
      <w:proofErr w:type="spellStart"/>
      <w:r w:rsidRPr="00127B16">
        <w:rPr>
          <w:rFonts w:ascii="Times New Roman" w:hAnsi="Times New Roman" w:cs="Times New Roman"/>
          <w:b/>
          <w:sz w:val="20"/>
          <w:szCs w:val="20"/>
          <w:lang w:val="es-CO"/>
        </w:rPr>
        <w:t>Blockchain</w:t>
      </w:r>
      <w:proofErr w:type="spellEnd"/>
      <w:r w:rsidRPr="00127B16">
        <w:rPr>
          <w:rFonts w:ascii="Times New Roman" w:hAnsi="Times New Roman" w:cs="Times New Roman"/>
          <w:b/>
          <w:sz w:val="20"/>
          <w:szCs w:val="20"/>
          <w:lang w:val="es-CO"/>
        </w:rPr>
        <w:t xml:space="preserve"> en cadenas agroalimentarias</w:t>
      </w:r>
    </w:p>
    <w:p w14:paraId="16B9F356" w14:textId="4FAF5C16"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5.4.1. Trazabilidad y verificación</w:t>
      </w:r>
    </w:p>
    <w:p w14:paraId="76B8E761" w14:textId="156C88C5"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5.4.2. Aplicaciones en café</w:t>
      </w:r>
    </w:p>
    <w:p w14:paraId="2E917CD5"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5.4.3. El EUDR y la georreferenciación obligatoria</w:t>
      </w:r>
    </w:p>
    <w:p w14:paraId="1E6ED651" w14:textId="7FC799B2"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5.4.4. Transformación digital en Iberoamérica y brecha digital rural</w:t>
      </w:r>
    </w:p>
    <w:p w14:paraId="1D209A39"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5.5. Soberanía de datos como recurso de uso común</w:t>
      </w:r>
    </w:p>
    <w:p w14:paraId="06C94A69"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5.5.1. Los datos de la finca como activo colectivo</w:t>
      </w:r>
    </w:p>
    <w:p w14:paraId="73385F7B"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5.5.2. Arquitecturas técnicas de soberanía</w:t>
      </w:r>
    </w:p>
    <w:p w14:paraId="54B3DA82"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5.5.3. Implicaciones éticas</w:t>
      </w:r>
    </w:p>
    <w:p w14:paraId="12D28B90"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5.6. Bioeconomía territorial y diversificación bio-basada como palanca transversal del VCO</w:t>
      </w:r>
    </w:p>
    <w:p w14:paraId="3240E117" w14:textId="27604158"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5.6.1. Valorización de biomasa residual del café: pulpa, mucílago, cisco y posos</w:t>
      </w:r>
    </w:p>
    <w:p w14:paraId="7E07F7A8" w14:textId="32B7943A"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5.6.2. Agroecosistemas cafeteros en mercados voluntarios de carbono: protocolos MRV</w:t>
      </w:r>
    </w:p>
    <w:p w14:paraId="12B4F31A"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5.6.3. Diversificación funcional: del grano a la biorrefinería de pequeña escala como estrategia de VCO</w:t>
      </w:r>
    </w:p>
    <w:p w14:paraId="42DEE4B7" w14:textId="29F0232F"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 xml:space="preserve">5.7. Instrumentos financieros para la captura de valor bio-basado: </w:t>
      </w:r>
      <w:proofErr w:type="spellStart"/>
      <w:r w:rsidRPr="00127B16">
        <w:rPr>
          <w:rFonts w:ascii="Times New Roman" w:hAnsi="Times New Roman" w:cs="Times New Roman"/>
          <w:b/>
          <w:sz w:val="20"/>
          <w:szCs w:val="20"/>
          <w:lang w:val="es-CO"/>
        </w:rPr>
        <w:t>blended</w:t>
      </w:r>
      <w:proofErr w:type="spellEnd"/>
      <w:r w:rsidRPr="00127B16">
        <w:rPr>
          <w:rFonts w:ascii="Times New Roman" w:hAnsi="Times New Roman" w:cs="Times New Roman"/>
          <w:b/>
          <w:sz w:val="20"/>
          <w:szCs w:val="20"/>
          <w:lang w:val="es-CO"/>
        </w:rPr>
        <w:t xml:space="preserve"> </w:t>
      </w:r>
      <w:proofErr w:type="spellStart"/>
      <w:r w:rsidRPr="00127B16">
        <w:rPr>
          <w:rFonts w:ascii="Times New Roman" w:hAnsi="Times New Roman" w:cs="Times New Roman"/>
          <w:b/>
          <w:sz w:val="20"/>
          <w:szCs w:val="20"/>
          <w:lang w:val="es-CO"/>
        </w:rPr>
        <w:t>finance</w:t>
      </w:r>
      <w:proofErr w:type="spellEnd"/>
      <w:r w:rsidRPr="00127B16">
        <w:rPr>
          <w:rFonts w:ascii="Times New Roman" w:hAnsi="Times New Roman" w:cs="Times New Roman"/>
          <w:b/>
          <w:sz w:val="20"/>
          <w:szCs w:val="20"/>
          <w:lang w:val="es-CO"/>
        </w:rPr>
        <w:t xml:space="preserve"> y Vehículos Especiales de Inversión</w:t>
      </w:r>
    </w:p>
    <w:p w14:paraId="7BF92A20" w14:textId="7C8295D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 xml:space="preserve">5.7.1. </w:t>
      </w:r>
      <w:proofErr w:type="spellStart"/>
      <w:r w:rsidRPr="00127B16">
        <w:rPr>
          <w:rFonts w:ascii="Times New Roman" w:hAnsi="Times New Roman" w:cs="Times New Roman"/>
          <w:sz w:val="20"/>
          <w:szCs w:val="20"/>
          <w:lang w:val="es-CO"/>
        </w:rPr>
        <w:t>Blended</w:t>
      </w:r>
      <w:proofErr w:type="spellEnd"/>
      <w:r w:rsidRPr="00127B16">
        <w:rPr>
          <w:rFonts w:ascii="Times New Roman" w:hAnsi="Times New Roman" w:cs="Times New Roman"/>
          <w:sz w:val="20"/>
          <w:szCs w:val="20"/>
          <w:lang w:val="es-CO"/>
        </w:rPr>
        <w:t xml:space="preserve"> </w:t>
      </w:r>
      <w:proofErr w:type="spellStart"/>
      <w:r w:rsidRPr="00127B16">
        <w:rPr>
          <w:rFonts w:ascii="Times New Roman" w:hAnsi="Times New Roman" w:cs="Times New Roman"/>
          <w:sz w:val="20"/>
          <w:szCs w:val="20"/>
          <w:lang w:val="es-CO"/>
        </w:rPr>
        <w:t>finance</w:t>
      </w:r>
      <w:proofErr w:type="spellEnd"/>
      <w:r w:rsidRPr="00127B16">
        <w:rPr>
          <w:rFonts w:ascii="Times New Roman" w:hAnsi="Times New Roman" w:cs="Times New Roman"/>
          <w:sz w:val="20"/>
          <w:szCs w:val="20"/>
          <w:lang w:val="es-CO"/>
        </w:rPr>
        <w:t xml:space="preserve"> para agricultura</w:t>
      </w:r>
    </w:p>
    <w:p w14:paraId="20D2122D" w14:textId="38BB5C28"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 xml:space="preserve">5.7.2. VEI y capital </w:t>
      </w:r>
      <w:proofErr w:type="spellStart"/>
      <w:r w:rsidRPr="00127B16">
        <w:rPr>
          <w:rFonts w:ascii="Times New Roman" w:hAnsi="Times New Roman" w:cs="Times New Roman"/>
          <w:sz w:val="20"/>
          <w:szCs w:val="20"/>
          <w:lang w:val="es-CO"/>
        </w:rPr>
        <w:t>ReFi</w:t>
      </w:r>
      <w:proofErr w:type="spellEnd"/>
      <w:r w:rsidRPr="00127B16">
        <w:rPr>
          <w:rFonts w:ascii="Times New Roman" w:hAnsi="Times New Roman" w:cs="Times New Roman"/>
          <w:sz w:val="20"/>
          <w:szCs w:val="20"/>
          <w:lang w:val="es-CO"/>
        </w:rPr>
        <w:t>: estructuras para diluir el riesgo rural</w:t>
      </w:r>
    </w:p>
    <w:p w14:paraId="36100843"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5.7.3. Instrumentos por horizonte temporal e implicaciones para el VCO</w:t>
      </w:r>
    </w:p>
    <w:p w14:paraId="2019C9DC"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5.8. Síntesis del marco teórico integrado</w:t>
      </w:r>
    </w:p>
    <w:p w14:paraId="1861B665"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5.8.1. Articulación de los pilares: CGV + comunes + digital + bioeconomía bajo la lente sociotécnica</w:t>
      </w:r>
    </w:p>
    <w:p w14:paraId="779F0061"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5.8.2. El modelo conceptual del GDA como sistema sociotécnico de optimización conjunta</w:t>
      </w:r>
    </w:p>
    <w:p w14:paraId="29DE7237"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5.8.3. Proposiciones teóricas e hipótesis derivadas</w:t>
      </w:r>
    </w:p>
    <w:p w14:paraId="55D06DE3" w14:textId="77777777" w:rsidR="00B421EB" w:rsidRPr="00127B16" w:rsidRDefault="00000000">
      <w:pPr>
        <w:spacing w:before="280" w:after="40"/>
        <w:rPr>
          <w:rFonts w:ascii="Times New Roman" w:hAnsi="Times New Roman" w:cs="Times New Roman"/>
          <w:sz w:val="20"/>
          <w:szCs w:val="20"/>
          <w:lang w:val="es-CO"/>
        </w:rPr>
      </w:pPr>
      <w:r w:rsidRPr="00127B16">
        <w:rPr>
          <w:rFonts w:ascii="Times New Roman" w:hAnsi="Times New Roman" w:cs="Times New Roman"/>
          <w:b/>
          <w:sz w:val="20"/>
          <w:szCs w:val="20"/>
          <w:lang w:val="es-CO"/>
        </w:rPr>
        <w:t>CAPÍTULO 6: DIAGNÓSTICO DEL VALOR CAPTURADO EN ORIGEN — ANÁLISIS DE LA CADENA DEL CAFÉ COLOMBIANO PDET</w:t>
      </w:r>
    </w:p>
    <w:p w14:paraId="3814895D" w14:textId="77777777" w:rsidR="00B421EB" w:rsidRPr="00127B16" w:rsidRDefault="00000000">
      <w:pPr>
        <w:spacing w:after="80"/>
        <w:rPr>
          <w:rFonts w:ascii="Times New Roman" w:hAnsi="Times New Roman" w:cs="Times New Roman"/>
          <w:sz w:val="20"/>
          <w:szCs w:val="20"/>
          <w:lang w:val="es-CO"/>
        </w:rPr>
      </w:pPr>
      <w:r w:rsidRPr="00127B16">
        <w:rPr>
          <w:rFonts w:ascii="Times New Roman" w:hAnsi="Times New Roman" w:cs="Times New Roman"/>
          <w:i/>
          <w:sz w:val="20"/>
          <w:szCs w:val="20"/>
          <w:lang w:val="es-CO"/>
        </w:rPr>
        <w:t>(Fase I — Diagnóstica y para la construcción del primer artículo)</w:t>
      </w:r>
    </w:p>
    <w:p w14:paraId="06E67DD8"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6.1. Introducción</w:t>
      </w:r>
    </w:p>
    <w:p w14:paraId="53767EC4"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6.2. Marco analítico de la distribución de valor</w:t>
      </w:r>
    </w:p>
    <w:p w14:paraId="03EA00FF"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6.2.1. Definición y medición del Valor Capturado en Origen (VCO)</w:t>
      </w:r>
    </w:p>
    <w:p w14:paraId="4334D74E"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6.2.2. Variables del modelo de diagnóstico</w:t>
      </w:r>
    </w:p>
    <w:p w14:paraId="5D34ACAB"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6.2.3. Construcción del Índice de Consolidación PDET (IPDET) como moderador</w:t>
      </w:r>
    </w:p>
    <w:p w14:paraId="48D0F416"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6.3. Metodología</w:t>
      </w:r>
    </w:p>
    <w:p w14:paraId="1330D346"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6.3.1. Enfoque mixto secuencial y rol del DSR en la Fase I</w:t>
      </w:r>
    </w:p>
    <w:p w14:paraId="5325F1C1"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6.3.2. Selección de organizaciones y territorios</w:t>
      </w:r>
    </w:p>
    <w:p w14:paraId="71B86455"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6.3.3. Instrumentos cualitativos: entrevistas semiestructuradas, SNA y mapeo de la cadena</w:t>
      </w:r>
    </w:p>
    <w:p w14:paraId="49EE0E4F"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6.3.4. Análisis Cualitativo Comparativo (</w:t>
      </w:r>
      <w:proofErr w:type="spellStart"/>
      <w:r w:rsidRPr="00127B16">
        <w:rPr>
          <w:rFonts w:ascii="Times New Roman" w:hAnsi="Times New Roman" w:cs="Times New Roman"/>
          <w:sz w:val="20"/>
          <w:szCs w:val="20"/>
          <w:lang w:val="es-CO"/>
        </w:rPr>
        <w:t>fsQCA</w:t>
      </w:r>
      <w:proofErr w:type="spellEnd"/>
      <w:r w:rsidRPr="00127B16">
        <w:rPr>
          <w:rFonts w:ascii="Times New Roman" w:hAnsi="Times New Roman" w:cs="Times New Roman"/>
          <w:sz w:val="20"/>
          <w:szCs w:val="20"/>
          <w:lang w:val="es-CO"/>
        </w:rPr>
        <w:t>): configuraciones institucionales para VCO alto</w:t>
      </w:r>
    </w:p>
    <w:p w14:paraId="4CA7C93C"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6.3.5. Integración de resultados cualitativos y cuantitativos</w:t>
      </w:r>
    </w:p>
    <w:p w14:paraId="5BDFE926"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6.4. Resultados</w:t>
      </w:r>
    </w:p>
    <w:p w14:paraId="3800354A"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6.4.1. Mapeo de la cadena del café colombiano hasta el mercado europeo</w:t>
      </w:r>
    </w:p>
    <w:p w14:paraId="7B093397"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6.4.2. Distribución cuantitativa del valor por eslabón</w:t>
      </w:r>
    </w:p>
    <w:p w14:paraId="2B0D34A6"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6.4.3. VCO inicial (VCO₀) de las organizaciones estudiadas</w:t>
      </w:r>
    </w:p>
    <w:p w14:paraId="34A98378"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6.4.4. Diagnóstico del capital social posconflicto (resultados SNA)</w:t>
      </w:r>
    </w:p>
    <w:p w14:paraId="66257127"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lastRenderedPageBreak/>
        <w:t>6.4.5. IPDET por municipio y categorización territorial</w:t>
      </w:r>
    </w:p>
    <w:p w14:paraId="4572C7D9" w14:textId="73FD2256"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6.4.6. Configuraciones necesarias y suficientes para VCO alto</w:t>
      </w:r>
    </w:p>
    <w:p w14:paraId="5F69B223"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6.4.7. Diagnóstico de oportunidades bio-basadas: biomasa residual, servicios ecosistémicos y mercados voluntarios de carbono</w:t>
      </w:r>
    </w:p>
    <w:p w14:paraId="74E3CE8A"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6.5. Discusión</w:t>
      </w:r>
    </w:p>
    <w:p w14:paraId="62777E90"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6.5.1. Comparación con la literatura previa</w:t>
      </w:r>
    </w:p>
    <w:p w14:paraId="1D3F5306"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6.5.2. Patrones emergentes en la red FEMNCAFE</w:t>
      </w:r>
    </w:p>
    <w:p w14:paraId="2160D88F"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6.5.3. Implicaciones para el diseño del modelo GDA</w:t>
      </w:r>
    </w:p>
    <w:p w14:paraId="1B60B573" w14:textId="77777777" w:rsidR="00B421EB" w:rsidRPr="00127B16" w:rsidRDefault="00000000">
      <w:pPr>
        <w:spacing w:before="280" w:after="40"/>
        <w:rPr>
          <w:rFonts w:ascii="Times New Roman" w:hAnsi="Times New Roman" w:cs="Times New Roman"/>
          <w:sz w:val="20"/>
          <w:szCs w:val="20"/>
          <w:lang w:val="es-CO"/>
        </w:rPr>
      </w:pPr>
      <w:r w:rsidRPr="00127B16">
        <w:rPr>
          <w:rFonts w:ascii="Times New Roman" w:hAnsi="Times New Roman" w:cs="Times New Roman"/>
          <w:b/>
          <w:sz w:val="20"/>
          <w:szCs w:val="20"/>
          <w:lang w:val="es-CO"/>
        </w:rPr>
        <w:t>CAPÍTULO 7: DISEÑO Y VALIDACIÓN DEL MODELO GDA — ENFOQUE PARTICIPATIVO Y DELPHI</w:t>
      </w:r>
    </w:p>
    <w:p w14:paraId="681DCBE6" w14:textId="77777777" w:rsidR="00B421EB" w:rsidRPr="00127B16" w:rsidRDefault="00000000">
      <w:pPr>
        <w:spacing w:after="80"/>
        <w:rPr>
          <w:rFonts w:ascii="Times New Roman" w:hAnsi="Times New Roman" w:cs="Times New Roman"/>
          <w:sz w:val="20"/>
          <w:szCs w:val="20"/>
          <w:lang w:val="es-CO"/>
        </w:rPr>
      </w:pPr>
      <w:r w:rsidRPr="00127B16">
        <w:rPr>
          <w:rFonts w:ascii="Times New Roman" w:hAnsi="Times New Roman" w:cs="Times New Roman"/>
          <w:i/>
          <w:sz w:val="20"/>
          <w:szCs w:val="20"/>
          <w:lang w:val="es-CO"/>
        </w:rPr>
        <w:t>(Fase II — Constructiva y para producción del segundo artículo)</w:t>
      </w:r>
    </w:p>
    <w:p w14:paraId="5A242F90"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7.1. Introducción</w:t>
      </w:r>
    </w:p>
    <w:p w14:paraId="39418E90" w14:textId="511B1FC6"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7.2. Diseño científico de artefactos</w:t>
      </w:r>
    </w:p>
    <w:p w14:paraId="23070FB1"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7.2.1. El paradigma de Hevner et al. (2004)</w:t>
      </w:r>
    </w:p>
    <w:p w14:paraId="60F1C9EC"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7.2.2. Las tres condiciones de validez</w:t>
      </w:r>
    </w:p>
    <w:p w14:paraId="36DC4DA8"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7.2.3. Aplicación al GDA</w:t>
      </w:r>
    </w:p>
    <w:p w14:paraId="3C9C0797"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7.3. Metodología</w:t>
      </w:r>
    </w:p>
    <w:p w14:paraId="48DBF25D"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7.3.1. Talleres de diseño participativo con las organizaciones</w:t>
      </w:r>
    </w:p>
    <w:p w14:paraId="38EDB0B4"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7.3.2. Panel Delphi: composición experta y protocolo de las tres rondas</w:t>
      </w:r>
    </w:p>
    <w:p w14:paraId="11A0B7D8"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7.3.3. Validación comunitaria</w:t>
      </w:r>
    </w:p>
    <w:p w14:paraId="5DB993C3"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7.4. Resultados</w:t>
      </w:r>
    </w:p>
    <w:p w14:paraId="336685D1"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 xml:space="preserve">7.4.1. Subsistema Social: </w:t>
      </w:r>
      <w:proofErr w:type="spellStart"/>
      <w:r w:rsidRPr="00127B16">
        <w:rPr>
          <w:rFonts w:ascii="Times New Roman" w:hAnsi="Times New Roman" w:cs="Times New Roman"/>
          <w:sz w:val="20"/>
          <w:szCs w:val="20"/>
          <w:lang w:val="es-CO"/>
        </w:rPr>
        <w:t>Co-diseño</w:t>
      </w:r>
      <w:proofErr w:type="spellEnd"/>
      <w:r w:rsidRPr="00127B16">
        <w:rPr>
          <w:rFonts w:ascii="Times New Roman" w:hAnsi="Times New Roman" w:cs="Times New Roman"/>
          <w:sz w:val="20"/>
          <w:szCs w:val="20"/>
          <w:lang w:val="es-CO"/>
        </w:rPr>
        <w:t xml:space="preserve"> de los mecanismos de gobernanza</w:t>
      </w:r>
    </w:p>
    <w:p w14:paraId="7F2884EE"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 xml:space="preserve">7.4.2. Subsistema Técnico: Arquitectura técnica del componente </w:t>
      </w:r>
      <w:proofErr w:type="spellStart"/>
      <w:r w:rsidRPr="00127B16">
        <w:rPr>
          <w:rFonts w:ascii="Times New Roman" w:hAnsi="Times New Roman" w:cs="Times New Roman"/>
          <w:sz w:val="20"/>
          <w:szCs w:val="20"/>
          <w:lang w:val="es-CO"/>
        </w:rPr>
        <w:t>blockchain</w:t>
      </w:r>
      <w:proofErr w:type="spellEnd"/>
    </w:p>
    <w:p w14:paraId="50808EC7"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7.4.3. Consenso experto Delphi por variable</w:t>
      </w:r>
    </w:p>
    <w:p w14:paraId="6EF24CEB"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7.4.4. Distribuciones a priori construidas para la simulación</w:t>
      </w:r>
    </w:p>
    <w:p w14:paraId="607DD166"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7.4.5. Prototipo del modelo GDA validado</w:t>
      </w:r>
    </w:p>
    <w:p w14:paraId="55D723F9"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7.5. Discusión</w:t>
      </w:r>
    </w:p>
    <w:p w14:paraId="398BF334"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7.5.1. El modelo GDA como artefacto sociotécnico de optimización conjunta</w:t>
      </w:r>
    </w:p>
    <w:p w14:paraId="48FDF35F"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7.5.2. Soberanía de datos como innovación institucional</w:t>
      </w:r>
    </w:p>
    <w:p w14:paraId="516E696A"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7.5.3. Diferenciación frente a modelos previos</w:t>
      </w:r>
    </w:p>
    <w:p w14:paraId="13CEE28C" w14:textId="77777777" w:rsidR="00B421EB" w:rsidRPr="00127B16" w:rsidRDefault="00000000">
      <w:pPr>
        <w:spacing w:before="280" w:after="40"/>
        <w:rPr>
          <w:rFonts w:ascii="Times New Roman" w:hAnsi="Times New Roman" w:cs="Times New Roman"/>
          <w:sz w:val="20"/>
          <w:szCs w:val="20"/>
          <w:lang w:val="es-CO"/>
        </w:rPr>
      </w:pPr>
      <w:r w:rsidRPr="00127B16">
        <w:rPr>
          <w:rFonts w:ascii="Times New Roman" w:hAnsi="Times New Roman" w:cs="Times New Roman"/>
          <w:b/>
          <w:sz w:val="20"/>
          <w:szCs w:val="20"/>
          <w:lang w:val="es-CO"/>
        </w:rPr>
        <w:t>CAPÍTULO 8: EVALUACIÓN DEL MODELO — MONTE CARLO, SOBOL Y PRUEBAS DE ESTRÉS</w:t>
      </w:r>
    </w:p>
    <w:p w14:paraId="02D5E2F0" w14:textId="77777777" w:rsidR="00B421EB" w:rsidRPr="00127B16" w:rsidRDefault="00000000">
      <w:pPr>
        <w:spacing w:after="80"/>
        <w:rPr>
          <w:rFonts w:ascii="Times New Roman" w:hAnsi="Times New Roman" w:cs="Times New Roman"/>
          <w:sz w:val="20"/>
          <w:szCs w:val="20"/>
          <w:lang w:val="es-CO"/>
        </w:rPr>
      </w:pPr>
      <w:r w:rsidRPr="00127B16">
        <w:rPr>
          <w:rFonts w:ascii="Times New Roman" w:hAnsi="Times New Roman" w:cs="Times New Roman"/>
          <w:i/>
          <w:sz w:val="20"/>
          <w:szCs w:val="20"/>
          <w:lang w:val="es-CO"/>
        </w:rPr>
        <w:t>(Fase III — Evaluativa para la elaboración del tercer artículo)</w:t>
      </w:r>
    </w:p>
    <w:p w14:paraId="626FCF00"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8.1. Introducción</w:t>
      </w:r>
    </w:p>
    <w:p w14:paraId="76652D95"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8.2. Marco evaluativo</w:t>
      </w:r>
    </w:p>
    <w:p w14:paraId="2292A444"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8.2.1. Contraste de hipótesis</w:t>
      </w:r>
    </w:p>
    <w:p w14:paraId="6EB49759"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8.2.2. Variables, parámetros e indicadores</w:t>
      </w:r>
    </w:p>
    <w:p w14:paraId="211F1896"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8.2.3. Indicadores de robustez del VCO</w:t>
      </w:r>
    </w:p>
    <w:p w14:paraId="40FEF1A8"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8.3. Metodología</w:t>
      </w:r>
    </w:p>
    <w:p w14:paraId="0F899898"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8.3.1. Configuración del modelo de simulación Monte Carlo</w:t>
      </w:r>
    </w:p>
    <w:p w14:paraId="2CAFBB8A"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8.3.2. Implementación de los índices de sensibilidad de Sobol</w:t>
      </w:r>
    </w:p>
    <w:p w14:paraId="6CBA5913"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8.3.3. Diseño de escenarios adversos</w:t>
      </w:r>
    </w:p>
    <w:p w14:paraId="43F813BB"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8.3.4. Piloto acotado e indicadores tempranos de adopción</w:t>
      </w:r>
    </w:p>
    <w:p w14:paraId="1F19C115"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8.4. Resultados</w:t>
      </w:r>
    </w:p>
    <w:p w14:paraId="3A10F56E"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lastRenderedPageBreak/>
        <w:t>8.4.1. Distribución del VCO bajo el modelo GDA</w:t>
      </w:r>
    </w:p>
    <w:p w14:paraId="37A45CA5"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8.4.2. Descomposición de varianza: gobernanza vs. tecnología</w:t>
      </w:r>
    </w:p>
    <w:p w14:paraId="3782FE0F"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8.4.3. Respuesta del VCO bajo escenarios adversos</w:t>
      </w:r>
    </w:p>
    <w:p w14:paraId="3759504E"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8.4.4. Robustez de los resultados</w:t>
      </w:r>
    </w:p>
    <w:p w14:paraId="786A856B"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8.4.5. Resultados del piloto acotado</w:t>
      </w:r>
    </w:p>
    <w:p w14:paraId="298D45D8"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8.4.6. Transferibilidad en la red FEMNCAFE</w:t>
      </w:r>
    </w:p>
    <w:p w14:paraId="2BBD3F92"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8.5. Discusión</w:t>
      </w:r>
    </w:p>
    <w:p w14:paraId="163C7E30"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8.5.1. Validación o refutación de la hipótesis central</w:t>
      </w:r>
    </w:p>
    <w:p w14:paraId="29C1A91E"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8.5.2. Alcance y límites de la robustez de los hallazgos</w:t>
      </w:r>
    </w:p>
    <w:p w14:paraId="0581A7CA"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8.5.3. Limitaciones del modelo</w:t>
      </w:r>
    </w:p>
    <w:p w14:paraId="5A0E9339" w14:textId="77777777" w:rsidR="00B421EB" w:rsidRPr="00127B16" w:rsidRDefault="00000000">
      <w:pPr>
        <w:spacing w:before="280" w:after="40"/>
        <w:rPr>
          <w:rFonts w:ascii="Times New Roman" w:hAnsi="Times New Roman" w:cs="Times New Roman"/>
          <w:sz w:val="20"/>
          <w:szCs w:val="20"/>
          <w:lang w:val="es-CO"/>
        </w:rPr>
      </w:pPr>
      <w:r w:rsidRPr="00127B16">
        <w:rPr>
          <w:rFonts w:ascii="Times New Roman" w:hAnsi="Times New Roman" w:cs="Times New Roman"/>
          <w:b/>
          <w:sz w:val="20"/>
          <w:szCs w:val="20"/>
          <w:lang w:val="es-CO"/>
        </w:rPr>
        <w:t>CAPÍTULO 9: CONCLUSIÓN GENERAL</w:t>
      </w:r>
    </w:p>
    <w:p w14:paraId="7C32DD4D"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9.1. Síntesis de hallazgos por capítulo</w:t>
      </w:r>
    </w:p>
    <w:p w14:paraId="4660CCE2"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9.2. Respuesta a la pregunta de investigación</w:t>
      </w:r>
    </w:p>
    <w:p w14:paraId="0AA0C1F6"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9.3. Validación de las hipótesis y cumplimiento de los objetivos</w:t>
      </w:r>
    </w:p>
    <w:p w14:paraId="543DB543"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9.4. Contribuciones originales al conocimiento</w:t>
      </w:r>
    </w:p>
    <w:p w14:paraId="5E5F9C56"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9.4.1. Aportes teóricos</w:t>
      </w:r>
    </w:p>
    <w:p w14:paraId="14FD76A5"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9.4.2. Aportes metodológicos</w:t>
      </w:r>
    </w:p>
    <w:p w14:paraId="5ABD64E4"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9.4.3. Aportes praxeológicos</w:t>
      </w:r>
    </w:p>
    <w:p w14:paraId="2ED46D93"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9.5. Implicaciones para la política pública</w:t>
      </w:r>
    </w:p>
    <w:p w14:paraId="267C65B7"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9.5.1. Para el marco PDET</w:t>
      </w:r>
    </w:p>
    <w:p w14:paraId="0D56D1A2"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9.5.2. Para la política cafetera colombiana</w:t>
      </w:r>
    </w:p>
    <w:p w14:paraId="56B4F783" w14:textId="1DBA088D"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9.5.3. Para la regulación europea de sostenibilidad</w:t>
      </w:r>
    </w:p>
    <w:p w14:paraId="77883740" w14:textId="7E475058"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9.5.4. Para la Misión Bioeconomía y Territorio</w:t>
      </w:r>
      <w:r w:rsidR="00234F7F">
        <w:rPr>
          <w:rFonts w:ascii="Times New Roman" w:hAnsi="Times New Roman" w:cs="Times New Roman"/>
          <w:sz w:val="20"/>
          <w:szCs w:val="20"/>
          <w:lang w:val="es-CO"/>
        </w:rPr>
        <w:t xml:space="preserve"> de Colombia</w:t>
      </w:r>
    </w:p>
    <w:p w14:paraId="3FBC8A36"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9.6. Implicaciones prácticas para las organizaciones</w:t>
      </w:r>
    </w:p>
    <w:p w14:paraId="3F0F0C1D"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9.7. Limitaciones del estudio</w:t>
      </w:r>
    </w:p>
    <w:p w14:paraId="3F508DDA" w14:textId="77777777" w:rsidR="00B421EB" w:rsidRPr="00127B16" w:rsidRDefault="00000000">
      <w:pPr>
        <w:spacing w:before="8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9.8. Líneas futuras de investigación</w:t>
      </w:r>
    </w:p>
    <w:p w14:paraId="105EAB75" w14:textId="77777777" w:rsidR="00B421EB" w:rsidRPr="00127B16" w:rsidRDefault="00B421EB">
      <w:pPr>
        <w:rPr>
          <w:rFonts w:ascii="Times New Roman" w:hAnsi="Times New Roman" w:cs="Times New Roman"/>
          <w:sz w:val="20"/>
          <w:szCs w:val="20"/>
          <w:lang w:val="es-CO"/>
        </w:rPr>
      </w:pPr>
    </w:p>
    <w:p w14:paraId="1AE45104" w14:textId="77777777" w:rsidR="00B421EB" w:rsidRPr="00127B16" w:rsidRDefault="00000000">
      <w:pPr>
        <w:spacing w:before="200"/>
        <w:rPr>
          <w:rFonts w:ascii="Times New Roman" w:hAnsi="Times New Roman" w:cs="Times New Roman"/>
          <w:sz w:val="20"/>
          <w:szCs w:val="20"/>
          <w:lang w:val="es-CO"/>
        </w:rPr>
      </w:pPr>
      <w:r w:rsidRPr="00127B16">
        <w:rPr>
          <w:rFonts w:ascii="Times New Roman" w:hAnsi="Times New Roman" w:cs="Times New Roman"/>
          <w:b/>
          <w:sz w:val="20"/>
          <w:szCs w:val="20"/>
          <w:lang w:val="es-CO"/>
        </w:rPr>
        <w:t>ANEXOS</w:t>
      </w:r>
    </w:p>
    <w:p w14:paraId="4404D20E" w14:textId="77777777" w:rsidR="00B421EB" w:rsidRPr="00127B16" w:rsidRDefault="00000000">
      <w:pPr>
        <w:spacing w:before="12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Anexo 1. Instrumentos de campo</w:t>
      </w:r>
    </w:p>
    <w:p w14:paraId="07FB477E"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A1.1. Guion de entrevistas semiestructuradas</w:t>
      </w:r>
    </w:p>
    <w:p w14:paraId="4DF26F89" w14:textId="4A792252"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A1.2. Protocolo del Análisis de Redes Sociales</w:t>
      </w:r>
    </w:p>
    <w:p w14:paraId="68ADAE8A"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A1.3. Cuestionario del panel Delphi</w:t>
      </w:r>
    </w:p>
    <w:p w14:paraId="6A0DC0D1"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A1.4. Formularios de consentimiento informado</w:t>
      </w:r>
    </w:p>
    <w:p w14:paraId="2CAB0637"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A1.5. Encuesta de transferibilidad FEMNCAFE</w:t>
      </w:r>
    </w:p>
    <w:p w14:paraId="381A4239" w14:textId="77777777" w:rsidR="00B421EB" w:rsidRPr="00127B16" w:rsidRDefault="00000000">
      <w:pPr>
        <w:spacing w:before="12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Anexo 2. Operacionalización de constructos</w:t>
      </w:r>
    </w:p>
    <w:p w14:paraId="626B612B"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A2.1. Índice de Gobernanza (IG): indicadores y escalas de calibración</w:t>
      </w:r>
    </w:p>
    <w:p w14:paraId="4C7B8E01"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A2.2. IPDET: dimensiones e indicadores</w:t>
      </w:r>
    </w:p>
    <w:p w14:paraId="3B039EF8"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A2.3. Cálculo del VCO: ecuaciones y fuentes de datos</w:t>
      </w:r>
    </w:p>
    <w:p w14:paraId="14F66B6F"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 xml:space="preserve">A2.4. Tablas de calibración </w:t>
      </w:r>
      <w:proofErr w:type="spellStart"/>
      <w:r w:rsidRPr="00127B16">
        <w:rPr>
          <w:rFonts w:ascii="Times New Roman" w:hAnsi="Times New Roman" w:cs="Times New Roman"/>
          <w:sz w:val="20"/>
          <w:szCs w:val="20"/>
          <w:lang w:val="es-CO"/>
        </w:rPr>
        <w:t>fsQCA</w:t>
      </w:r>
      <w:proofErr w:type="spellEnd"/>
    </w:p>
    <w:p w14:paraId="4C8444E9" w14:textId="77777777" w:rsidR="00B421EB" w:rsidRPr="00127B16" w:rsidRDefault="00000000">
      <w:pPr>
        <w:spacing w:before="12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Anexo 3. Implementación computacional</w:t>
      </w:r>
    </w:p>
    <w:p w14:paraId="09547258"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A3.1. Código de la simulación Monte Carlo</w:t>
      </w:r>
    </w:p>
    <w:p w14:paraId="07B34954"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A3.2. Implementación de los índices de Sobol</w:t>
      </w:r>
    </w:p>
    <w:p w14:paraId="0410C734"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lastRenderedPageBreak/>
        <w:t>A3.3. Diseño de escenarios adversos</w:t>
      </w:r>
    </w:p>
    <w:p w14:paraId="12B6C566"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A3.4. Validación del modelo</w:t>
      </w:r>
    </w:p>
    <w:p w14:paraId="08BF93AE" w14:textId="77777777" w:rsidR="00B421EB" w:rsidRPr="00127B16" w:rsidRDefault="00000000">
      <w:pPr>
        <w:spacing w:before="12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Anexo 4. Aprobación ética</w:t>
      </w:r>
    </w:p>
    <w:p w14:paraId="38912179"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A4.1. Dictamen del comité de ética institucional</w:t>
      </w:r>
    </w:p>
    <w:p w14:paraId="32BDFFB1"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A4.2. Convenios con organizaciones participantes</w:t>
      </w:r>
    </w:p>
    <w:p w14:paraId="3E06EFE2" w14:textId="77777777" w:rsidR="00B421EB" w:rsidRPr="00127B16" w:rsidRDefault="00000000">
      <w:pPr>
        <w:spacing w:before="12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Anexo 5. Publicaciones derivadas</w:t>
      </w:r>
    </w:p>
    <w:p w14:paraId="2B2D8EFD"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A5.1. Artículo 1: Diagnóstico de la distribución de valor (Fase I)</w:t>
      </w:r>
    </w:p>
    <w:p w14:paraId="0DD34A3E"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A5.2. Artículo 2: El modelo de gobernanza GDA (Fase II)</w:t>
      </w:r>
    </w:p>
    <w:p w14:paraId="7DD3E730"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A5.3. Artículo 3: Evaluación bajo incertidumbre (Fase III)</w:t>
      </w:r>
    </w:p>
    <w:p w14:paraId="45592542" w14:textId="7777777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A5.4. Ponencia en congreso internacional de economía agraria, gobernanza digital o bioeconomía</w:t>
      </w:r>
    </w:p>
    <w:p w14:paraId="07F72288" w14:textId="790FCDCA" w:rsidR="00B421EB" w:rsidRPr="00127B16" w:rsidRDefault="00000000">
      <w:pPr>
        <w:spacing w:before="120" w:after="20"/>
        <w:rPr>
          <w:rFonts w:ascii="Times New Roman" w:hAnsi="Times New Roman" w:cs="Times New Roman"/>
          <w:sz w:val="20"/>
          <w:szCs w:val="20"/>
          <w:lang w:val="es-CO"/>
        </w:rPr>
      </w:pPr>
      <w:r w:rsidRPr="00127B16">
        <w:rPr>
          <w:rFonts w:ascii="Times New Roman" w:hAnsi="Times New Roman" w:cs="Times New Roman"/>
          <w:b/>
          <w:sz w:val="20"/>
          <w:szCs w:val="20"/>
          <w:lang w:val="es-CO"/>
        </w:rPr>
        <w:t xml:space="preserve">Anexo 6. </w:t>
      </w:r>
      <w:r w:rsidR="00234F7F">
        <w:rPr>
          <w:rFonts w:ascii="Times New Roman" w:hAnsi="Times New Roman" w:cs="Times New Roman"/>
          <w:b/>
          <w:sz w:val="20"/>
          <w:szCs w:val="20"/>
          <w:lang w:val="es-CO"/>
        </w:rPr>
        <w:t>Documentos de Política Pública</w:t>
      </w:r>
    </w:p>
    <w:p w14:paraId="2EF46ECF" w14:textId="6E56BEE2"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A6.1. IAT-Café: especificación del Instrumento de Diagnóstico de Fragilidad/Robustez Territorial</w:t>
      </w:r>
    </w:p>
    <w:p w14:paraId="724BC5E6" w14:textId="10E5D1BA"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A6.2. Arquitectura GDA: documento de diseño de acceso abierto</w:t>
      </w:r>
    </w:p>
    <w:p w14:paraId="5FF40C6D" w14:textId="5BAB7627"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A6.3. Protocolo MRV para mercados voluntarios de carbono en agroecosistemas cafeteros</w:t>
      </w:r>
    </w:p>
    <w:p w14:paraId="308DA5D0" w14:textId="5BE0AF1A"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A6.4. Manual de transferencia técnica y piloto de formación en organización del Cauca</w:t>
      </w:r>
    </w:p>
    <w:p w14:paraId="451EEBD6" w14:textId="55AA58BA"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 xml:space="preserve">A6.5. Documento de política pública — lineamientos para </w:t>
      </w:r>
      <w:proofErr w:type="spellStart"/>
      <w:r w:rsidRPr="00127B16">
        <w:rPr>
          <w:rFonts w:ascii="Times New Roman" w:hAnsi="Times New Roman" w:cs="Times New Roman"/>
          <w:sz w:val="20"/>
          <w:szCs w:val="20"/>
          <w:lang w:val="es-CO"/>
        </w:rPr>
        <w:t>Minciencias</w:t>
      </w:r>
      <w:proofErr w:type="spellEnd"/>
      <w:r w:rsidRPr="00127B16">
        <w:rPr>
          <w:rFonts w:ascii="Times New Roman" w:hAnsi="Times New Roman" w:cs="Times New Roman"/>
          <w:sz w:val="20"/>
          <w:szCs w:val="20"/>
          <w:lang w:val="es-CO"/>
        </w:rPr>
        <w:t xml:space="preserve">, </w:t>
      </w:r>
      <w:proofErr w:type="spellStart"/>
      <w:r w:rsidRPr="00127B16">
        <w:rPr>
          <w:rFonts w:ascii="Times New Roman" w:hAnsi="Times New Roman" w:cs="Times New Roman"/>
          <w:sz w:val="20"/>
          <w:szCs w:val="20"/>
          <w:lang w:val="es-CO"/>
        </w:rPr>
        <w:t>MinAgricultura</w:t>
      </w:r>
      <w:proofErr w:type="spellEnd"/>
      <w:r w:rsidRPr="00127B16">
        <w:rPr>
          <w:rFonts w:ascii="Times New Roman" w:hAnsi="Times New Roman" w:cs="Times New Roman"/>
          <w:sz w:val="20"/>
          <w:szCs w:val="20"/>
          <w:lang w:val="es-CO"/>
        </w:rPr>
        <w:t xml:space="preserve">, FNC y ART </w:t>
      </w:r>
    </w:p>
    <w:p w14:paraId="4E4A5153" w14:textId="031AC113" w:rsidR="00B421EB" w:rsidRPr="00127B16" w:rsidRDefault="00000000">
      <w:pPr>
        <w:spacing w:after="0"/>
        <w:ind w:left="397"/>
        <w:rPr>
          <w:rFonts w:ascii="Times New Roman" w:hAnsi="Times New Roman" w:cs="Times New Roman"/>
          <w:sz w:val="20"/>
          <w:szCs w:val="20"/>
          <w:lang w:val="es-CO"/>
        </w:rPr>
      </w:pPr>
      <w:r w:rsidRPr="00127B16">
        <w:rPr>
          <w:rFonts w:ascii="Times New Roman" w:hAnsi="Times New Roman" w:cs="Times New Roman"/>
          <w:sz w:val="20"/>
          <w:szCs w:val="20"/>
          <w:lang w:val="es-CO"/>
        </w:rPr>
        <w:t xml:space="preserve">A6.6. Protocolo de taller de </w:t>
      </w:r>
      <w:proofErr w:type="spellStart"/>
      <w:r w:rsidRPr="00127B16">
        <w:rPr>
          <w:rFonts w:ascii="Times New Roman" w:hAnsi="Times New Roman" w:cs="Times New Roman"/>
          <w:sz w:val="20"/>
          <w:szCs w:val="20"/>
          <w:lang w:val="es-CO"/>
        </w:rPr>
        <w:t>co-creación</w:t>
      </w:r>
      <w:proofErr w:type="spellEnd"/>
      <w:r w:rsidRPr="00127B16">
        <w:rPr>
          <w:rFonts w:ascii="Times New Roman" w:hAnsi="Times New Roman" w:cs="Times New Roman"/>
          <w:sz w:val="20"/>
          <w:szCs w:val="20"/>
          <w:lang w:val="es-CO"/>
        </w:rPr>
        <w:t xml:space="preserve">: metodología de facilitación documentada </w:t>
      </w:r>
    </w:p>
    <w:p w14:paraId="141EBC2A" w14:textId="77777777" w:rsidR="00B421EB" w:rsidRPr="00127B16" w:rsidRDefault="00B421EB">
      <w:pPr>
        <w:rPr>
          <w:rFonts w:ascii="Times New Roman" w:hAnsi="Times New Roman" w:cs="Times New Roman"/>
          <w:sz w:val="20"/>
          <w:szCs w:val="20"/>
          <w:lang w:val="es-CO"/>
        </w:rPr>
      </w:pPr>
    </w:p>
    <w:p w14:paraId="7A255705" w14:textId="77777777" w:rsidR="00B421EB" w:rsidRPr="00127B16" w:rsidRDefault="00000000">
      <w:pPr>
        <w:rPr>
          <w:rFonts w:ascii="Times New Roman" w:hAnsi="Times New Roman" w:cs="Times New Roman"/>
          <w:sz w:val="20"/>
          <w:szCs w:val="20"/>
          <w:lang w:val="es-CO"/>
        </w:rPr>
      </w:pPr>
      <w:r w:rsidRPr="00127B16">
        <w:rPr>
          <w:rFonts w:ascii="Times New Roman" w:hAnsi="Times New Roman" w:cs="Times New Roman"/>
          <w:b/>
          <w:sz w:val="20"/>
          <w:szCs w:val="20"/>
          <w:lang w:val="es-CO"/>
        </w:rPr>
        <w:t>REFERENCIAS</w:t>
      </w:r>
    </w:p>
    <w:p w14:paraId="6C97D077" w14:textId="77777777" w:rsidR="00234F7F" w:rsidRDefault="00234F7F">
      <w:pPr>
        <w:spacing w:before="200"/>
        <w:rPr>
          <w:rFonts w:ascii="Times New Roman" w:hAnsi="Times New Roman" w:cs="Times New Roman"/>
          <w:i/>
          <w:sz w:val="20"/>
          <w:szCs w:val="20"/>
          <w:lang w:val="es-CO"/>
        </w:rPr>
      </w:pPr>
    </w:p>
    <w:p w14:paraId="0CE2B0D7" w14:textId="77777777" w:rsidR="00234F7F" w:rsidRDefault="00234F7F">
      <w:pPr>
        <w:spacing w:before="200"/>
        <w:rPr>
          <w:rFonts w:ascii="Times New Roman" w:hAnsi="Times New Roman" w:cs="Times New Roman"/>
          <w:i/>
          <w:sz w:val="20"/>
          <w:szCs w:val="20"/>
          <w:lang w:val="es-CO"/>
        </w:rPr>
      </w:pPr>
    </w:p>
    <w:p w14:paraId="7195BA07" w14:textId="77777777" w:rsidR="00234F7F" w:rsidRDefault="00234F7F">
      <w:pPr>
        <w:spacing w:before="200"/>
        <w:rPr>
          <w:rFonts w:ascii="Times New Roman" w:hAnsi="Times New Roman" w:cs="Times New Roman"/>
          <w:i/>
          <w:sz w:val="20"/>
          <w:szCs w:val="20"/>
          <w:lang w:val="es-CO"/>
        </w:rPr>
      </w:pPr>
    </w:p>
    <w:p w14:paraId="0282A76F" w14:textId="77777777" w:rsidR="00234F7F" w:rsidRDefault="00234F7F">
      <w:pPr>
        <w:spacing w:before="200"/>
        <w:rPr>
          <w:rFonts w:ascii="Times New Roman" w:hAnsi="Times New Roman" w:cs="Times New Roman"/>
          <w:i/>
          <w:sz w:val="20"/>
          <w:szCs w:val="20"/>
          <w:lang w:val="es-CO"/>
        </w:rPr>
      </w:pPr>
    </w:p>
    <w:p w14:paraId="549F7DAD" w14:textId="77777777" w:rsidR="00234F7F" w:rsidRDefault="00234F7F">
      <w:pPr>
        <w:spacing w:before="200"/>
        <w:rPr>
          <w:rFonts w:ascii="Times New Roman" w:hAnsi="Times New Roman" w:cs="Times New Roman"/>
          <w:i/>
          <w:sz w:val="20"/>
          <w:szCs w:val="20"/>
          <w:lang w:val="es-CO"/>
        </w:rPr>
      </w:pPr>
    </w:p>
    <w:p w14:paraId="2C099149" w14:textId="77777777" w:rsidR="00234F7F" w:rsidRDefault="00234F7F">
      <w:pPr>
        <w:spacing w:before="200"/>
        <w:rPr>
          <w:rFonts w:ascii="Times New Roman" w:hAnsi="Times New Roman" w:cs="Times New Roman"/>
          <w:i/>
          <w:sz w:val="20"/>
          <w:szCs w:val="20"/>
          <w:lang w:val="es-CO"/>
        </w:rPr>
      </w:pPr>
    </w:p>
    <w:p w14:paraId="4A81F62B" w14:textId="77777777" w:rsidR="00234F7F" w:rsidRDefault="00234F7F">
      <w:pPr>
        <w:spacing w:before="200"/>
        <w:rPr>
          <w:rFonts w:ascii="Times New Roman" w:hAnsi="Times New Roman" w:cs="Times New Roman"/>
          <w:i/>
          <w:sz w:val="20"/>
          <w:szCs w:val="20"/>
          <w:lang w:val="es-CO"/>
        </w:rPr>
      </w:pPr>
    </w:p>
    <w:p w14:paraId="48C8BE1C" w14:textId="77777777" w:rsidR="00234F7F" w:rsidRDefault="00234F7F">
      <w:pPr>
        <w:spacing w:before="200"/>
        <w:rPr>
          <w:rFonts w:ascii="Times New Roman" w:hAnsi="Times New Roman" w:cs="Times New Roman"/>
          <w:i/>
          <w:sz w:val="20"/>
          <w:szCs w:val="20"/>
          <w:lang w:val="es-CO"/>
        </w:rPr>
      </w:pPr>
    </w:p>
    <w:p w14:paraId="16343462" w14:textId="77777777" w:rsidR="00234F7F" w:rsidRDefault="00234F7F">
      <w:pPr>
        <w:spacing w:before="200"/>
        <w:rPr>
          <w:rFonts w:ascii="Times New Roman" w:hAnsi="Times New Roman" w:cs="Times New Roman"/>
          <w:i/>
          <w:sz w:val="20"/>
          <w:szCs w:val="20"/>
          <w:lang w:val="es-CO"/>
        </w:rPr>
      </w:pPr>
    </w:p>
    <w:p w14:paraId="4A82D706" w14:textId="77777777" w:rsidR="00234F7F" w:rsidRDefault="00234F7F">
      <w:pPr>
        <w:spacing w:before="200"/>
        <w:rPr>
          <w:rFonts w:ascii="Times New Roman" w:hAnsi="Times New Roman" w:cs="Times New Roman"/>
          <w:i/>
          <w:sz w:val="20"/>
          <w:szCs w:val="20"/>
          <w:lang w:val="es-CO"/>
        </w:rPr>
      </w:pPr>
    </w:p>
    <w:p w14:paraId="7B7826B1" w14:textId="77777777" w:rsidR="00234F7F" w:rsidRDefault="00234F7F">
      <w:pPr>
        <w:spacing w:before="200"/>
        <w:rPr>
          <w:rFonts w:ascii="Times New Roman" w:hAnsi="Times New Roman" w:cs="Times New Roman"/>
          <w:i/>
          <w:sz w:val="20"/>
          <w:szCs w:val="20"/>
          <w:lang w:val="es-CO"/>
        </w:rPr>
      </w:pPr>
    </w:p>
    <w:p w14:paraId="5698610A" w14:textId="77777777" w:rsidR="00234F7F" w:rsidRDefault="00234F7F">
      <w:pPr>
        <w:spacing w:before="200"/>
        <w:rPr>
          <w:rFonts w:ascii="Times New Roman" w:hAnsi="Times New Roman" w:cs="Times New Roman"/>
          <w:i/>
          <w:sz w:val="20"/>
          <w:szCs w:val="20"/>
          <w:lang w:val="es-CO"/>
        </w:rPr>
      </w:pPr>
    </w:p>
    <w:p w14:paraId="6E114303" w14:textId="77777777" w:rsidR="00234F7F" w:rsidRDefault="00234F7F">
      <w:pPr>
        <w:spacing w:before="200"/>
        <w:rPr>
          <w:rFonts w:ascii="Times New Roman" w:hAnsi="Times New Roman" w:cs="Times New Roman"/>
          <w:i/>
          <w:sz w:val="20"/>
          <w:szCs w:val="20"/>
          <w:lang w:val="es-CO"/>
        </w:rPr>
      </w:pPr>
    </w:p>
    <w:p w14:paraId="0D13DF62" w14:textId="77777777" w:rsidR="00234F7F" w:rsidRDefault="00234F7F">
      <w:pPr>
        <w:spacing w:before="200"/>
        <w:rPr>
          <w:rFonts w:ascii="Times New Roman" w:hAnsi="Times New Roman" w:cs="Times New Roman"/>
          <w:i/>
          <w:sz w:val="20"/>
          <w:szCs w:val="20"/>
          <w:lang w:val="es-CO"/>
        </w:rPr>
      </w:pPr>
    </w:p>
    <w:p w14:paraId="57F467C9" w14:textId="77777777" w:rsidR="00234F7F" w:rsidRDefault="00234F7F">
      <w:pPr>
        <w:spacing w:before="200"/>
        <w:rPr>
          <w:rFonts w:ascii="Times New Roman" w:hAnsi="Times New Roman" w:cs="Times New Roman"/>
          <w:i/>
          <w:sz w:val="20"/>
          <w:szCs w:val="20"/>
          <w:lang w:val="es-CO"/>
        </w:rPr>
      </w:pPr>
    </w:p>
    <w:p w14:paraId="6127B244" w14:textId="36E7EE49" w:rsidR="00B421EB" w:rsidRPr="00127B16" w:rsidRDefault="00234F7F">
      <w:pPr>
        <w:spacing w:before="200"/>
        <w:rPr>
          <w:rFonts w:ascii="Times New Roman" w:hAnsi="Times New Roman" w:cs="Times New Roman"/>
          <w:sz w:val="20"/>
          <w:szCs w:val="20"/>
          <w:lang w:val="es-CO"/>
        </w:rPr>
      </w:pPr>
      <w:r>
        <w:rPr>
          <w:rFonts w:ascii="Times New Roman" w:hAnsi="Times New Roman" w:cs="Times New Roman"/>
          <w:b/>
          <w:sz w:val="20"/>
          <w:szCs w:val="20"/>
          <w:lang w:val="es-CO"/>
        </w:rPr>
        <w:lastRenderedPageBreak/>
        <w:t>M</w:t>
      </w:r>
      <w:r w:rsidR="00000000" w:rsidRPr="00127B16">
        <w:rPr>
          <w:rFonts w:ascii="Times New Roman" w:hAnsi="Times New Roman" w:cs="Times New Roman"/>
          <w:b/>
          <w:sz w:val="20"/>
          <w:szCs w:val="20"/>
          <w:lang w:val="es-CO"/>
        </w:rPr>
        <w:t>EDIOS Y RECURSOS (RD 99/2011)</w:t>
      </w:r>
    </w:p>
    <w:p w14:paraId="4AEEC27A" w14:textId="77777777" w:rsidR="00B421EB" w:rsidRPr="00127B16" w:rsidRDefault="00000000">
      <w:pPr>
        <w:spacing w:after="40"/>
        <w:rPr>
          <w:rFonts w:ascii="Times New Roman" w:hAnsi="Times New Roman" w:cs="Times New Roman"/>
          <w:sz w:val="20"/>
          <w:szCs w:val="20"/>
          <w:lang w:val="es-CO"/>
        </w:rPr>
      </w:pPr>
      <w:r w:rsidRPr="00127B16">
        <w:rPr>
          <w:rFonts w:ascii="Times New Roman" w:hAnsi="Times New Roman" w:cs="Times New Roman"/>
          <w:sz w:val="20"/>
          <w:szCs w:val="20"/>
          <w:lang w:val="es-CO"/>
        </w:rPr>
        <w:t>• Acceso al terreno: vínculo operativo con COFFIS y la red FEMNCAFE (~20 organizaciones — censo completo). Sede del candidato en Popayán, Cauca (caso de validación).</w:t>
      </w:r>
    </w:p>
    <w:p w14:paraId="44A7B21D" w14:textId="77777777" w:rsidR="00B421EB" w:rsidRPr="00127B16" w:rsidRDefault="00000000">
      <w:pPr>
        <w:spacing w:after="40"/>
        <w:rPr>
          <w:rFonts w:ascii="Times New Roman" w:hAnsi="Times New Roman" w:cs="Times New Roman"/>
          <w:sz w:val="20"/>
          <w:szCs w:val="20"/>
          <w:lang w:val="es-CO"/>
        </w:rPr>
      </w:pPr>
      <w:r w:rsidRPr="00127B16">
        <w:rPr>
          <w:rFonts w:ascii="Times New Roman" w:hAnsi="Times New Roman" w:cs="Times New Roman"/>
          <w:sz w:val="20"/>
          <w:szCs w:val="20"/>
          <w:lang w:val="es-CO"/>
        </w:rPr>
        <w:t xml:space="preserve">• Datos: entrevistas semiestructuradas, datos de la cadena por eslabón, datos de finca para trazabilidad; panel de expertos para el Delphi; condiciones institucionales para el </w:t>
      </w:r>
      <w:proofErr w:type="spellStart"/>
      <w:r w:rsidRPr="00127B16">
        <w:rPr>
          <w:rFonts w:ascii="Times New Roman" w:hAnsi="Times New Roman" w:cs="Times New Roman"/>
          <w:sz w:val="20"/>
          <w:szCs w:val="20"/>
          <w:lang w:val="es-CO"/>
        </w:rPr>
        <w:t>fsQCA</w:t>
      </w:r>
      <w:proofErr w:type="spellEnd"/>
      <w:r w:rsidRPr="00127B16">
        <w:rPr>
          <w:rFonts w:ascii="Times New Roman" w:hAnsi="Times New Roman" w:cs="Times New Roman"/>
          <w:sz w:val="20"/>
          <w:szCs w:val="20"/>
          <w:lang w:val="es-CO"/>
        </w:rPr>
        <w:t>; datos de biomasa residual y servicios ecosistémicos para el diagnóstico bio-basado.</w:t>
      </w:r>
    </w:p>
    <w:p w14:paraId="7068DCAC" w14:textId="7AAD4813" w:rsidR="00B421EB" w:rsidRPr="00127B16" w:rsidRDefault="00000000">
      <w:pPr>
        <w:spacing w:after="40"/>
        <w:rPr>
          <w:rFonts w:ascii="Times New Roman" w:hAnsi="Times New Roman" w:cs="Times New Roman"/>
          <w:sz w:val="20"/>
          <w:szCs w:val="20"/>
          <w:lang w:val="es-CO"/>
        </w:rPr>
      </w:pPr>
      <w:r w:rsidRPr="00127B16">
        <w:rPr>
          <w:rFonts w:ascii="Times New Roman" w:hAnsi="Times New Roman" w:cs="Times New Roman"/>
          <w:sz w:val="20"/>
          <w:szCs w:val="20"/>
          <w:lang w:val="es-CO"/>
        </w:rPr>
        <w:t xml:space="preserve">• Recursos computacionales: Python; software </w:t>
      </w:r>
      <w:proofErr w:type="spellStart"/>
      <w:r w:rsidRPr="00127B16">
        <w:rPr>
          <w:rFonts w:ascii="Times New Roman" w:hAnsi="Times New Roman" w:cs="Times New Roman"/>
          <w:sz w:val="20"/>
          <w:szCs w:val="20"/>
          <w:lang w:val="es-CO"/>
        </w:rPr>
        <w:t>fsQCA</w:t>
      </w:r>
      <w:proofErr w:type="spellEnd"/>
      <w:r w:rsidRPr="00127B16">
        <w:rPr>
          <w:rFonts w:ascii="Times New Roman" w:hAnsi="Times New Roman" w:cs="Times New Roman"/>
          <w:sz w:val="20"/>
          <w:szCs w:val="20"/>
          <w:lang w:val="es-CO"/>
        </w:rPr>
        <w:t xml:space="preserve"> 3.0 / R-QCA; herramientas SNA.</w:t>
      </w:r>
    </w:p>
    <w:p w14:paraId="01E6A009" w14:textId="77777777" w:rsidR="00B421EB" w:rsidRPr="00127B16" w:rsidRDefault="00000000">
      <w:pPr>
        <w:spacing w:after="40"/>
        <w:rPr>
          <w:rFonts w:ascii="Times New Roman" w:hAnsi="Times New Roman" w:cs="Times New Roman"/>
          <w:sz w:val="20"/>
          <w:szCs w:val="20"/>
          <w:lang w:val="es-CO"/>
        </w:rPr>
      </w:pPr>
      <w:r w:rsidRPr="00127B16">
        <w:rPr>
          <w:rFonts w:ascii="Times New Roman" w:hAnsi="Times New Roman" w:cs="Times New Roman"/>
          <w:sz w:val="20"/>
          <w:szCs w:val="20"/>
          <w:lang w:val="es-CO"/>
        </w:rPr>
        <w:t>• Dirección y marco institucional: Dra. Sonia Benito (ETSIAAB-UPM, grupo BIDA); programa TAPAS; modalidad virtual desde Colombia con trabajo de campo in situ.</w:t>
      </w:r>
    </w:p>
    <w:p w14:paraId="07961BF7" w14:textId="64B2EDC5" w:rsidR="00B421EB" w:rsidRPr="00127B16" w:rsidRDefault="00000000">
      <w:pPr>
        <w:spacing w:after="40"/>
        <w:rPr>
          <w:rFonts w:ascii="Times New Roman" w:hAnsi="Times New Roman" w:cs="Times New Roman"/>
          <w:sz w:val="20"/>
          <w:szCs w:val="20"/>
          <w:lang w:val="es-CO"/>
        </w:rPr>
      </w:pPr>
      <w:r w:rsidRPr="00127B16">
        <w:rPr>
          <w:rFonts w:ascii="Times New Roman" w:hAnsi="Times New Roman" w:cs="Times New Roman"/>
          <w:sz w:val="20"/>
          <w:szCs w:val="20"/>
          <w:lang w:val="es-CO"/>
        </w:rPr>
        <w:t>• Ética: dictamen del comité de ética institucional y convenios de consentimiento informado.</w:t>
      </w:r>
    </w:p>
    <w:p w14:paraId="24BB8A08" w14:textId="77777777" w:rsidR="00B421EB" w:rsidRPr="00127B16" w:rsidRDefault="00000000">
      <w:pPr>
        <w:spacing w:before="160"/>
        <w:rPr>
          <w:rFonts w:ascii="Times New Roman" w:hAnsi="Times New Roman" w:cs="Times New Roman"/>
          <w:sz w:val="20"/>
          <w:szCs w:val="20"/>
        </w:rPr>
      </w:pPr>
      <w:r w:rsidRPr="00127B16">
        <w:rPr>
          <w:rFonts w:ascii="Times New Roman" w:hAnsi="Times New Roman" w:cs="Times New Roman"/>
          <w:b/>
          <w:sz w:val="20"/>
          <w:szCs w:val="20"/>
        </w:rPr>
        <w:t xml:space="preserve">PLANIFICACIÓN TEMPORAL (3–4 </w:t>
      </w:r>
      <w:proofErr w:type="spellStart"/>
      <w:r w:rsidRPr="00127B16">
        <w:rPr>
          <w:rFonts w:ascii="Times New Roman" w:hAnsi="Times New Roman" w:cs="Times New Roman"/>
          <w:b/>
          <w:sz w:val="20"/>
          <w:szCs w:val="20"/>
        </w:rPr>
        <w:t>años</w:t>
      </w:r>
      <w:proofErr w:type="spellEnd"/>
      <w:r w:rsidRPr="00127B16">
        <w:rPr>
          <w:rFonts w:ascii="Times New Roman" w:hAnsi="Times New Roman" w:cs="Times New Roman"/>
          <w:b/>
          <w:sz w:val="20"/>
          <w:szCs w:val="20"/>
        </w:rPr>
        <w:t>)</w:t>
      </w:r>
    </w:p>
    <w:tbl>
      <w:tblPr>
        <w:tblStyle w:val="Tablaconcuadrcula"/>
        <w:tblW w:w="0" w:type="auto"/>
        <w:tblLook w:val="04A0" w:firstRow="1" w:lastRow="0" w:firstColumn="1" w:lastColumn="0" w:noHBand="0" w:noVBand="1"/>
      </w:tblPr>
      <w:tblGrid>
        <w:gridCol w:w="3041"/>
        <w:gridCol w:w="3041"/>
        <w:gridCol w:w="3041"/>
      </w:tblGrid>
      <w:tr w:rsidR="00B421EB" w:rsidRPr="00127B16" w14:paraId="6D791C4F" w14:textId="77777777">
        <w:tc>
          <w:tcPr>
            <w:tcW w:w="3041" w:type="dxa"/>
          </w:tcPr>
          <w:p w14:paraId="49AB2153"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b/>
                <w:sz w:val="20"/>
                <w:szCs w:val="20"/>
              </w:rPr>
              <w:t>Periodo</w:t>
            </w:r>
          </w:p>
        </w:tc>
        <w:tc>
          <w:tcPr>
            <w:tcW w:w="3041" w:type="dxa"/>
          </w:tcPr>
          <w:p w14:paraId="452A423C"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b/>
                <w:sz w:val="20"/>
                <w:szCs w:val="20"/>
              </w:rPr>
              <w:t>Fase / Hito</w:t>
            </w:r>
          </w:p>
        </w:tc>
        <w:tc>
          <w:tcPr>
            <w:tcW w:w="3041" w:type="dxa"/>
          </w:tcPr>
          <w:p w14:paraId="013BC820"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b/>
                <w:sz w:val="20"/>
                <w:szCs w:val="20"/>
              </w:rPr>
              <w:t>Producto</w:t>
            </w:r>
          </w:p>
        </w:tc>
      </w:tr>
      <w:tr w:rsidR="00B421EB" w:rsidRPr="00D11060" w14:paraId="3B1B3EF4" w14:textId="77777777">
        <w:tc>
          <w:tcPr>
            <w:tcW w:w="3041" w:type="dxa"/>
          </w:tcPr>
          <w:p w14:paraId="5A3FF4BD"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sz w:val="20"/>
                <w:szCs w:val="20"/>
              </w:rPr>
              <w:t>Año 1</w:t>
            </w:r>
          </w:p>
        </w:tc>
        <w:tc>
          <w:tcPr>
            <w:tcW w:w="3041" w:type="dxa"/>
          </w:tcPr>
          <w:p w14:paraId="629CED92" w14:textId="77777777" w:rsidR="00B421EB" w:rsidRPr="00127B16" w:rsidRDefault="00000000">
            <w:pPr>
              <w:rPr>
                <w:rFonts w:ascii="Times New Roman" w:hAnsi="Times New Roman" w:cs="Times New Roman"/>
                <w:sz w:val="20"/>
                <w:szCs w:val="20"/>
                <w:lang w:val="es-CO"/>
              </w:rPr>
            </w:pPr>
            <w:r w:rsidRPr="00127B16">
              <w:rPr>
                <w:rFonts w:ascii="Times New Roman" w:hAnsi="Times New Roman" w:cs="Times New Roman"/>
                <w:sz w:val="20"/>
                <w:szCs w:val="20"/>
                <w:lang w:val="es-CO"/>
              </w:rPr>
              <w:t xml:space="preserve">Marco teórico (Caps. 1-5) + Fase I diagnóstica: trabajo de campo, SNA, </w:t>
            </w:r>
            <w:proofErr w:type="spellStart"/>
            <w:r w:rsidRPr="00127B16">
              <w:rPr>
                <w:rFonts w:ascii="Times New Roman" w:hAnsi="Times New Roman" w:cs="Times New Roman"/>
                <w:sz w:val="20"/>
                <w:szCs w:val="20"/>
                <w:lang w:val="es-CO"/>
              </w:rPr>
              <w:t>fsQCA</w:t>
            </w:r>
            <w:proofErr w:type="spellEnd"/>
            <w:r w:rsidRPr="00127B16">
              <w:rPr>
                <w:rFonts w:ascii="Times New Roman" w:hAnsi="Times New Roman" w:cs="Times New Roman"/>
                <w:sz w:val="20"/>
                <w:szCs w:val="20"/>
                <w:lang w:val="es-CO"/>
              </w:rPr>
              <w:t>, diagnóstico bio-basado, VCO₀, IPDET</w:t>
            </w:r>
          </w:p>
        </w:tc>
        <w:tc>
          <w:tcPr>
            <w:tcW w:w="3041" w:type="dxa"/>
          </w:tcPr>
          <w:p w14:paraId="3952DDFE" w14:textId="13C31BDD" w:rsidR="00B421EB" w:rsidRPr="00D11060" w:rsidRDefault="00D11060">
            <w:pPr>
              <w:rPr>
                <w:rFonts w:ascii="Times New Roman" w:hAnsi="Times New Roman" w:cs="Times New Roman"/>
                <w:sz w:val="20"/>
                <w:szCs w:val="20"/>
                <w:lang w:val="es-CO"/>
              </w:rPr>
            </w:pPr>
            <w:r w:rsidRPr="00D11060">
              <w:rPr>
                <w:rFonts w:ascii="Times New Roman" w:hAnsi="Times New Roman" w:cs="Times New Roman"/>
                <w:sz w:val="20"/>
                <w:szCs w:val="20"/>
                <w:lang w:val="es-CO"/>
              </w:rPr>
              <w:t>Compromiso de Actividades y Plan de Formación</w:t>
            </w:r>
            <w:r w:rsidR="00000000" w:rsidRPr="00D11060">
              <w:rPr>
                <w:rFonts w:ascii="Times New Roman" w:hAnsi="Times New Roman" w:cs="Times New Roman"/>
                <w:sz w:val="20"/>
                <w:szCs w:val="20"/>
                <w:lang w:val="es-CO"/>
              </w:rPr>
              <w:t xml:space="preserve"> · </w:t>
            </w:r>
            <w:r>
              <w:rPr>
                <w:rFonts w:ascii="Times New Roman" w:hAnsi="Times New Roman" w:cs="Times New Roman"/>
                <w:sz w:val="20"/>
                <w:szCs w:val="20"/>
                <w:lang w:val="es-CO"/>
              </w:rPr>
              <w:t>Generación del primer artículo</w:t>
            </w:r>
          </w:p>
        </w:tc>
      </w:tr>
      <w:tr w:rsidR="00B421EB" w:rsidRPr="00127B16" w14:paraId="147EA0AE" w14:textId="77777777">
        <w:tc>
          <w:tcPr>
            <w:tcW w:w="3041" w:type="dxa"/>
          </w:tcPr>
          <w:p w14:paraId="1F4ADCC7"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sz w:val="20"/>
                <w:szCs w:val="20"/>
              </w:rPr>
              <w:t>Año 2</w:t>
            </w:r>
          </w:p>
        </w:tc>
        <w:tc>
          <w:tcPr>
            <w:tcW w:w="3041" w:type="dxa"/>
          </w:tcPr>
          <w:p w14:paraId="1604725F" w14:textId="77777777" w:rsidR="00B421EB" w:rsidRPr="00127B16" w:rsidRDefault="00000000">
            <w:pPr>
              <w:rPr>
                <w:rFonts w:ascii="Times New Roman" w:hAnsi="Times New Roman" w:cs="Times New Roman"/>
                <w:sz w:val="20"/>
                <w:szCs w:val="20"/>
                <w:lang w:val="es-CO"/>
              </w:rPr>
            </w:pPr>
            <w:r w:rsidRPr="00127B16">
              <w:rPr>
                <w:rFonts w:ascii="Times New Roman" w:hAnsi="Times New Roman" w:cs="Times New Roman"/>
                <w:sz w:val="20"/>
                <w:szCs w:val="20"/>
                <w:lang w:val="es-CO"/>
              </w:rPr>
              <w:t>Fase II constructiva: talleres participativos + panel Delphi (3 rondas); operacionalización y distribuciones a priori; especificación arquitectura GDA y protocolo MRV</w:t>
            </w:r>
          </w:p>
        </w:tc>
        <w:tc>
          <w:tcPr>
            <w:tcW w:w="3041" w:type="dxa"/>
          </w:tcPr>
          <w:p w14:paraId="43A46334" w14:textId="5506C8DC" w:rsidR="00B421EB" w:rsidRPr="00127B16" w:rsidRDefault="00000000">
            <w:pPr>
              <w:rPr>
                <w:rFonts w:ascii="Times New Roman" w:hAnsi="Times New Roman" w:cs="Times New Roman"/>
                <w:sz w:val="20"/>
                <w:szCs w:val="20"/>
                <w:lang w:val="es-CO"/>
              </w:rPr>
            </w:pPr>
            <w:r w:rsidRPr="00127B16">
              <w:rPr>
                <w:rFonts w:ascii="Times New Roman" w:hAnsi="Times New Roman" w:cs="Times New Roman"/>
                <w:sz w:val="20"/>
                <w:szCs w:val="20"/>
                <w:lang w:val="es-CO"/>
              </w:rPr>
              <w:t xml:space="preserve">Modelo GDA validado · </w:t>
            </w:r>
            <w:r w:rsidR="00D11060">
              <w:rPr>
                <w:rFonts w:ascii="Times New Roman" w:hAnsi="Times New Roman" w:cs="Times New Roman"/>
                <w:sz w:val="20"/>
                <w:szCs w:val="20"/>
                <w:lang w:val="es-CO"/>
              </w:rPr>
              <w:t>Generación de segundo artículo y productos A6.1, A6.2 y A6.3</w:t>
            </w:r>
          </w:p>
        </w:tc>
      </w:tr>
      <w:tr w:rsidR="00B421EB" w:rsidRPr="00127B16" w14:paraId="5EB135B8" w14:textId="77777777">
        <w:tc>
          <w:tcPr>
            <w:tcW w:w="3041" w:type="dxa"/>
          </w:tcPr>
          <w:p w14:paraId="58E6DE12"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sz w:val="20"/>
                <w:szCs w:val="20"/>
              </w:rPr>
              <w:t>Año 3</w:t>
            </w:r>
          </w:p>
        </w:tc>
        <w:tc>
          <w:tcPr>
            <w:tcW w:w="3041" w:type="dxa"/>
          </w:tcPr>
          <w:p w14:paraId="2BE22E7C" w14:textId="77777777" w:rsidR="00B421EB" w:rsidRPr="00127B16" w:rsidRDefault="00000000">
            <w:pPr>
              <w:rPr>
                <w:rFonts w:ascii="Times New Roman" w:hAnsi="Times New Roman" w:cs="Times New Roman"/>
                <w:sz w:val="20"/>
                <w:szCs w:val="20"/>
                <w:lang w:val="es-CO"/>
              </w:rPr>
            </w:pPr>
            <w:r w:rsidRPr="00127B16">
              <w:rPr>
                <w:rFonts w:ascii="Times New Roman" w:hAnsi="Times New Roman" w:cs="Times New Roman"/>
                <w:sz w:val="20"/>
                <w:szCs w:val="20"/>
                <w:lang w:val="es-CO"/>
              </w:rPr>
              <w:t>Fase III evaluativa: Monte Carlo, Sobol, pruebas de estrés; piloto acotado; manual de transferencia; documento de política pública</w:t>
            </w:r>
          </w:p>
        </w:tc>
        <w:tc>
          <w:tcPr>
            <w:tcW w:w="3041" w:type="dxa"/>
          </w:tcPr>
          <w:p w14:paraId="1F1E0BA3" w14:textId="73F4C758" w:rsidR="00B421EB" w:rsidRPr="00127B16" w:rsidRDefault="00000000">
            <w:pPr>
              <w:rPr>
                <w:rFonts w:ascii="Times New Roman" w:hAnsi="Times New Roman" w:cs="Times New Roman"/>
                <w:sz w:val="20"/>
                <w:szCs w:val="20"/>
                <w:lang w:val="es-CO"/>
              </w:rPr>
            </w:pPr>
            <w:r w:rsidRPr="00127B16">
              <w:rPr>
                <w:rFonts w:ascii="Times New Roman" w:hAnsi="Times New Roman" w:cs="Times New Roman"/>
                <w:sz w:val="20"/>
                <w:szCs w:val="20"/>
                <w:lang w:val="es-CO"/>
              </w:rPr>
              <w:t xml:space="preserve">Evaluación · </w:t>
            </w:r>
            <w:r w:rsidR="00D11060">
              <w:rPr>
                <w:rFonts w:ascii="Times New Roman" w:hAnsi="Times New Roman" w:cs="Times New Roman"/>
                <w:sz w:val="20"/>
                <w:szCs w:val="20"/>
                <w:lang w:val="es-CO"/>
              </w:rPr>
              <w:t>Generación de tercer artículo y productos A6.4, A6.5 y A 6.6</w:t>
            </w:r>
          </w:p>
        </w:tc>
      </w:tr>
      <w:tr w:rsidR="00B421EB" w:rsidRPr="00127B16" w14:paraId="3606BBB0" w14:textId="77777777">
        <w:tc>
          <w:tcPr>
            <w:tcW w:w="3041" w:type="dxa"/>
          </w:tcPr>
          <w:p w14:paraId="4F66B4F3" w14:textId="77777777" w:rsidR="00B421EB" w:rsidRPr="00127B16" w:rsidRDefault="00000000">
            <w:pPr>
              <w:rPr>
                <w:rFonts w:ascii="Times New Roman" w:hAnsi="Times New Roman" w:cs="Times New Roman"/>
                <w:sz w:val="20"/>
                <w:szCs w:val="20"/>
              </w:rPr>
            </w:pPr>
            <w:r w:rsidRPr="00127B16">
              <w:rPr>
                <w:rFonts w:ascii="Times New Roman" w:hAnsi="Times New Roman" w:cs="Times New Roman"/>
                <w:sz w:val="20"/>
                <w:szCs w:val="20"/>
              </w:rPr>
              <w:t>Año 4</w:t>
            </w:r>
          </w:p>
        </w:tc>
        <w:tc>
          <w:tcPr>
            <w:tcW w:w="3041" w:type="dxa"/>
          </w:tcPr>
          <w:p w14:paraId="3238B7B4" w14:textId="77777777" w:rsidR="00B421EB" w:rsidRPr="00127B16" w:rsidRDefault="00000000">
            <w:pPr>
              <w:rPr>
                <w:rFonts w:ascii="Times New Roman" w:hAnsi="Times New Roman" w:cs="Times New Roman"/>
                <w:sz w:val="20"/>
                <w:szCs w:val="20"/>
                <w:lang w:val="es-CO"/>
              </w:rPr>
            </w:pPr>
            <w:r w:rsidRPr="00127B16">
              <w:rPr>
                <w:rFonts w:ascii="Times New Roman" w:hAnsi="Times New Roman" w:cs="Times New Roman"/>
                <w:sz w:val="20"/>
                <w:szCs w:val="20"/>
                <w:lang w:val="es-CO"/>
              </w:rPr>
              <w:t>Integración, conclusión (Cap. 9); redacción y depósito; ponencia internacional</w:t>
            </w:r>
          </w:p>
        </w:tc>
        <w:tc>
          <w:tcPr>
            <w:tcW w:w="3041" w:type="dxa"/>
          </w:tcPr>
          <w:p w14:paraId="44EC3DAC" w14:textId="14059B9E" w:rsidR="00B421EB" w:rsidRPr="00127B16" w:rsidRDefault="00000000">
            <w:pPr>
              <w:rPr>
                <w:rFonts w:ascii="Times New Roman" w:hAnsi="Times New Roman" w:cs="Times New Roman"/>
                <w:sz w:val="20"/>
                <w:szCs w:val="20"/>
                <w:lang w:val="es-CO"/>
              </w:rPr>
            </w:pPr>
            <w:r w:rsidRPr="00127B16">
              <w:rPr>
                <w:rFonts w:ascii="Times New Roman" w:hAnsi="Times New Roman" w:cs="Times New Roman"/>
                <w:sz w:val="20"/>
                <w:szCs w:val="20"/>
                <w:lang w:val="es-CO"/>
              </w:rPr>
              <w:t>Tesis depositada</w:t>
            </w:r>
            <w:r w:rsidR="00D11060">
              <w:rPr>
                <w:rFonts w:ascii="Times New Roman" w:hAnsi="Times New Roman" w:cs="Times New Roman"/>
                <w:sz w:val="20"/>
                <w:szCs w:val="20"/>
                <w:lang w:val="es-CO"/>
              </w:rPr>
              <w:t xml:space="preserve"> en la UPM</w:t>
            </w:r>
            <w:r w:rsidRPr="00127B16">
              <w:rPr>
                <w:rFonts w:ascii="Times New Roman" w:hAnsi="Times New Roman" w:cs="Times New Roman"/>
                <w:sz w:val="20"/>
                <w:szCs w:val="20"/>
                <w:lang w:val="es-CO"/>
              </w:rPr>
              <w:t xml:space="preserve"> </w:t>
            </w:r>
            <w:r w:rsidR="00D11060">
              <w:rPr>
                <w:rFonts w:ascii="Times New Roman" w:hAnsi="Times New Roman" w:cs="Times New Roman"/>
                <w:sz w:val="20"/>
                <w:szCs w:val="20"/>
                <w:lang w:val="es-CO"/>
              </w:rPr>
              <w:t>y defensa de tesis y ponencia.</w:t>
            </w:r>
          </w:p>
        </w:tc>
      </w:tr>
    </w:tbl>
    <w:p w14:paraId="4E33B9DF" w14:textId="362FAF47" w:rsidR="00B421EB" w:rsidRPr="00127B16" w:rsidRDefault="00B421EB">
      <w:pPr>
        <w:spacing w:after="20"/>
        <w:rPr>
          <w:rFonts w:ascii="Times New Roman" w:hAnsi="Times New Roman" w:cs="Times New Roman"/>
          <w:sz w:val="20"/>
          <w:szCs w:val="20"/>
          <w:lang w:val="es-CO"/>
        </w:rPr>
      </w:pPr>
    </w:p>
    <w:sectPr w:rsidR="00B421EB" w:rsidRPr="00127B16"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41664791">
    <w:abstractNumId w:val="8"/>
  </w:num>
  <w:num w:numId="2" w16cid:durableId="750657636">
    <w:abstractNumId w:val="6"/>
  </w:num>
  <w:num w:numId="3" w16cid:durableId="1107654834">
    <w:abstractNumId w:val="5"/>
  </w:num>
  <w:num w:numId="4" w16cid:durableId="352002074">
    <w:abstractNumId w:val="4"/>
  </w:num>
  <w:num w:numId="5" w16cid:durableId="2074813618">
    <w:abstractNumId w:val="7"/>
  </w:num>
  <w:num w:numId="6" w16cid:durableId="947545750">
    <w:abstractNumId w:val="3"/>
  </w:num>
  <w:num w:numId="7" w16cid:durableId="1519007938">
    <w:abstractNumId w:val="2"/>
  </w:num>
  <w:num w:numId="8" w16cid:durableId="731346730">
    <w:abstractNumId w:val="1"/>
  </w:num>
  <w:num w:numId="9" w16cid:durableId="1810052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B16"/>
    <w:rsid w:val="0015074B"/>
    <w:rsid w:val="00234F7F"/>
    <w:rsid w:val="0029639D"/>
    <w:rsid w:val="00315D90"/>
    <w:rsid w:val="00326F90"/>
    <w:rsid w:val="0089200B"/>
    <w:rsid w:val="00AA1D8D"/>
    <w:rsid w:val="00B421EB"/>
    <w:rsid w:val="00B47730"/>
    <w:rsid w:val="00CB0664"/>
    <w:rsid w:val="00D110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58BC1"/>
  <w14:defaultImageDpi w14:val="300"/>
  <w15:docId w15:val="{40F1BED9-14BB-48B9-A65F-DB54C8A33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2485</Words>
  <Characters>14886</Characters>
  <Application>Microsoft Office Word</Application>
  <DocSecurity>0</DocSecurity>
  <Lines>203</Lines>
  <Paragraphs>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Alejandro Pajoy Bastos</cp:lastModifiedBy>
  <cp:revision>4</cp:revision>
  <cp:lastPrinted>2026-06-17T18:41:00Z</cp:lastPrinted>
  <dcterms:created xsi:type="dcterms:W3CDTF">2026-06-17T18:26:00Z</dcterms:created>
  <dcterms:modified xsi:type="dcterms:W3CDTF">2026-06-17T19:11:00Z</dcterms:modified>
  <cp:category/>
</cp:coreProperties>
</file>