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D49B" w14:textId="77777777" w:rsidR="00C66BEC" w:rsidRPr="00DC2889" w:rsidRDefault="00000000">
      <w:pPr>
        <w:spacing w:after="320"/>
        <w:rPr>
          <w:rFonts w:hint="eastAsia"/>
          <w:lang w:val="es-CO"/>
        </w:rPr>
      </w:pPr>
      <w:r w:rsidRPr="00DC2889">
        <w:rPr>
          <w:i/>
          <w:lang w:val="es-CO"/>
        </w:rPr>
        <w:t>Popayán, Cauca (Colombia), mayo de 2026</w:t>
      </w:r>
    </w:p>
    <w:p w14:paraId="09E1ED24" w14:textId="77777777" w:rsidR="00C66BEC" w:rsidRPr="00A42339" w:rsidRDefault="00000000">
      <w:pPr>
        <w:spacing w:after="0"/>
        <w:rPr>
          <w:rFonts w:hint="eastAsia"/>
          <w:lang w:val="es-CO"/>
        </w:rPr>
      </w:pPr>
      <w:r w:rsidRPr="00A42339">
        <w:rPr>
          <w:b/>
          <w:lang w:val="es-CO"/>
        </w:rPr>
        <w:t>Doctor</w:t>
      </w:r>
    </w:p>
    <w:p w14:paraId="3B5345B6" w14:textId="77777777" w:rsidR="00C66BEC" w:rsidRPr="00A42339" w:rsidRDefault="00000000">
      <w:pPr>
        <w:spacing w:after="0"/>
        <w:rPr>
          <w:rFonts w:hint="eastAsia"/>
          <w:lang w:val="es-CO"/>
        </w:rPr>
      </w:pPr>
      <w:r w:rsidRPr="00A42339">
        <w:rPr>
          <w:b/>
          <w:lang w:val="es-CO"/>
        </w:rPr>
        <w:t>Iñaki Peña Legazkue</w:t>
      </w:r>
    </w:p>
    <w:p w14:paraId="04A62379" w14:textId="77777777" w:rsidR="00C66BEC" w:rsidRPr="00A42339" w:rsidRDefault="00000000">
      <w:pPr>
        <w:spacing w:after="0"/>
        <w:rPr>
          <w:rFonts w:hint="eastAsia"/>
          <w:lang w:val="es-CO"/>
        </w:rPr>
      </w:pPr>
      <w:r w:rsidRPr="00A42339">
        <w:rPr>
          <w:lang w:val="es-CO"/>
        </w:rPr>
        <w:t>Coordinador CETIS</w:t>
      </w:r>
    </w:p>
    <w:p w14:paraId="74AB8FF4" w14:textId="77777777" w:rsidR="00C66BEC" w:rsidRPr="00A42339" w:rsidRDefault="00000000">
      <w:pPr>
        <w:spacing w:after="400"/>
        <w:rPr>
          <w:rFonts w:hint="eastAsia"/>
          <w:lang w:val="es-CO"/>
        </w:rPr>
      </w:pPr>
      <w:r w:rsidRPr="00A42339">
        <w:rPr>
          <w:lang w:val="es-CO"/>
        </w:rPr>
        <w:t>Universidad de Deusto</w:t>
      </w:r>
    </w:p>
    <w:p w14:paraId="74BE69EA" w14:textId="77777777" w:rsidR="00C66BEC" w:rsidRPr="00DC2889" w:rsidRDefault="00000000">
      <w:pPr>
        <w:spacing w:after="240"/>
        <w:jc w:val="both"/>
        <w:rPr>
          <w:rFonts w:hint="eastAsia"/>
          <w:lang w:val="es-CO"/>
        </w:rPr>
      </w:pPr>
      <w:r w:rsidRPr="00A42339">
        <w:rPr>
          <w:lang w:val="es-CO"/>
        </w:rPr>
        <w:t>Estimado Doctor Peña</w:t>
      </w:r>
      <w:r w:rsidRPr="00DC2889">
        <w:rPr>
          <w:lang w:val="es-CO"/>
        </w:rPr>
        <w:t>:</w:t>
      </w:r>
    </w:p>
    <w:p w14:paraId="47F233F6" w14:textId="77777777" w:rsidR="00C66BEC" w:rsidRPr="00DC2889" w:rsidRDefault="00000000">
      <w:pPr>
        <w:spacing w:after="120"/>
        <w:jc w:val="both"/>
        <w:rPr>
          <w:rFonts w:hint="eastAsia"/>
          <w:lang w:val="es-CO"/>
        </w:rPr>
      </w:pPr>
      <w:r w:rsidRPr="00DC2889">
        <w:rPr>
          <w:lang w:val="es-CO"/>
        </w:rPr>
        <w:t>Durante cinco generaciones, mi familia ha cultivado café en el Cauca colombiano. Hemos sobrevivido a crisis de precios, plagas, violencia y las adversidades de vivir en un territorio que produce algunos de los cafés más reconocidos del mundo mientras permanece inmerso en la pobreza estructural. A pesar de producir café de alta calidad y de trabajar con rigor, mi familia —como las más de 560.000 familias cafeteras de Colombia— no logra retener el valor de su trabajo. Comprender las causas profundas de este fenómeno y diseñar un modelo que permita transformarlo es la razón por la que me postulo a este programa doctoral.</w:t>
      </w:r>
    </w:p>
    <w:p w14:paraId="31C04B3F" w14:textId="77777777" w:rsidR="00C66BEC" w:rsidRPr="00DC2889" w:rsidRDefault="00000000">
      <w:pPr>
        <w:spacing w:after="120"/>
        <w:jc w:val="both"/>
        <w:rPr>
          <w:rFonts w:hint="eastAsia"/>
          <w:lang w:val="es-CO"/>
        </w:rPr>
      </w:pPr>
      <w:r w:rsidRPr="00DC2889">
        <w:rPr>
          <w:lang w:val="es-CO"/>
        </w:rPr>
        <w:t>Vivo y trabajo en el Cauca. He sido testigo directo de algo que los datos confirman: el café es la alternativa más efectiva frente a los cultivos ilícitos, pero solo cuando ofrece una perspectiva económica real a quien lo cultiva. Cuando no la ofrece, los jóvenes de las familias cafeteras no encuentran en la agricultura un horizonte viable y se convierten en el recurso humano de los grupos armados y las economías ilícitas. Este fenómeno ha generado un envejecimiento progresivo de la caficultura colombiana y una dependencia crónica de subsidios que no resuelven la causa raíz.</w:t>
      </w:r>
    </w:p>
    <w:p w14:paraId="3913726C" w14:textId="77777777" w:rsidR="00C66BEC" w:rsidRPr="00DC2889" w:rsidRDefault="00000000">
      <w:pPr>
        <w:spacing w:after="120"/>
        <w:jc w:val="both"/>
        <w:rPr>
          <w:rFonts w:hint="eastAsia"/>
          <w:lang w:val="es-CO"/>
        </w:rPr>
      </w:pPr>
      <w:r w:rsidRPr="00DC2889">
        <w:rPr>
          <w:lang w:val="es-CO"/>
        </w:rPr>
        <w:t>Mi recorrido profesional me llevó en 2020 a la Federación Nacional de Cafeteros, donde me asignaron un proyecto archivado que nadie quería ejecutar: una plataforma de exportación directa de café para pequeños productores. En menos de un año pasé de 2 a 56 operaciones diarias de exportación. Pero el resultado más importante no fue el número —fue el descubrimiento que lo hizo posible. La solución tecnológica por sí sola no generaba impacto alguno. Lo que transformó los resultados fue el empoderamiento del caficultor individual: ayudé a productores a exportar por primera vez en su vida. Esa primera exportación tenía más valor emocional que económico —generó esperanza, orgullo y motivación para seguir aprendiendo. Y esa transformación se volvió contagiosa: el caficultor empoderado naturalmente quería que su vecino viviera lo mismo. El problema no estaba en la herramienta. Estaba en las limitaciones mentales y emocionales incrustadas en la mente del caficultor, y en la ausencia de una institucionalidad asociativa que las sostuviera en el tiempo.</w:t>
      </w:r>
    </w:p>
    <w:p w14:paraId="3A197E77" w14:textId="77777777" w:rsidR="00C66BEC" w:rsidRPr="00DC2889" w:rsidRDefault="00000000">
      <w:pPr>
        <w:spacing w:after="120"/>
        <w:jc w:val="both"/>
        <w:rPr>
          <w:rFonts w:hint="eastAsia"/>
          <w:lang w:val="es-CO"/>
        </w:rPr>
      </w:pPr>
      <w:r w:rsidRPr="00DC2889">
        <w:rPr>
          <w:lang w:val="es-CO"/>
        </w:rPr>
        <w:t xml:space="preserve">En ese recorrido por la FNC conocí muchas asociaciones y comprendí que una organización asociativa empoderada puede soportar más fácilmente las adversidades y crecer más rápidamente que cualquier productor individual. Entre todos los modelos que conocí, uno me impactó de manera particular: FEMNCAFE, una asociación de segundo nivel conformada por organizaciones firmantes del Acuerdo de Paz y víctimas del conflicto armado. En su proceso de incorporación hay una voluntad genuina de trabajar en </w:t>
      </w:r>
      <w:r w:rsidRPr="00DC2889">
        <w:rPr>
          <w:lang w:val="es-CO"/>
        </w:rPr>
        <w:lastRenderedPageBreak/>
        <w:t>asociación —un capital social extraordinario forjado en la adversidad— pero enfrentan las mismas dificultades que cualquier asociación de caficultores tradicional, con la carga adicional del conflicto, la desconfianza histórica y la fragilidad institucional de sus territorios. Acompañarlos en sus procesos comerciales me llevó a una conclusión que ninguna gestión comercial puede resolver: hay problemas más profundos de gobernanza y de arquitectura institucional que, si no se abordan, pueden llevar a que estos modelos de paz productiva se estanquen o se desintegren.</w:t>
      </w:r>
    </w:p>
    <w:p w14:paraId="7F155DEA" w14:textId="77777777" w:rsidR="00C66BEC" w:rsidRPr="00DC2889" w:rsidRDefault="00000000">
      <w:pPr>
        <w:spacing w:after="120"/>
        <w:jc w:val="both"/>
        <w:rPr>
          <w:rFonts w:hint="eastAsia"/>
          <w:lang w:val="es-CO"/>
        </w:rPr>
      </w:pPr>
      <w:r w:rsidRPr="00DC2889">
        <w:rPr>
          <w:lang w:val="es-CO"/>
        </w:rPr>
        <w:t>En paralelo, en mi MBA en la Universidad EAFIT, desarrollé un estudio de prefactibilidad de una plataforma e-</w:t>
      </w:r>
      <w:proofErr w:type="spellStart"/>
      <w:r w:rsidRPr="00DC2889">
        <w:rPr>
          <w:lang w:val="es-CO"/>
        </w:rPr>
        <w:t>commerce</w:t>
      </w:r>
      <w:proofErr w:type="spellEnd"/>
      <w:r w:rsidRPr="00DC2889">
        <w:rPr>
          <w:lang w:val="es-CO"/>
        </w:rPr>
        <w:t xml:space="preserve"> para que la Federación Nacional de Cafeteros comercializara café especial verde directamente en el mercado de Estados Unidos. El resultado fue un VPN positivo y una TIR superior al costo de capital de la FNC —el canal digital es viable y el valor existe en la cadena. Pero ese trabajo me dejó una pregunta sin responder: si la infraestructura comercial funciona, ¿por qué el productor sigue reteniendo solo entre el 7 y el 10% del precio final de la bolsa? ¿Qué tiene que transformarse institucionalmente para que ese valor llegue a la finca?</w:t>
      </w:r>
    </w:p>
    <w:p w14:paraId="71C0CD2B" w14:textId="77777777" w:rsidR="00C66BEC" w:rsidRPr="00DC2889" w:rsidRDefault="00000000">
      <w:pPr>
        <w:spacing w:after="120"/>
        <w:jc w:val="both"/>
        <w:rPr>
          <w:rFonts w:hint="eastAsia"/>
          <w:lang w:val="es-CO"/>
        </w:rPr>
      </w:pPr>
      <w:r w:rsidRPr="00DC2889">
        <w:rPr>
          <w:lang w:val="es-CO"/>
        </w:rPr>
        <w:t>Toda esta trayectoria —la historia familiar, el descubrimiento en CAFIX, el trabajo con FEMNCAFE y la investigación aplicada en EAFIT— converge en una sola pregunta doctoral:</w:t>
      </w:r>
    </w:p>
    <w:p w14:paraId="0C8BF1DF" w14:textId="77777777" w:rsidR="00C66BEC" w:rsidRPr="00DC2889" w:rsidRDefault="00000000">
      <w:pPr>
        <w:spacing w:before="120" w:after="120"/>
        <w:ind w:left="567" w:right="567"/>
        <w:jc w:val="both"/>
        <w:rPr>
          <w:rFonts w:hint="eastAsia"/>
          <w:lang w:val="es-CO"/>
        </w:rPr>
      </w:pPr>
      <w:r w:rsidRPr="00DC2889">
        <w:rPr>
          <w:b/>
          <w:i/>
          <w:lang w:val="es-CO"/>
        </w:rPr>
        <w:t>¿Cómo un modelo sociotécnico de gobernanza habilita a las asociaciones caficultoras en territorios PDET colombianos para incrementar su retención de renta —medida como Valor Capturado en Origen— en la cadena global de valor y fortalecer su antifragilidad territorial?</w:t>
      </w:r>
    </w:p>
    <w:p w14:paraId="6FCAA63D" w14:textId="77777777" w:rsidR="00C66BEC" w:rsidRPr="00DC2889" w:rsidRDefault="00000000">
      <w:pPr>
        <w:spacing w:after="120"/>
        <w:jc w:val="both"/>
        <w:rPr>
          <w:rFonts w:hint="eastAsia"/>
          <w:lang w:val="es-CO"/>
        </w:rPr>
      </w:pPr>
      <w:r w:rsidRPr="00DC2889">
        <w:rPr>
          <w:lang w:val="es-CO"/>
        </w:rPr>
        <w:t xml:space="preserve">Para responder esta pregunta propongo integrar cuatro marcos teóricos: el diagnóstico estructural de las Cadenas Globales de Valor para comprender la distribución asimétrica de la renta; el diseño institucional de Ostrom para la gobernanza de bienes comunes, que ha demostrado cómo las comunidades construyen reglas propias más efectivas que las impuestas desde afuera; la confianza algorítmica habilitada por tecnología </w:t>
      </w:r>
      <w:proofErr w:type="spellStart"/>
      <w:r w:rsidRPr="00DC2889">
        <w:rPr>
          <w:lang w:val="es-CO"/>
        </w:rPr>
        <w:t>blockchain</w:t>
      </w:r>
      <w:proofErr w:type="spellEnd"/>
      <w:r w:rsidRPr="00DC2889">
        <w:rPr>
          <w:lang w:val="es-CO"/>
        </w:rPr>
        <w:t xml:space="preserve"> como mecanismo que hace verificable la gobernanza ante actores externos; y la antifragilidad territorial de Taleb como horizonte de resultado —una asociación que se fortalece ante los choques en lugar de simplemente sobrevivir a ellos.</w:t>
      </w:r>
    </w:p>
    <w:p w14:paraId="4C587522" w14:textId="77777777" w:rsidR="00C66BEC" w:rsidRPr="00DC2889" w:rsidRDefault="00000000">
      <w:pPr>
        <w:spacing w:after="120"/>
        <w:jc w:val="both"/>
        <w:rPr>
          <w:rFonts w:hint="eastAsia"/>
          <w:lang w:val="es-CO"/>
        </w:rPr>
      </w:pPr>
      <w:r w:rsidRPr="00DC2889">
        <w:rPr>
          <w:lang w:val="es-CO"/>
        </w:rPr>
        <w:t xml:space="preserve">La metodología combina </w:t>
      </w:r>
      <w:proofErr w:type="spellStart"/>
      <w:r w:rsidRPr="00DC2889">
        <w:rPr>
          <w:lang w:val="es-CO"/>
        </w:rPr>
        <w:t>Design</w:t>
      </w:r>
      <w:proofErr w:type="spellEnd"/>
      <w:r w:rsidRPr="00DC2889">
        <w:rPr>
          <w:lang w:val="es-CO"/>
        </w:rPr>
        <w:t xml:space="preserve"> </w:t>
      </w:r>
      <w:proofErr w:type="spellStart"/>
      <w:r w:rsidRPr="00DC2889">
        <w:rPr>
          <w:lang w:val="es-CO"/>
        </w:rPr>
        <w:t>Science</w:t>
      </w:r>
      <w:proofErr w:type="spellEnd"/>
      <w:r w:rsidRPr="00DC2889">
        <w:rPr>
          <w:lang w:val="es-CO"/>
        </w:rPr>
        <w:t xml:space="preserve"> </w:t>
      </w:r>
      <w:proofErr w:type="spellStart"/>
      <w:r w:rsidRPr="00DC2889">
        <w:rPr>
          <w:lang w:val="es-CO"/>
        </w:rPr>
        <w:t>Research</w:t>
      </w:r>
      <w:proofErr w:type="spellEnd"/>
      <w:r w:rsidRPr="00DC2889">
        <w:rPr>
          <w:lang w:val="es-CO"/>
        </w:rPr>
        <w:t xml:space="preserve"> para el diseño y prototipado del artefacto institucional, </w:t>
      </w:r>
      <w:proofErr w:type="spellStart"/>
      <w:r w:rsidRPr="00DC2889">
        <w:rPr>
          <w:lang w:val="es-CO"/>
        </w:rPr>
        <w:t>co-construcción</w:t>
      </w:r>
      <w:proofErr w:type="spellEnd"/>
      <w:r w:rsidRPr="00DC2889">
        <w:rPr>
          <w:lang w:val="es-CO"/>
        </w:rPr>
        <w:t xml:space="preserve"> participativa mediante metodología Delphi con productores y líderes del territorio, y evaluación del impacto con herramientas de análisis bajo incertidumbre estructural que permitan desagregar qué componente del modelo —gobernanza, tecnología, capital social— explica qué proporción de la varianza en el Valor Capturado en Origen.</w:t>
      </w:r>
    </w:p>
    <w:p w14:paraId="789286AB" w14:textId="77777777" w:rsidR="00C66BEC" w:rsidRPr="00DC2889" w:rsidRDefault="00000000">
      <w:pPr>
        <w:spacing w:after="120"/>
        <w:jc w:val="both"/>
        <w:rPr>
          <w:rFonts w:hint="eastAsia"/>
          <w:lang w:val="es-CO"/>
        </w:rPr>
      </w:pPr>
      <w:r w:rsidRPr="00DC2889">
        <w:rPr>
          <w:lang w:val="es-CO"/>
        </w:rPr>
        <w:t xml:space="preserve">Tengo algo que muy pocos candidatos doctorales pueden ofrecer: acceso real, continuo y de confianza al territorio de estudio. Dirijo COFFIS SAS, que trabaja directamente con 33 cooperativas y más de 300 productores en el Cauca, y soy el interlocutor natural de FEMNCAFE en sus procesos comerciales. Ese acceso no es una ventaja menor —es la </w:t>
      </w:r>
      <w:r w:rsidRPr="00DC2889">
        <w:rPr>
          <w:lang w:val="es-CO"/>
        </w:rPr>
        <w:lastRenderedPageBreak/>
        <w:t>condición de posibilidad de una investigación que necesita datos longitudinales de campo que no existen en ninguna base de datos académica.</w:t>
      </w:r>
    </w:p>
    <w:p w14:paraId="28454EDA" w14:textId="77777777" w:rsidR="00C66BEC" w:rsidRPr="00DC2889" w:rsidRDefault="00000000">
      <w:pPr>
        <w:spacing w:after="120"/>
        <w:jc w:val="both"/>
        <w:rPr>
          <w:rFonts w:hint="eastAsia"/>
          <w:lang w:val="es-CO"/>
        </w:rPr>
      </w:pPr>
      <w:r w:rsidRPr="00DC2889">
        <w:rPr>
          <w:lang w:val="es-CO"/>
        </w:rPr>
        <w:t xml:space="preserve">La Universidad de Deusto, a través del ecosistema de </w:t>
      </w:r>
      <w:proofErr w:type="spellStart"/>
      <w:r w:rsidRPr="00DC2889">
        <w:rPr>
          <w:lang w:val="es-CO"/>
        </w:rPr>
        <w:t>Orkestra</w:t>
      </w:r>
      <w:proofErr w:type="spellEnd"/>
      <w:r w:rsidRPr="00DC2889">
        <w:rPr>
          <w:lang w:val="es-CO"/>
        </w:rPr>
        <w:t xml:space="preserve">, es el referente que esta investigación necesita. Lo que </w:t>
      </w:r>
      <w:proofErr w:type="spellStart"/>
      <w:r w:rsidRPr="00DC2889">
        <w:rPr>
          <w:lang w:val="es-CO"/>
        </w:rPr>
        <w:t>Orkestra</w:t>
      </w:r>
      <w:proofErr w:type="spellEnd"/>
      <w:r w:rsidRPr="00DC2889">
        <w:rPr>
          <w:lang w:val="es-CO"/>
        </w:rPr>
        <w:t xml:space="preserve"> ha documentado sobre gobernanza colaborativa, redes de cooperación y arraigo territorial en contextos de transformación regional es el cuerpo de conocimiento empírico más directamente aplicable a mi propuesta. Y lo que la Deusto Business School ha construido sobre competitividad regional e inclusión económica en el País Vasco es exactamente el referente comparativo que el modelo que quiero diseñar necesita para demostrar que sus principios son transferibles a territorios de </w:t>
      </w:r>
      <w:proofErr w:type="spellStart"/>
      <w:proofErr w:type="gramStart"/>
      <w:r w:rsidRPr="00DC2889">
        <w:rPr>
          <w:lang w:val="es-CO"/>
        </w:rPr>
        <w:t>post-conflicto</w:t>
      </w:r>
      <w:proofErr w:type="spellEnd"/>
      <w:proofErr w:type="gramEnd"/>
      <w:r w:rsidRPr="00DC2889">
        <w:rPr>
          <w:lang w:val="es-CO"/>
        </w:rPr>
        <w:t xml:space="preserve"> en economías emergentes.</w:t>
      </w:r>
    </w:p>
    <w:p w14:paraId="05EEB713" w14:textId="77777777" w:rsidR="00C66BEC" w:rsidRPr="00DC2889" w:rsidRDefault="00000000">
      <w:pPr>
        <w:spacing w:after="120"/>
        <w:jc w:val="both"/>
        <w:rPr>
          <w:rFonts w:hint="eastAsia"/>
          <w:lang w:val="es-CO"/>
        </w:rPr>
      </w:pPr>
      <w:r w:rsidRPr="00DC2889">
        <w:rPr>
          <w:lang w:val="es-CO"/>
        </w:rPr>
        <w:t>Lo que espero lograr con esta investigación es triple: un instrumento validado de medición de antifragilidad territorial aplicable a cadenas agroindustriales de pequeña escala en economías emergentes; un modelo sociotécnico de gobernanza probado en campo con evidencia causal de su efecto sobre la retención de renta en origen; y evidencia empírica de que los principios de gobernanza colaborativa y arraigo territorial que han transformado el País Vasco representan una respuesta estructural a los retos que Colombia enfrenta en sus territorios de paz.</w:t>
      </w:r>
    </w:p>
    <w:p w14:paraId="31F1F805" w14:textId="77777777" w:rsidR="00C66BEC" w:rsidRPr="00DC2889" w:rsidRDefault="00000000">
      <w:pPr>
        <w:spacing w:before="320" w:after="720"/>
        <w:rPr>
          <w:rFonts w:hint="eastAsia"/>
          <w:lang w:val="es-CO"/>
        </w:rPr>
      </w:pPr>
      <w:r w:rsidRPr="00DC2889">
        <w:rPr>
          <w:lang w:val="es-CO"/>
        </w:rPr>
        <w:t>Atentamente,</w:t>
      </w:r>
    </w:p>
    <w:p w14:paraId="2AC4A06C" w14:textId="77777777" w:rsidR="00C66BEC" w:rsidRPr="00DC2889" w:rsidRDefault="00000000">
      <w:pPr>
        <w:spacing w:after="0"/>
        <w:rPr>
          <w:rFonts w:hint="eastAsia"/>
          <w:lang w:val="es-CO"/>
        </w:rPr>
      </w:pPr>
      <w:r w:rsidRPr="00DC2889">
        <w:rPr>
          <w:b/>
          <w:lang w:val="es-CO"/>
        </w:rPr>
        <w:t>Daniel Alejandro Pajoy Bastos</w:t>
      </w:r>
    </w:p>
    <w:p w14:paraId="544B2972" w14:textId="77777777" w:rsidR="00C66BEC" w:rsidRPr="00DC2889" w:rsidRDefault="00000000">
      <w:pPr>
        <w:spacing w:after="0"/>
        <w:rPr>
          <w:rFonts w:hint="eastAsia"/>
          <w:lang w:val="es-CO"/>
        </w:rPr>
      </w:pPr>
      <w:proofErr w:type="gramStart"/>
      <w:r w:rsidRPr="00DC2889">
        <w:rPr>
          <w:lang w:val="es-CO"/>
        </w:rPr>
        <w:t>daniel@unicauca.edu.co  ·</w:t>
      </w:r>
      <w:proofErr w:type="gramEnd"/>
      <w:r w:rsidRPr="00DC2889">
        <w:rPr>
          <w:lang w:val="es-CO"/>
        </w:rPr>
        <w:t xml:space="preserve">  +57 317 538 5353</w:t>
      </w:r>
    </w:p>
    <w:sectPr w:rsidR="00C66BEC" w:rsidRPr="00DC2889"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2994063">
    <w:abstractNumId w:val="8"/>
  </w:num>
  <w:num w:numId="2" w16cid:durableId="1698506466">
    <w:abstractNumId w:val="6"/>
  </w:num>
  <w:num w:numId="3" w16cid:durableId="842361621">
    <w:abstractNumId w:val="5"/>
  </w:num>
  <w:num w:numId="4" w16cid:durableId="1432435871">
    <w:abstractNumId w:val="4"/>
  </w:num>
  <w:num w:numId="5" w16cid:durableId="1458135751">
    <w:abstractNumId w:val="7"/>
  </w:num>
  <w:num w:numId="6" w16cid:durableId="469447371">
    <w:abstractNumId w:val="3"/>
  </w:num>
  <w:num w:numId="7" w16cid:durableId="2129229814">
    <w:abstractNumId w:val="2"/>
  </w:num>
  <w:num w:numId="8" w16cid:durableId="1773433691">
    <w:abstractNumId w:val="1"/>
  </w:num>
  <w:num w:numId="9" w16cid:durableId="993684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E7"/>
    <w:rsid w:val="00034616"/>
    <w:rsid w:val="0006063C"/>
    <w:rsid w:val="0015074B"/>
    <w:rsid w:val="0029639D"/>
    <w:rsid w:val="00326F90"/>
    <w:rsid w:val="007B3C87"/>
    <w:rsid w:val="00A42339"/>
    <w:rsid w:val="00AA1D8D"/>
    <w:rsid w:val="00B47730"/>
    <w:rsid w:val="00C66BEC"/>
    <w:rsid w:val="00CB0664"/>
    <w:rsid w:val="00DC2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BB10E"/>
  <w14:defaultImageDpi w14:val="300"/>
  <w15:docId w15:val="{49139D5E-DEDA-4A41-9559-ADAFF462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1146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2</cp:revision>
  <dcterms:created xsi:type="dcterms:W3CDTF">2026-05-28T22:35:00Z</dcterms:created>
  <dcterms:modified xsi:type="dcterms:W3CDTF">2026-05-28T22:35:00Z</dcterms:modified>
  <cp:category/>
</cp:coreProperties>
</file>