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1321" w14:textId="77777777" w:rsidR="00AC2F97" w:rsidRPr="00614890" w:rsidRDefault="00000000">
      <w:pPr>
        <w:jc w:val="center"/>
        <w:rPr>
          <w:b/>
          <w:lang w:val="es-CO"/>
        </w:rPr>
      </w:pPr>
      <w:r w:rsidRPr="00614890">
        <w:rPr>
          <w:b/>
          <w:lang w:val="es-CO"/>
        </w:rPr>
        <w:t>PROPUESTA INICIAL DE ÁREA Y TEMÁTICA DE INVESTIGACIÓN</w:t>
      </w:r>
    </w:p>
    <w:p w14:paraId="4A3ADFEF" w14:textId="77777777" w:rsidR="00AC2F97" w:rsidRPr="0085422B" w:rsidRDefault="00AC2F97">
      <w:pPr>
        <w:rPr>
          <w:lang w:val="es-CO"/>
        </w:rPr>
      </w:pPr>
    </w:p>
    <w:p w14:paraId="4FADB2E8" w14:textId="77777777" w:rsidR="00AC2F97" w:rsidRPr="0085422B" w:rsidRDefault="00000000">
      <w:pPr>
        <w:jc w:val="center"/>
        <w:rPr>
          <w:lang w:val="es-CO"/>
        </w:rPr>
      </w:pPr>
      <w:r w:rsidRPr="0085422B">
        <w:rPr>
          <w:b/>
          <w:lang w:val="es-CO"/>
        </w:rPr>
        <w:t xml:space="preserve">Programa: </w:t>
      </w:r>
      <w:r w:rsidRPr="0085422B">
        <w:rPr>
          <w:lang w:val="es-CO"/>
        </w:rPr>
        <w:t>Doctorado en Competitividad Empresarial y Territorial, Innovación y Sostenibilidad (CETIS)</w:t>
      </w:r>
    </w:p>
    <w:p w14:paraId="55B55B60" w14:textId="77777777" w:rsidR="00AC2F97" w:rsidRPr="0085422B" w:rsidRDefault="00000000">
      <w:pPr>
        <w:jc w:val="center"/>
        <w:rPr>
          <w:lang w:val="es-CO"/>
        </w:rPr>
      </w:pPr>
      <w:r w:rsidRPr="0085422B">
        <w:rPr>
          <w:b/>
          <w:lang w:val="es-CO"/>
        </w:rPr>
        <w:t xml:space="preserve">Consorcio: </w:t>
      </w:r>
      <w:r w:rsidRPr="0085422B">
        <w:rPr>
          <w:lang w:val="es-CO"/>
        </w:rPr>
        <w:t xml:space="preserve">Consorcio </w:t>
      </w:r>
      <w:proofErr w:type="spellStart"/>
      <w:r w:rsidRPr="0085422B">
        <w:rPr>
          <w:lang w:val="es-CO"/>
        </w:rPr>
        <w:t>Aristos</w:t>
      </w:r>
      <w:proofErr w:type="spellEnd"/>
      <w:r w:rsidRPr="0085422B">
        <w:rPr>
          <w:lang w:val="es-CO"/>
        </w:rPr>
        <w:t xml:space="preserve"> Campus Mundus — Universidad de Deusto</w:t>
      </w:r>
    </w:p>
    <w:p w14:paraId="297F5DB3" w14:textId="77777777" w:rsidR="00AC2F97" w:rsidRPr="0085422B" w:rsidRDefault="00135BE0">
      <w:pPr>
        <w:jc w:val="center"/>
        <w:rPr>
          <w:lang w:val="es-CO"/>
        </w:rPr>
      </w:pPr>
      <w:r>
        <w:rPr>
          <w:b/>
          <w:lang w:val="es-CO"/>
        </w:rPr>
        <w:t>Proponente</w:t>
      </w:r>
      <w:r w:rsidRPr="0085422B">
        <w:rPr>
          <w:b/>
          <w:lang w:val="es-CO"/>
        </w:rPr>
        <w:t xml:space="preserve">: </w:t>
      </w:r>
      <w:r w:rsidRPr="0085422B">
        <w:rPr>
          <w:lang w:val="es-CO"/>
        </w:rPr>
        <w:t>Daniel Alejandro Pajoy Bastos</w:t>
      </w:r>
    </w:p>
    <w:p w14:paraId="163A5E1E" w14:textId="77777777" w:rsidR="00AC2F97" w:rsidRPr="0085422B" w:rsidRDefault="00000000">
      <w:pPr>
        <w:jc w:val="center"/>
        <w:rPr>
          <w:lang w:val="es-CO"/>
        </w:rPr>
      </w:pPr>
      <w:r w:rsidRPr="0085422B">
        <w:rPr>
          <w:b/>
          <w:lang w:val="es-CO"/>
        </w:rPr>
        <w:t xml:space="preserve">Fecha: </w:t>
      </w:r>
      <w:proofErr w:type="gramStart"/>
      <w:r w:rsidRPr="0085422B">
        <w:rPr>
          <w:lang w:val="es-CO"/>
        </w:rPr>
        <w:t>Mayo</w:t>
      </w:r>
      <w:proofErr w:type="gramEnd"/>
      <w:r w:rsidRPr="0085422B">
        <w:rPr>
          <w:lang w:val="es-CO"/>
        </w:rPr>
        <w:t xml:space="preserve"> 2026</w:t>
      </w:r>
    </w:p>
    <w:p w14:paraId="12F0F9F7" w14:textId="77777777" w:rsidR="00AC2F97" w:rsidRPr="00614890" w:rsidRDefault="00000000" w:rsidP="00614890">
      <w:pPr>
        <w:pStyle w:val="Ttulo1"/>
        <w:jc w:val="both"/>
        <w:rPr>
          <w:color w:val="auto"/>
          <w:sz w:val="20"/>
          <w:szCs w:val="20"/>
          <w:lang w:val="es-CO"/>
        </w:rPr>
      </w:pPr>
      <w:r w:rsidRPr="00614890">
        <w:rPr>
          <w:color w:val="auto"/>
          <w:sz w:val="20"/>
          <w:szCs w:val="20"/>
          <w:lang w:val="es-CO"/>
        </w:rPr>
        <w:t>1. Título provisional y palabras clave</w:t>
      </w:r>
    </w:p>
    <w:p w14:paraId="41B239FE" w14:textId="77777777" w:rsidR="00AC2F97" w:rsidRPr="00614890" w:rsidRDefault="00000000" w:rsidP="00614890">
      <w:pPr>
        <w:jc w:val="both"/>
        <w:rPr>
          <w:sz w:val="20"/>
          <w:szCs w:val="20"/>
          <w:lang w:val="es-CO"/>
        </w:rPr>
      </w:pPr>
      <w:r w:rsidRPr="00614890">
        <w:rPr>
          <w:b/>
          <w:sz w:val="20"/>
          <w:szCs w:val="20"/>
          <w:lang w:val="es-CO"/>
        </w:rPr>
        <w:t xml:space="preserve">Título: </w:t>
      </w:r>
      <w:r w:rsidRPr="00614890">
        <w:rPr>
          <w:i/>
          <w:sz w:val="20"/>
          <w:szCs w:val="20"/>
          <w:lang w:val="es-CO"/>
        </w:rPr>
        <w:t>Gobernanza Digital Asociativ</w:t>
      </w:r>
      <w:r w:rsidR="00135BE0" w:rsidRPr="00614890">
        <w:rPr>
          <w:i/>
          <w:sz w:val="20"/>
          <w:szCs w:val="20"/>
          <w:lang w:val="es-CO"/>
        </w:rPr>
        <w:t>a</w:t>
      </w:r>
      <w:r w:rsidRPr="00614890">
        <w:rPr>
          <w:i/>
          <w:sz w:val="20"/>
          <w:szCs w:val="20"/>
          <w:lang w:val="es-CO"/>
        </w:rPr>
        <w:t>: Un Modelo Sociotécnico para la Retención de Renta</w:t>
      </w:r>
      <w:r w:rsidR="00135BE0" w:rsidRPr="00614890">
        <w:rPr>
          <w:i/>
          <w:sz w:val="20"/>
          <w:szCs w:val="20"/>
          <w:lang w:val="es-CO"/>
        </w:rPr>
        <w:t xml:space="preserve"> y Antifragilidad Territorial</w:t>
      </w:r>
      <w:r w:rsidRPr="00614890">
        <w:rPr>
          <w:i/>
          <w:sz w:val="20"/>
          <w:szCs w:val="20"/>
          <w:lang w:val="es-CO"/>
        </w:rPr>
        <w:t xml:space="preserve"> en Organizaciones Caficultoras de </w:t>
      </w:r>
      <w:r w:rsidR="00135BE0" w:rsidRPr="00614890">
        <w:rPr>
          <w:i/>
          <w:sz w:val="20"/>
          <w:szCs w:val="20"/>
          <w:lang w:val="es-CO"/>
        </w:rPr>
        <w:t>municipios</w:t>
      </w:r>
      <w:r w:rsidRPr="00614890">
        <w:rPr>
          <w:i/>
          <w:sz w:val="20"/>
          <w:szCs w:val="20"/>
          <w:lang w:val="es-CO"/>
        </w:rPr>
        <w:t xml:space="preserve"> PDET </w:t>
      </w:r>
      <w:r w:rsidR="00F103A8" w:rsidRPr="00614890">
        <w:rPr>
          <w:i/>
          <w:sz w:val="20"/>
          <w:szCs w:val="20"/>
          <w:lang w:val="es-CO"/>
        </w:rPr>
        <w:t>en</w:t>
      </w:r>
      <w:r w:rsidRPr="00614890">
        <w:rPr>
          <w:i/>
          <w:sz w:val="20"/>
          <w:szCs w:val="20"/>
          <w:lang w:val="es-CO"/>
        </w:rPr>
        <w:t xml:space="preserve"> Colombia</w:t>
      </w:r>
    </w:p>
    <w:p w14:paraId="6D67A721" w14:textId="77777777" w:rsidR="00AC2F97" w:rsidRPr="00614890" w:rsidRDefault="00000000" w:rsidP="00614890">
      <w:pPr>
        <w:spacing w:after="160"/>
        <w:jc w:val="both"/>
        <w:rPr>
          <w:sz w:val="20"/>
          <w:szCs w:val="20"/>
          <w:lang w:val="es-CO"/>
        </w:rPr>
      </w:pPr>
      <w:r w:rsidRPr="00614890">
        <w:rPr>
          <w:sz w:val="20"/>
          <w:szCs w:val="20"/>
          <w:lang w:val="es-CO"/>
        </w:rPr>
        <w:t>Palabras clave: gobernanza digital asociativa · competitividad territorial · cadenas globales de valor · retención de renta · organizaciones asociativas · PDET · posconflicto colombiano · antifragilidad territorial</w:t>
      </w:r>
    </w:p>
    <w:p w14:paraId="3C837F5F" w14:textId="6A4429A0" w:rsidR="00B77A4D" w:rsidRPr="00614890" w:rsidRDefault="00B77A4D" w:rsidP="00614890">
      <w:pPr>
        <w:spacing w:before="120" w:after="80"/>
        <w:jc w:val="both"/>
        <w:rPr>
          <w:sz w:val="20"/>
          <w:szCs w:val="20"/>
          <w:lang w:val="es-CO"/>
        </w:rPr>
      </w:pPr>
      <w:r w:rsidRPr="00614890">
        <w:rPr>
          <w:b/>
          <w:sz w:val="20"/>
          <w:szCs w:val="20"/>
          <w:lang w:val="es-CO"/>
        </w:rPr>
        <w:t>La pregunta de investigación</w:t>
      </w:r>
      <w:r w:rsidRPr="00614890">
        <w:rPr>
          <w:sz w:val="20"/>
          <w:szCs w:val="20"/>
          <w:lang w:val="es-CO"/>
        </w:rPr>
        <w:t xml:space="preserve">: </w:t>
      </w:r>
      <w:r w:rsidR="00635CEF" w:rsidRPr="00635CEF">
        <w:rPr>
          <w:sz w:val="20"/>
          <w:szCs w:val="20"/>
          <w:lang w:val="es-CO"/>
        </w:rPr>
        <w:t>¿Cómo un modelo sociotécnico de gobernanza digital habilita a las asociaciones caficultoras de pequeña escala en territorios PDET de Colombia para incrementar la proporción de valor capturado en origen en la cadena global de valor y fortalecer su antifragilidad territorial, en el contexto del posconflicto colombiano?</w:t>
      </w:r>
    </w:p>
    <w:p w14:paraId="1BBA2606" w14:textId="77777777" w:rsidR="00AC2F97" w:rsidRPr="00614890" w:rsidRDefault="00000000" w:rsidP="00614890">
      <w:pPr>
        <w:pStyle w:val="Ttulo1"/>
        <w:jc w:val="both"/>
        <w:rPr>
          <w:color w:val="auto"/>
          <w:sz w:val="20"/>
          <w:szCs w:val="20"/>
          <w:lang w:val="es-CO"/>
        </w:rPr>
      </w:pPr>
      <w:r w:rsidRPr="00614890">
        <w:rPr>
          <w:color w:val="auto"/>
          <w:sz w:val="20"/>
          <w:szCs w:val="20"/>
          <w:lang w:val="es-CO"/>
        </w:rPr>
        <w:t>2. Planteamiento del problema y justificación</w:t>
      </w:r>
    </w:p>
    <w:p w14:paraId="4F5164BC" w14:textId="77777777" w:rsidR="00AC2F97" w:rsidRPr="00614890" w:rsidRDefault="0085422B" w:rsidP="00614890">
      <w:pPr>
        <w:spacing w:after="160"/>
        <w:jc w:val="both"/>
        <w:rPr>
          <w:sz w:val="20"/>
          <w:szCs w:val="20"/>
          <w:lang w:val="es-CO"/>
        </w:rPr>
      </w:pPr>
      <w:r w:rsidRPr="00614890">
        <w:rPr>
          <w:sz w:val="20"/>
          <w:szCs w:val="20"/>
          <w:lang w:val="es-CO"/>
        </w:rPr>
        <w:t>Las organizaciones productoras de café en el Sur Global retienen apenas entre el 7 % y el 10 % del precio final al consumidor (Fitter &amp; Kaplinsky, 2001; Talbot, 1997; Hanley, 2026). Esta brecha no es una anomalía de mercado: es el resultado de arquitecturas de gobernanza cautiva en las cadenas globales de valor (CGV) que reproducen sistemáticamente la extracción de renta territorial, privando a los territorios productores de los recursos necesarios para construir ventajas competitivas sostenibles (</w:t>
      </w:r>
      <w:proofErr w:type="spellStart"/>
      <w:r w:rsidRPr="00614890">
        <w:rPr>
          <w:sz w:val="20"/>
          <w:szCs w:val="20"/>
          <w:lang w:val="es-CO"/>
        </w:rPr>
        <w:t>Gereffi</w:t>
      </w:r>
      <w:proofErr w:type="spellEnd"/>
      <w:r w:rsidRPr="00614890">
        <w:rPr>
          <w:sz w:val="20"/>
          <w:szCs w:val="20"/>
          <w:lang w:val="es-CO"/>
        </w:rPr>
        <w:t xml:space="preserve"> et al., 2005; </w:t>
      </w:r>
      <w:proofErr w:type="spellStart"/>
      <w:r w:rsidRPr="00614890">
        <w:rPr>
          <w:sz w:val="20"/>
          <w:szCs w:val="20"/>
          <w:lang w:val="es-CO"/>
        </w:rPr>
        <w:t>Grabs</w:t>
      </w:r>
      <w:proofErr w:type="spellEnd"/>
      <w:r w:rsidRPr="00614890">
        <w:rPr>
          <w:sz w:val="20"/>
          <w:szCs w:val="20"/>
          <w:lang w:val="es-CO"/>
        </w:rPr>
        <w:t xml:space="preserve"> &amp; Ponte, 2019).</w:t>
      </w:r>
    </w:p>
    <w:p w14:paraId="00924EC0" w14:textId="77777777" w:rsidR="00AC2F97" w:rsidRPr="00614890" w:rsidRDefault="00000000" w:rsidP="00614890">
      <w:pPr>
        <w:spacing w:after="160"/>
        <w:jc w:val="both"/>
        <w:rPr>
          <w:sz w:val="20"/>
          <w:szCs w:val="20"/>
          <w:lang w:val="es-CO"/>
        </w:rPr>
      </w:pPr>
      <w:r w:rsidRPr="00614890">
        <w:rPr>
          <w:sz w:val="20"/>
          <w:szCs w:val="20"/>
          <w:lang w:val="es-CO"/>
        </w:rPr>
        <w:t xml:space="preserve">En Colombia, </w:t>
      </w:r>
      <w:r w:rsidR="00F103A8" w:rsidRPr="00614890">
        <w:rPr>
          <w:sz w:val="20"/>
          <w:szCs w:val="20"/>
          <w:lang w:val="es-CO"/>
        </w:rPr>
        <w:t xml:space="preserve">los </w:t>
      </w:r>
      <w:r w:rsidRPr="00614890">
        <w:rPr>
          <w:sz w:val="20"/>
          <w:szCs w:val="20"/>
          <w:lang w:val="es-CO"/>
        </w:rPr>
        <w:t xml:space="preserve">Programas de Desarrollo con Enfoque Territorial (PDET) —política pública de implementación del Acuerdo de Paz de 2016, recientemente extendida hasta 2037 (Justice </w:t>
      </w:r>
      <w:proofErr w:type="spellStart"/>
      <w:r w:rsidRPr="00614890">
        <w:rPr>
          <w:sz w:val="20"/>
          <w:szCs w:val="20"/>
          <w:lang w:val="es-CO"/>
        </w:rPr>
        <w:t>for</w:t>
      </w:r>
      <w:proofErr w:type="spellEnd"/>
      <w:r w:rsidRPr="00614890">
        <w:rPr>
          <w:sz w:val="20"/>
          <w:szCs w:val="20"/>
          <w:lang w:val="es-CO"/>
        </w:rPr>
        <w:t xml:space="preserve"> Colombia, 2026; Decreto 893/2017)— representan el mayor experimento de competitividad territorial posconflicto de América Latina: 170 municipios, 16 subregiones y más de seis millones de personas en territorios de alta complejidad y vulnerabilidad histórica. Las organizaciones caficultoras en estos territorios enfrentan cuatro déficits estructurales interconectados que bloquean su capacidad de competir en la CGV: déficits de gobernanza organizacional heredados del conflicto armado (Ostrom, 1990; Rettberg, 2010); posicionamiento cautivo en las CGV (</w:t>
      </w:r>
      <w:proofErr w:type="spellStart"/>
      <w:r w:rsidRPr="00614890">
        <w:rPr>
          <w:sz w:val="20"/>
          <w:szCs w:val="20"/>
          <w:lang w:val="es-CO"/>
        </w:rPr>
        <w:t>Gereffi</w:t>
      </w:r>
      <w:proofErr w:type="spellEnd"/>
      <w:r w:rsidRPr="00614890">
        <w:rPr>
          <w:sz w:val="20"/>
          <w:szCs w:val="20"/>
          <w:lang w:val="es-CO"/>
        </w:rPr>
        <w:t xml:space="preserve"> et al., 2005; Hornborg, 2016); exclusión digital que amenaza el cumplimiento del Reglamento de Deforestación de la Unión Europea (EUDR, Reglamento 2023/1115), cuya aplicación para todas las exportaciones de café a la UE se encuentra vigente desde 2026 (Muradian et al., 2025; </w:t>
      </w:r>
      <w:proofErr w:type="spellStart"/>
      <w:r w:rsidRPr="00614890">
        <w:rPr>
          <w:sz w:val="20"/>
          <w:szCs w:val="20"/>
          <w:lang w:val="es-CO"/>
        </w:rPr>
        <w:t>Pirard</w:t>
      </w:r>
      <w:proofErr w:type="spellEnd"/>
      <w:r w:rsidRPr="00614890">
        <w:rPr>
          <w:sz w:val="20"/>
          <w:szCs w:val="20"/>
          <w:lang w:val="es-CO"/>
        </w:rPr>
        <w:t xml:space="preserve"> et al., 2023); y exclusión de las arquitecturas emergentes de financiamiento territorial que podrían transformar su posición en la cadena (</w:t>
      </w:r>
      <w:proofErr w:type="spellStart"/>
      <w:r w:rsidRPr="00614890">
        <w:rPr>
          <w:sz w:val="20"/>
          <w:szCs w:val="20"/>
          <w:lang w:val="es-CO"/>
        </w:rPr>
        <w:t>Schletz</w:t>
      </w:r>
      <w:proofErr w:type="spellEnd"/>
      <w:r w:rsidRPr="00614890">
        <w:rPr>
          <w:sz w:val="20"/>
          <w:szCs w:val="20"/>
          <w:lang w:val="es-CO"/>
        </w:rPr>
        <w:t xml:space="preserve"> et al., 2023; Havemann et al., 2020). Estos cuatro déficits se retroalimentan en un sistema que reproduce la posición periférica del productor colombiano en el sistema-mundo del café (Wallerstein, 1974; Topik, 2009). Sin una arquitectura de gobernanza que los aborde simultáneamente, los instrumentos parciales —tecnología sin gobernanza colectiva, financiamiento </w:t>
      </w:r>
      <w:r w:rsidRPr="00614890">
        <w:rPr>
          <w:sz w:val="20"/>
          <w:szCs w:val="20"/>
          <w:lang w:val="es-CO"/>
        </w:rPr>
        <w:lastRenderedPageBreak/>
        <w:t>sin trazabilidad, certificación sin poder de negociación— no producen retención de renta ni competitividad territorial sostenible.</w:t>
      </w:r>
    </w:p>
    <w:p w14:paraId="07E3D60C" w14:textId="77777777" w:rsidR="00AC2F97" w:rsidRPr="00614890" w:rsidRDefault="00000000" w:rsidP="00614890">
      <w:pPr>
        <w:spacing w:after="160"/>
        <w:jc w:val="both"/>
        <w:rPr>
          <w:sz w:val="20"/>
          <w:szCs w:val="20"/>
          <w:lang w:val="es-CO"/>
        </w:rPr>
      </w:pPr>
      <w:r w:rsidRPr="00614890">
        <w:rPr>
          <w:sz w:val="20"/>
          <w:szCs w:val="20"/>
          <w:lang w:val="es-CO"/>
        </w:rPr>
        <w:t>La literatura sobre CGV ha descrito con precisión los mecanismos de extracción de renta (</w:t>
      </w:r>
      <w:proofErr w:type="spellStart"/>
      <w:r w:rsidRPr="00614890">
        <w:rPr>
          <w:sz w:val="20"/>
          <w:szCs w:val="20"/>
          <w:lang w:val="es-CO"/>
        </w:rPr>
        <w:t>Gereffi</w:t>
      </w:r>
      <w:proofErr w:type="spellEnd"/>
      <w:r w:rsidRPr="00614890">
        <w:rPr>
          <w:sz w:val="20"/>
          <w:szCs w:val="20"/>
          <w:lang w:val="es-CO"/>
        </w:rPr>
        <w:t xml:space="preserve"> et al., 2005; </w:t>
      </w:r>
      <w:proofErr w:type="spellStart"/>
      <w:r w:rsidRPr="00614890">
        <w:rPr>
          <w:sz w:val="20"/>
          <w:szCs w:val="20"/>
          <w:lang w:val="es-CO"/>
        </w:rPr>
        <w:t>Grabs</w:t>
      </w:r>
      <w:proofErr w:type="spellEnd"/>
      <w:r w:rsidRPr="00614890">
        <w:rPr>
          <w:sz w:val="20"/>
          <w:szCs w:val="20"/>
          <w:lang w:val="es-CO"/>
        </w:rPr>
        <w:t xml:space="preserve"> &amp; Ponte, 2019) pero no ha especificado las condiciones de gobernanza bajo las cuales las organizaciones de pequeños productores pueden reposicionarse en la cadena. La teoría </w:t>
      </w:r>
      <w:proofErr w:type="spellStart"/>
      <w:r w:rsidRPr="00614890">
        <w:rPr>
          <w:sz w:val="20"/>
          <w:szCs w:val="20"/>
          <w:lang w:val="es-CO"/>
        </w:rPr>
        <w:t>ostromiana</w:t>
      </w:r>
      <w:proofErr w:type="spellEnd"/>
      <w:r w:rsidRPr="00614890">
        <w:rPr>
          <w:sz w:val="20"/>
          <w:szCs w:val="20"/>
          <w:lang w:val="es-CO"/>
        </w:rPr>
        <w:t xml:space="preserve"> de la gobernanza de comunes (Ostrom, 1990; Agrawal, 2001) ha establecido los principios institucionales para la acción colectiva sostenible, pero no ha integrado la dimensión digital ni el contexto de posconflicto de baja madurez institucional. La literatura emergente sobre gobernanza digital y </w:t>
      </w:r>
      <w:proofErr w:type="spellStart"/>
      <w:r w:rsidRPr="00614890">
        <w:rPr>
          <w:sz w:val="20"/>
          <w:szCs w:val="20"/>
          <w:lang w:val="es-CO"/>
        </w:rPr>
        <w:t>blockchain</w:t>
      </w:r>
      <w:proofErr w:type="spellEnd"/>
      <w:r w:rsidRPr="00614890">
        <w:rPr>
          <w:sz w:val="20"/>
          <w:szCs w:val="20"/>
          <w:lang w:val="es-CO"/>
        </w:rPr>
        <w:t xml:space="preserve"> (</w:t>
      </w:r>
      <w:proofErr w:type="spellStart"/>
      <w:r w:rsidRPr="00614890">
        <w:rPr>
          <w:sz w:val="20"/>
          <w:szCs w:val="20"/>
          <w:lang w:val="es-CO"/>
        </w:rPr>
        <w:t>Werbach</w:t>
      </w:r>
      <w:proofErr w:type="spellEnd"/>
      <w:r w:rsidRPr="00614890">
        <w:rPr>
          <w:sz w:val="20"/>
          <w:szCs w:val="20"/>
          <w:lang w:val="es-CO"/>
        </w:rPr>
        <w:t xml:space="preserve">, 2018; </w:t>
      </w:r>
      <w:proofErr w:type="spellStart"/>
      <w:r w:rsidRPr="00614890">
        <w:rPr>
          <w:sz w:val="20"/>
          <w:szCs w:val="20"/>
          <w:lang w:val="es-CO"/>
        </w:rPr>
        <w:t>Elmatsani</w:t>
      </w:r>
      <w:proofErr w:type="spellEnd"/>
      <w:r w:rsidRPr="00614890">
        <w:rPr>
          <w:sz w:val="20"/>
          <w:szCs w:val="20"/>
          <w:lang w:val="es-CO"/>
        </w:rPr>
        <w:t xml:space="preserve"> et al., 2026) ha explorado el potencial de reducción de asimetrías de información, pero no ha articulado estos mecanismos con la gobernanza institucional colectiva en territorios de alta fragilidad. Ningún modelo existente integra estas tres dimensiones en un constructo aplicable a organizaciones asociativas en posconflicto con baja madurez digital.</w:t>
      </w:r>
    </w:p>
    <w:p w14:paraId="4A9749F9" w14:textId="77777777" w:rsidR="00AC2F97" w:rsidRPr="00614890" w:rsidRDefault="00000000" w:rsidP="00614890">
      <w:pPr>
        <w:spacing w:after="160"/>
        <w:jc w:val="both"/>
        <w:rPr>
          <w:sz w:val="20"/>
          <w:szCs w:val="20"/>
          <w:lang w:val="es-CO"/>
        </w:rPr>
      </w:pPr>
      <w:r w:rsidRPr="00614890">
        <w:rPr>
          <w:sz w:val="20"/>
          <w:szCs w:val="20"/>
          <w:lang w:val="es-CO"/>
        </w:rPr>
        <w:t>La investigación construye un modelo sociotécnico integrador —denominado Gobernanza Digital Asociativa (GDA)— que combina gobernanza institucional colectiva, confianza algorítmica, medición de renta capturada en origen (Valor Capturado en Origen, VCO) y antifragilidad territorial en un solo constructo analítico. La novedad no reside en los componentes individuales sino en la arquitectura de gobernanza que los hace mutuamente constitutivos y apropiables por comunidades caficultoras en posconflicto. La contribución esperada es triple: teórica —un modelo integrador de competitividad territorial-digital para el posconflicto—; metodológica —un protocolo de Design Science Research mixto secuencial replicable en otros contextos del Sur Global—; y praxeológica —artefactos directamente implementables por las organizaciones y escalables a otras cadenas agroalimentarias de países en desarrollo—. La investigación se estructura en cuatro años (2026–2029), viable en el régimen de doctorado a tiempo completo del programa CETIS. El investigador tiene acceso a la Federación Mesa Nacional del Café, organización que agremia a las asociaciones de caficultores firmantes de paz, garantizando acceso directo al campo empírico.</w:t>
      </w:r>
    </w:p>
    <w:p w14:paraId="28FDC2F7" w14:textId="77777777" w:rsidR="00AC2F97" w:rsidRPr="00614890" w:rsidRDefault="00000000" w:rsidP="00614890">
      <w:pPr>
        <w:pStyle w:val="Ttulo1"/>
        <w:jc w:val="both"/>
        <w:rPr>
          <w:color w:val="auto"/>
          <w:sz w:val="20"/>
          <w:szCs w:val="20"/>
          <w:lang w:val="es-CO"/>
        </w:rPr>
      </w:pPr>
      <w:r w:rsidRPr="00614890">
        <w:rPr>
          <w:color w:val="auto"/>
          <w:sz w:val="20"/>
          <w:szCs w:val="20"/>
          <w:lang w:val="es-CO"/>
        </w:rPr>
        <w:t>3. Estado del arte y encuadre teórico</w:t>
      </w:r>
    </w:p>
    <w:p w14:paraId="2A2D564C" w14:textId="77777777" w:rsidR="00AC2F97" w:rsidRPr="00614890" w:rsidRDefault="00000000" w:rsidP="00614890">
      <w:pPr>
        <w:spacing w:after="160"/>
        <w:jc w:val="both"/>
        <w:rPr>
          <w:sz w:val="20"/>
          <w:szCs w:val="20"/>
          <w:lang w:val="es-CO"/>
        </w:rPr>
      </w:pPr>
      <w:r w:rsidRPr="00614890">
        <w:rPr>
          <w:sz w:val="20"/>
          <w:szCs w:val="20"/>
          <w:lang w:val="es-CO"/>
        </w:rPr>
        <w:t>La teoría de la competitividad territorial ha evolucionado desde los enfoques de dotación de factores hacia marcos que enfatizan la calidad de las instituciones, las redes de gobernanza colaborativa y la capacidad de los actores locales para capturar el valor generado en su territorio —perspectiva central en la investigación de Orkestra sobre gobernanza colaborativa multinivel (Magro &amp; Arrona, 2025; Wilson, 2010). Las CGV constituyen el contexto estructural en el que esta competitividad territorial se pone a prueba: determinan quién define los estándares, quién fija los precios de referencia y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identificaron como reproducido por los propios estándares privados de sostenibilidad. La teoría del upgrading en CGV (Humphrey &amp; Schmitz, 2002) ha identificado trayectorias de mejora de posición cuya activación requiere precisamente la combinación de capacidades organizacionales, acceso tecnológico y vínculos institucionales que las organizaciones caficultoras en posconflicto raramente poseen de manera simultánea.</w:t>
      </w:r>
    </w:p>
    <w:p w14:paraId="28546FE9" w14:textId="77777777" w:rsidR="00AC2F97" w:rsidRPr="00614890" w:rsidRDefault="00000000" w:rsidP="00614890">
      <w:pPr>
        <w:spacing w:after="160"/>
        <w:jc w:val="both"/>
        <w:rPr>
          <w:sz w:val="20"/>
          <w:szCs w:val="20"/>
          <w:lang w:val="es-CO"/>
        </w:rPr>
      </w:pPr>
      <w:r w:rsidRPr="00614890">
        <w:rPr>
          <w:sz w:val="20"/>
          <w:szCs w:val="20"/>
          <w:lang w:val="es-CO"/>
        </w:rPr>
        <w:t>La tradición de la gobernanza de comunes (Ostrom, 1990) ofrece el marco más robusto para entender las condiciones bajo las cuales las organizaciones de pequeños productores pueden gestionar recursos colectivos de manera sostenible. Sus ocho principios de diseño institucional han sido validados en múltiples contextos agroalimentarios (Agrawal, 2001) y constituyen la base empírica para construir indicadores de gobernanza colectiva. Sin embargo, la extensión de este marco a entornos posconflicto —</w:t>
      </w:r>
      <w:r w:rsidRPr="00614890">
        <w:rPr>
          <w:sz w:val="20"/>
          <w:szCs w:val="20"/>
          <w:lang w:val="es-CO"/>
        </w:rPr>
        <w:lastRenderedPageBreak/>
        <w:t xml:space="preserve">donde el capital social fue sistemáticamente destruido por el conflicto armado (Rettberg, 2010) y los fallos de gobernanza cooperativa son estructurales (Ortmann &amp; King, 2007)— requiere adaptar los principios originales a condiciones de alta fragilidad institucional. La investigación acción participativa de Fals Borda (1986) aporta el fundamento epistemológico necesario: el conocimiento sobre la gobernanza territorial posconflicto debe </w:t>
      </w:r>
      <w:proofErr w:type="spellStart"/>
      <w:r w:rsidRPr="00614890">
        <w:rPr>
          <w:sz w:val="20"/>
          <w:szCs w:val="20"/>
          <w:lang w:val="es-CO"/>
        </w:rPr>
        <w:t>co-construirse</w:t>
      </w:r>
      <w:proofErr w:type="spellEnd"/>
      <w:r w:rsidRPr="00614890">
        <w:rPr>
          <w:sz w:val="20"/>
          <w:szCs w:val="20"/>
          <w:lang w:val="es-CO"/>
        </w:rPr>
        <w:t xml:space="preserve"> con las comunidades, no imponerse desde marcos diseñados en contextos de alta madurez institucional.</w:t>
      </w:r>
    </w:p>
    <w:p w14:paraId="4A56105D" w14:textId="77777777" w:rsidR="00AC2F97" w:rsidRPr="00614890" w:rsidRDefault="00000000" w:rsidP="00614890">
      <w:pPr>
        <w:spacing w:after="160"/>
        <w:jc w:val="both"/>
        <w:rPr>
          <w:sz w:val="20"/>
          <w:szCs w:val="20"/>
          <w:lang w:val="es-CO"/>
        </w:rPr>
      </w:pPr>
      <w:r w:rsidRPr="00614890">
        <w:rPr>
          <w:sz w:val="20"/>
          <w:szCs w:val="20"/>
          <w:lang w:val="es-CO"/>
        </w:rPr>
        <w:t xml:space="preserve">La tecnología </w:t>
      </w:r>
      <w:proofErr w:type="spellStart"/>
      <w:r w:rsidRPr="00614890">
        <w:rPr>
          <w:sz w:val="20"/>
          <w:szCs w:val="20"/>
          <w:lang w:val="es-CO"/>
        </w:rPr>
        <w:t>blockchain</w:t>
      </w:r>
      <w:proofErr w:type="spellEnd"/>
      <w:r w:rsidRPr="00614890">
        <w:rPr>
          <w:sz w:val="20"/>
          <w:szCs w:val="20"/>
          <w:lang w:val="es-CO"/>
        </w:rPr>
        <w:t xml:space="preserve"> y los contratos inteligentes han emergido como mecanismos con potencial transformador para las cadenas agroalimentarias: reducen asimetrías de información, habilitan trazabilidad </w:t>
      </w:r>
      <w:proofErr w:type="spellStart"/>
      <w:r w:rsidRPr="00614890">
        <w:rPr>
          <w:sz w:val="20"/>
          <w:szCs w:val="20"/>
          <w:lang w:val="es-CO"/>
        </w:rPr>
        <w:t>georeferenciada</w:t>
      </w:r>
      <w:proofErr w:type="spellEnd"/>
      <w:r w:rsidRPr="00614890">
        <w:rPr>
          <w:sz w:val="20"/>
          <w:szCs w:val="20"/>
          <w:lang w:val="es-CO"/>
        </w:rPr>
        <w:t xml:space="preserve"> verificable —condición técnica del EUDR— y pueden automatizar la distribución de beneficios dentro de las organizaciones (</w:t>
      </w:r>
      <w:proofErr w:type="spellStart"/>
      <w:r w:rsidRPr="00614890">
        <w:rPr>
          <w:sz w:val="20"/>
          <w:szCs w:val="20"/>
          <w:lang w:val="es-CO"/>
        </w:rPr>
        <w:t>Werbach</w:t>
      </w:r>
      <w:proofErr w:type="spellEnd"/>
      <w:r w:rsidRPr="00614890">
        <w:rPr>
          <w:sz w:val="20"/>
          <w:szCs w:val="20"/>
          <w:lang w:val="es-CO"/>
        </w:rPr>
        <w:t xml:space="preserve">, 2018; </w:t>
      </w:r>
      <w:proofErr w:type="spellStart"/>
      <w:r w:rsidRPr="00614890">
        <w:rPr>
          <w:sz w:val="20"/>
          <w:szCs w:val="20"/>
          <w:lang w:val="es-CO"/>
        </w:rPr>
        <w:t>Elmatsani</w:t>
      </w:r>
      <w:proofErr w:type="spellEnd"/>
      <w:r w:rsidRPr="00614890">
        <w:rPr>
          <w:sz w:val="20"/>
          <w:szCs w:val="20"/>
          <w:lang w:val="es-CO"/>
        </w:rPr>
        <w:t xml:space="preserve"> et al., 2026). Sin embargo, los mecanismos tecnológicos solo producen retención de renta territorial cuando operan sobre una base de gobernanza colectiva sólida (</w:t>
      </w:r>
      <w:proofErr w:type="spellStart"/>
      <w:r w:rsidRPr="00614890">
        <w:rPr>
          <w:sz w:val="20"/>
          <w:szCs w:val="20"/>
          <w:lang w:val="es-CO"/>
        </w:rPr>
        <w:t>Schletz</w:t>
      </w:r>
      <w:proofErr w:type="spellEnd"/>
      <w:r w:rsidRPr="00614890">
        <w:rPr>
          <w:sz w:val="20"/>
          <w:szCs w:val="20"/>
          <w:lang w:val="es-CO"/>
        </w:rPr>
        <w:t xml:space="preserve"> et al., 2023; Cong et al., 2020): la tecnología sin gobernanza reproduce y amplifica las asimetrías de poder existentes en la cadena. El marco de la antifragilidad de Taleb (2012) —extendido al nivel asociativo mediante las capacidades dinámicas de Teece et al. (1997)— ofrece el criterio evaluativo final del modelo: la organización caficultora en un territorio PDET no solo debe sobrevivir a la volatilidad de precios y las disrupciones institucionales del posconflicto, sino desarrollar la capacidad de diversificar sus fuentes de ingreso —créditos de carbono, primas de especialidad, comercialización directa, valorización de biomasa— hasta que ningún shock externo destruya su viabilidad organizacional. Las redes de producción global GPN 2.0 (Yeung &amp; </w:t>
      </w:r>
      <w:proofErr w:type="spellStart"/>
      <w:r w:rsidRPr="00614890">
        <w:rPr>
          <w:sz w:val="20"/>
          <w:szCs w:val="20"/>
          <w:lang w:val="es-CO"/>
        </w:rPr>
        <w:t>Coe</w:t>
      </w:r>
      <w:proofErr w:type="spellEnd"/>
      <w:r w:rsidRPr="00614890">
        <w:rPr>
          <w:sz w:val="20"/>
          <w:szCs w:val="20"/>
          <w:lang w:val="es-CO"/>
        </w:rPr>
        <w:t>, 2015) completan el encuadre al incorporar los actores no empresariales —Estado, sociedad civil y organismos de cooperación— que configuran las condiciones territoriales del posconflicto y resultan invisibles en la tipología clásica de CGV.</w:t>
      </w:r>
    </w:p>
    <w:p w14:paraId="62BEAE01" w14:textId="66A55F04" w:rsidR="00AC2F97" w:rsidRPr="00614890" w:rsidRDefault="00000000" w:rsidP="00614890">
      <w:pPr>
        <w:spacing w:after="160"/>
        <w:jc w:val="both"/>
        <w:rPr>
          <w:sz w:val="20"/>
          <w:szCs w:val="20"/>
          <w:lang w:val="es-CO"/>
        </w:rPr>
      </w:pPr>
      <w:r w:rsidRPr="00614890">
        <w:rPr>
          <w:sz w:val="20"/>
          <w:szCs w:val="20"/>
          <w:lang w:val="es-CO"/>
        </w:rPr>
        <w:t xml:space="preserve">Esta investigación se inscribe en la intersección de las dos líneas del programa. En la Línea 1 (Economía y Competitividad Territorial), aborda la competitividad de territorios posconflicto, las estrategias de especialización inteligente adaptadas al Sur Global y el papel de las CGV en la distribución territorial del valor —temas en los que </w:t>
      </w:r>
      <w:proofErr w:type="spellStart"/>
      <w:r w:rsidRPr="00614890">
        <w:rPr>
          <w:sz w:val="20"/>
          <w:szCs w:val="20"/>
          <w:lang w:val="es-CO"/>
        </w:rPr>
        <w:t>Orkestra</w:t>
      </w:r>
      <w:proofErr w:type="spellEnd"/>
      <w:r w:rsidRPr="00614890">
        <w:rPr>
          <w:sz w:val="20"/>
          <w:szCs w:val="20"/>
          <w:lang w:val="es-CO"/>
        </w:rPr>
        <w:t xml:space="preserve"> ha producido contribuciones de referencia internacional. En la Línea 2 (Gestión de Organizaciones y Competitividad Empresarial), examina la gobernanza organizacional, las capacidades dinámicas y la transformación digital de organizaciones asociativas en contextos de mercado imperfecto. </w:t>
      </w:r>
    </w:p>
    <w:p w14:paraId="48263D9F" w14:textId="77777777" w:rsidR="00AC2F97" w:rsidRPr="00614890" w:rsidRDefault="00000000" w:rsidP="00614890">
      <w:pPr>
        <w:pStyle w:val="Ttulo1"/>
        <w:jc w:val="both"/>
        <w:rPr>
          <w:color w:val="auto"/>
          <w:sz w:val="20"/>
          <w:szCs w:val="20"/>
          <w:lang w:val="es-CO"/>
        </w:rPr>
      </w:pPr>
      <w:r w:rsidRPr="00614890">
        <w:rPr>
          <w:color w:val="auto"/>
          <w:sz w:val="20"/>
          <w:szCs w:val="20"/>
          <w:lang w:val="es-CO"/>
        </w:rPr>
        <w:t>4. Orientación metodológica</w:t>
      </w:r>
    </w:p>
    <w:p w14:paraId="7E16CDC1" w14:textId="77777777" w:rsidR="00AC2F97" w:rsidRPr="00614890" w:rsidRDefault="00000000" w:rsidP="00614890">
      <w:pPr>
        <w:spacing w:after="160"/>
        <w:jc w:val="both"/>
        <w:rPr>
          <w:sz w:val="20"/>
          <w:szCs w:val="20"/>
          <w:lang w:val="es-CO"/>
        </w:rPr>
      </w:pPr>
      <w:r w:rsidRPr="00614890">
        <w:rPr>
          <w:sz w:val="20"/>
          <w:szCs w:val="20"/>
          <w:lang w:val="es-CO"/>
        </w:rPr>
        <w:t xml:space="preserve">La investigación adopta el paradigma de </w:t>
      </w:r>
      <w:proofErr w:type="spellStart"/>
      <w:r w:rsidRPr="00614890">
        <w:rPr>
          <w:sz w:val="20"/>
          <w:szCs w:val="20"/>
          <w:lang w:val="es-CO"/>
        </w:rPr>
        <w:t>Design</w:t>
      </w:r>
      <w:proofErr w:type="spellEnd"/>
      <w:r w:rsidRPr="00614890">
        <w:rPr>
          <w:sz w:val="20"/>
          <w:szCs w:val="20"/>
          <w:lang w:val="es-CO"/>
        </w:rPr>
        <w:t xml:space="preserve"> </w:t>
      </w:r>
      <w:proofErr w:type="spellStart"/>
      <w:r w:rsidRPr="00614890">
        <w:rPr>
          <w:sz w:val="20"/>
          <w:szCs w:val="20"/>
          <w:lang w:val="es-CO"/>
        </w:rPr>
        <w:t>Science</w:t>
      </w:r>
      <w:proofErr w:type="spellEnd"/>
      <w:r w:rsidRPr="00614890">
        <w:rPr>
          <w:sz w:val="20"/>
          <w:szCs w:val="20"/>
          <w:lang w:val="es-CO"/>
        </w:rPr>
        <w:t xml:space="preserve"> </w:t>
      </w:r>
      <w:proofErr w:type="spellStart"/>
      <w:r w:rsidRPr="00614890">
        <w:rPr>
          <w:sz w:val="20"/>
          <w:szCs w:val="20"/>
          <w:lang w:val="es-CO"/>
        </w:rPr>
        <w:t>Research</w:t>
      </w:r>
      <w:proofErr w:type="spellEnd"/>
      <w:r w:rsidRPr="00614890">
        <w:rPr>
          <w:sz w:val="20"/>
          <w:szCs w:val="20"/>
          <w:lang w:val="es-CO"/>
        </w:rPr>
        <w:t xml:space="preserve"> (DSR) (Hevner et al., 2004), apropiado para estudios que buscan simultáneamente producir conocimiento teórico —sobre las condiciones de gobernanza que habilitan la competitividad territorial posconflicto— y artefactos implementables —el modelo GDA—. DSR combina el rigor empírico de la investigación científica con la relevancia práctica del diseño de intervenciones, y es el paradigma </w:t>
      </w:r>
      <w:r w:rsidR="00AD1934" w:rsidRPr="00614890">
        <w:rPr>
          <w:sz w:val="20"/>
          <w:szCs w:val="20"/>
          <w:lang w:val="es-CO"/>
        </w:rPr>
        <w:t>destacado</w:t>
      </w:r>
      <w:r w:rsidRPr="00614890">
        <w:rPr>
          <w:sz w:val="20"/>
          <w:szCs w:val="20"/>
          <w:lang w:val="es-CO"/>
        </w:rPr>
        <w:t xml:space="preserve"> en la literatura de gobernanza de sistemas sociotécnicos. El enfoque metodológico es mixto secuencial: </w:t>
      </w:r>
    </w:p>
    <w:p w14:paraId="4BE072E1" w14:textId="77777777" w:rsidR="00AC2F97" w:rsidRPr="00614890" w:rsidRDefault="00000000" w:rsidP="00614890">
      <w:pPr>
        <w:spacing w:after="160"/>
        <w:jc w:val="both"/>
        <w:rPr>
          <w:sz w:val="20"/>
          <w:szCs w:val="20"/>
          <w:lang w:val="es-CO"/>
        </w:rPr>
      </w:pPr>
      <w:r w:rsidRPr="00614890">
        <w:rPr>
          <w:sz w:val="20"/>
          <w:szCs w:val="20"/>
          <w:lang w:val="es-CO"/>
        </w:rPr>
        <w:t xml:space="preserve">La Fase I — Diagnóstica combina entrevistas semiestructuradas en profundidad con líderes de organizaciones caficultoras, análisis de redes sociales (SNA) para mapear el capital social posconflicto, y mapeo de las CGV para establecer la línea base del valor capturado en origen —la variable dependiente central—. Se construye el Índice de Consolidación PDET (IPDET), que integra consolidación institucional, condiciones de seguridad e implementación del Acuerdo de Paz, como variable moderadora del modelo. La Fase II — Constructiva aplica DSR para diseñar, prototipar e iterar los mecanismos del modelo GDA mediante talleres de diseño participativo y un panel Delphi para validación de consenso; los parámetros de consenso Delphi alimentan las distribuciones a priori de la simulación Monte Carlo de la Fase III. La Fase </w:t>
      </w:r>
      <w:r w:rsidRPr="00614890">
        <w:rPr>
          <w:sz w:val="20"/>
          <w:szCs w:val="20"/>
          <w:lang w:val="es-CO"/>
        </w:rPr>
        <w:lastRenderedPageBreak/>
        <w:t>III — Evaluativa implementa análisis de escenarios bajo el marco DMDU (</w:t>
      </w:r>
      <w:proofErr w:type="spellStart"/>
      <w:r w:rsidRPr="00614890">
        <w:rPr>
          <w:sz w:val="20"/>
          <w:szCs w:val="20"/>
          <w:lang w:val="es-CO"/>
        </w:rPr>
        <w:t>Decision</w:t>
      </w:r>
      <w:proofErr w:type="spellEnd"/>
      <w:r w:rsidRPr="00614890">
        <w:rPr>
          <w:sz w:val="20"/>
          <w:szCs w:val="20"/>
          <w:lang w:val="es-CO"/>
        </w:rPr>
        <w:t xml:space="preserve"> </w:t>
      </w:r>
      <w:proofErr w:type="spellStart"/>
      <w:r w:rsidRPr="00614890">
        <w:rPr>
          <w:sz w:val="20"/>
          <w:szCs w:val="20"/>
          <w:lang w:val="es-CO"/>
        </w:rPr>
        <w:t>Making</w:t>
      </w:r>
      <w:proofErr w:type="spellEnd"/>
      <w:r w:rsidRPr="00614890">
        <w:rPr>
          <w:sz w:val="20"/>
          <w:szCs w:val="20"/>
          <w:lang w:val="es-CO"/>
        </w:rPr>
        <w:t xml:space="preserve"> </w:t>
      </w:r>
      <w:proofErr w:type="spellStart"/>
      <w:r w:rsidRPr="00614890">
        <w:rPr>
          <w:sz w:val="20"/>
          <w:szCs w:val="20"/>
          <w:lang w:val="es-CO"/>
        </w:rPr>
        <w:t>Under</w:t>
      </w:r>
      <w:proofErr w:type="spellEnd"/>
      <w:r w:rsidRPr="00614890">
        <w:rPr>
          <w:sz w:val="20"/>
          <w:szCs w:val="20"/>
          <w:lang w:val="es-CO"/>
        </w:rPr>
        <w:t xml:space="preserve"> Deep </w:t>
      </w:r>
      <w:proofErr w:type="spellStart"/>
      <w:r w:rsidRPr="00614890">
        <w:rPr>
          <w:sz w:val="20"/>
          <w:szCs w:val="20"/>
          <w:lang w:val="es-CO"/>
        </w:rPr>
        <w:t>Uncertainty</w:t>
      </w:r>
      <w:proofErr w:type="spellEnd"/>
      <w:r w:rsidRPr="00614890">
        <w:rPr>
          <w:sz w:val="20"/>
          <w:szCs w:val="20"/>
          <w:lang w:val="es-CO"/>
        </w:rPr>
        <w:t>) y simulación Monte Carlo con índices de Sobol para evaluar la robustez y la contribución relativa de los mecanismos del modelo frente al bloque tecnológico, complementados con un estudio de caso embebido longitudinal en</w:t>
      </w:r>
      <w:r w:rsidR="00135BE0" w:rsidRPr="00614890">
        <w:rPr>
          <w:sz w:val="20"/>
          <w:szCs w:val="20"/>
          <w:lang w:val="es-CO"/>
        </w:rPr>
        <w:t xml:space="preserve"> al menos una</w:t>
      </w:r>
      <w:r w:rsidRPr="00614890">
        <w:rPr>
          <w:sz w:val="20"/>
          <w:szCs w:val="20"/>
          <w:lang w:val="es-CO"/>
        </w:rPr>
        <w:t xml:space="preserve"> organizaci</w:t>
      </w:r>
      <w:r w:rsidR="00135BE0" w:rsidRPr="00614890">
        <w:rPr>
          <w:sz w:val="20"/>
          <w:szCs w:val="20"/>
          <w:lang w:val="es-CO"/>
        </w:rPr>
        <w:t>ón</w:t>
      </w:r>
      <w:r w:rsidRPr="00614890">
        <w:rPr>
          <w:sz w:val="20"/>
          <w:szCs w:val="20"/>
          <w:lang w:val="es-CO"/>
        </w:rPr>
        <w:t xml:space="preserve"> piloto </w:t>
      </w:r>
      <w:r w:rsidR="00135BE0" w:rsidRPr="00614890">
        <w:rPr>
          <w:sz w:val="20"/>
          <w:szCs w:val="20"/>
          <w:lang w:val="es-CO"/>
        </w:rPr>
        <w:t>en</w:t>
      </w:r>
      <w:r w:rsidRPr="00614890">
        <w:rPr>
          <w:sz w:val="20"/>
          <w:szCs w:val="20"/>
          <w:lang w:val="es-CO"/>
        </w:rPr>
        <w:t xml:space="preserve"> territorios PDET y una encuesta para validar la transferibilidad del modelo. El diseño ético del estudio incluye aprobación del comité de ética institucional, protocolos de consentimiento informado adaptados al contexto cultural y de seguridad de los territorios PDET, y mecanismos de soberanía de datos de la trazabilidad </w:t>
      </w:r>
      <w:proofErr w:type="spellStart"/>
      <w:r w:rsidRPr="00614890">
        <w:rPr>
          <w:sz w:val="20"/>
          <w:szCs w:val="20"/>
          <w:lang w:val="es-CO"/>
        </w:rPr>
        <w:t>blockchain</w:t>
      </w:r>
      <w:proofErr w:type="spellEnd"/>
      <w:r w:rsidRPr="00614890">
        <w:rPr>
          <w:sz w:val="20"/>
          <w:szCs w:val="20"/>
          <w:lang w:val="es-CO"/>
        </w:rPr>
        <w:t>.</w:t>
      </w:r>
    </w:p>
    <w:p w14:paraId="7CA3EEB0" w14:textId="7033D0EF" w:rsidR="00AC2F97" w:rsidRPr="00614890" w:rsidRDefault="00000000" w:rsidP="00614890">
      <w:pPr>
        <w:pStyle w:val="Ttulo1"/>
        <w:jc w:val="both"/>
        <w:rPr>
          <w:color w:val="auto"/>
          <w:sz w:val="20"/>
          <w:szCs w:val="20"/>
        </w:rPr>
      </w:pPr>
      <w:r w:rsidRPr="00614890">
        <w:rPr>
          <w:color w:val="auto"/>
          <w:sz w:val="20"/>
          <w:szCs w:val="20"/>
        </w:rPr>
        <w:t xml:space="preserve">5. </w:t>
      </w:r>
      <w:proofErr w:type="spellStart"/>
      <w:r w:rsidRPr="00614890">
        <w:rPr>
          <w:color w:val="auto"/>
          <w:sz w:val="20"/>
          <w:szCs w:val="20"/>
        </w:rPr>
        <w:t>Referencias</w:t>
      </w:r>
      <w:proofErr w:type="spellEnd"/>
    </w:p>
    <w:p w14:paraId="3808C4AF" w14:textId="77777777" w:rsidR="00AC2F97" w:rsidRPr="00614890" w:rsidRDefault="00000000" w:rsidP="00614890">
      <w:pPr>
        <w:spacing w:after="80"/>
        <w:ind w:left="1134" w:hanging="567"/>
        <w:jc w:val="both"/>
        <w:rPr>
          <w:sz w:val="20"/>
          <w:szCs w:val="20"/>
        </w:rPr>
      </w:pPr>
      <w:r w:rsidRPr="00614890">
        <w:rPr>
          <w:sz w:val="20"/>
          <w:szCs w:val="20"/>
        </w:rPr>
        <w:t>Agrawal, A. (2001). Common property institutions and sustainable governance of resources. World Development, 29(10), 1649–1672. https://doi.org/10.1016/S0305-750X(01)00063-8</w:t>
      </w:r>
    </w:p>
    <w:p w14:paraId="436E3308" w14:textId="77777777" w:rsidR="00AC2F97" w:rsidRPr="00614890" w:rsidRDefault="00000000" w:rsidP="00614890">
      <w:pPr>
        <w:spacing w:after="80"/>
        <w:ind w:left="1134" w:hanging="567"/>
        <w:jc w:val="both"/>
        <w:rPr>
          <w:sz w:val="20"/>
          <w:szCs w:val="20"/>
        </w:rPr>
      </w:pPr>
      <w:r w:rsidRPr="00614890">
        <w:rPr>
          <w:sz w:val="20"/>
          <w:szCs w:val="20"/>
        </w:rPr>
        <w:t>Cong, L. W., Li, Y., &amp; Wang, N. (2020). Tokenomics: Dynamic adoption and valuation. The Review of Financial Studies, 34(3), 1105–1155. https://doi.org/10.1093/rfs/hhaa089</w:t>
      </w:r>
    </w:p>
    <w:p w14:paraId="75A8A25A" w14:textId="77777777" w:rsidR="00AC2F97" w:rsidRPr="00614890" w:rsidRDefault="00000000" w:rsidP="00614890">
      <w:pPr>
        <w:spacing w:after="80"/>
        <w:ind w:left="1134" w:hanging="567"/>
        <w:jc w:val="both"/>
        <w:rPr>
          <w:sz w:val="20"/>
          <w:szCs w:val="20"/>
        </w:rPr>
      </w:pPr>
      <w:r w:rsidRPr="00614890">
        <w:rPr>
          <w:sz w:val="20"/>
          <w:szCs w:val="20"/>
        </w:rPr>
        <w:t>Elmatsani, H. M., et al. (2026). Bridging the governance gap in agricultural blockchain-based smart contracts. Frontiers in Blockchain. https://doi.org/10.3389/fbloc.2026.1762861</w:t>
      </w:r>
    </w:p>
    <w:p w14:paraId="61695ED7" w14:textId="77777777" w:rsidR="00AC2F97" w:rsidRPr="00614890" w:rsidRDefault="00000000" w:rsidP="00614890">
      <w:pPr>
        <w:spacing w:after="80"/>
        <w:ind w:left="1134" w:hanging="567"/>
        <w:jc w:val="both"/>
        <w:rPr>
          <w:sz w:val="20"/>
          <w:szCs w:val="20"/>
          <w:lang w:val="es-CO"/>
        </w:rPr>
      </w:pPr>
      <w:r w:rsidRPr="00614890">
        <w:rPr>
          <w:sz w:val="20"/>
          <w:szCs w:val="20"/>
        </w:rPr>
        <w:t xml:space="preserve">Fals Borda, O. (1986). </w:t>
      </w:r>
      <w:r w:rsidRPr="00614890">
        <w:rPr>
          <w:sz w:val="20"/>
          <w:szCs w:val="20"/>
          <w:lang w:val="es-CO"/>
        </w:rPr>
        <w:t>Conocimiento y poder popular. Siglo XXI Editores.</w:t>
      </w:r>
    </w:p>
    <w:p w14:paraId="22683998" w14:textId="77777777" w:rsidR="00AC2F97" w:rsidRPr="00614890" w:rsidRDefault="00000000" w:rsidP="00614890">
      <w:pPr>
        <w:spacing w:after="80"/>
        <w:ind w:left="1134" w:hanging="567"/>
        <w:jc w:val="both"/>
        <w:rPr>
          <w:sz w:val="20"/>
          <w:szCs w:val="20"/>
        </w:rPr>
      </w:pPr>
      <w:r w:rsidRPr="00614890">
        <w:rPr>
          <w:sz w:val="20"/>
          <w:szCs w:val="20"/>
        </w:rPr>
        <w:t>Fitter, R., &amp; Kaplinsky, R. (2001). Who gains from product rents as the coffee market becomes more differentiated? IDS Bulletin, 32(3), 69–82. https://doi.org/10.1111/j.1759-5436.2001.mp32003008.x</w:t>
      </w:r>
    </w:p>
    <w:p w14:paraId="13764DBE" w14:textId="77777777" w:rsidR="00AC2F97" w:rsidRPr="00614890" w:rsidRDefault="00000000" w:rsidP="00614890">
      <w:pPr>
        <w:spacing w:after="80"/>
        <w:ind w:left="1134" w:hanging="567"/>
        <w:jc w:val="both"/>
        <w:rPr>
          <w:sz w:val="20"/>
          <w:szCs w:val="20"/>
        </w:rPr>
      </w:pPr>
      <w:r w:rsidRPr="00614890">
        <w:rPr>
          <w:sz w:val="20"/>
          <w:szCs w:val="20"/>
        </w:rPr>
        <w:t>Gereffi, G., Humphrey, J., &amp; Sturgeon, T. (2005). The governance of global value chains. Review of International Political Economy, 12(1), 78–104. https://doi.org/10.1080/09692290500049805</w:t>
      </w:r>
    </w:p>
    <w:p w14:paraId="3C913D7A" w14:textId="77777777" w:rsidR="00AC2F97" w:rsidRPr="00614890" w:rsidRDefault="00000000" w:rsidP="00614890">
      <w:pPr>
        <w:spacing w:after="80"/>
        <w:ind w:left="1134" w:hanging="567"/>
        <w:jc w:val="both"/>
        <w:rPr>
          <w:sz w:val="20"/>
          <w:szCs w:val="20"/>
        </w:rPr>
      </w:pPr>
      <w:r w:rsidRPr="00614890">
        <w:rPr>
          <w:sz w:val="20"/>
          <w:szCs w:val="20"/>
        </w:rPr>
        <w:t>Global Coffee Platform, IDH, &amp; Solidaridad. (2024). Research reveals coffee industry's economic model is not viable for all. Global Coffee Platform.</w:t>
      </w:r>
    </w:p>
    <w:p w14:paraId="2AF047CA" w14:textId="77777777" w:rsidR="00AC2F97" w:rsidRPr="00614890" w:rsidRDefault="00000000" w:rsidP="00614890">
      <w:pPr>
        <w:spacing w:after="80"/>
        <w:ind w:left="1134" w:hanging="567"/>
        <w:jc w:val="both"/>
        <w:rPr>
          <w:sz w:val="20"/>
          <w:szCs w:val="20"/>
        </w:rPr>
      </w:pPr>
      <w:r w:rsidRPr="00614890">
        <w:rPr>
          <w:sz w:val="20"/>
          <w:szCs w:val="20"/>
        </w:rPr>
        <w:t>Grabs, J., &amp; Ponte, S. (2019). The evolution of power in the global coffee value chain and production network. Journal of Economic Geography, 19(4), 803–828. https://doi.org/10.1093/jeg/lbz008</w:t>
      </w:r>
    </w:p>
    <w:p w14:paraId="5EFEDB62" w14:textId="77777777" w:rsidR="00AC2F97" w:rsidRPr="00614890" w:rsidRDefault="00000000" w:rsidP="00614890">
      <w:pPr>
        <w:spacing w:after="80"/>
        <w:ind w:left="1134" w:hanging="567"/>
        <w:jc w:val="both"/>
        <w:rPr>
          <w:sz w:val="20"/>
          <w:szCs w:val="20"/>
        </w:rPr>
      </w:pPr>
      <w:r w:rsidRPr="00614890">
        <w:rPr>
          <w:sz w:val="20"/>
          <w:szCs w:val="20"/>
        </w:rPr>
        <w:t>Hanley, J. (2026). Climbing the coffee global value chain: Three decades of trade and upgrading. Journal of International Development, 38(1), 88–111. https://doi.org/10.1002/jid.70033</w:t>
      </w:r>
    </w:p>
    <w:p w14:paraId="723337FC" w14:textId="77777777" w:rsidR="00AC2F97" w:rsidRPr="00614890" w:rsidRDefault="00000000" w:rsidP="00614890">
      <w:pPr>
        <w:spacing w:after="80"/>
        <w:ind w:left="1134" w:hanging="567"/>
        <w:jc w:val="both"/>
        <w:rPr>
          <w:sz w:val="20"/>
          <w:szCs w:val="20"/>
        </w:rPr>
      </w:pPr>
      <w:r w:rsidRPr="00614890">
        <w:rPr>
          <w:sz w:val="20"/>
          <w:szCs w:val="20"/>
        </w:rPr>
        <w:t>Havemann, T., Negra, C., &amp; Werneck, F. (2020). Blended finance for agriculture. Agriculture and Human Values, 37, 1281–1292. https://doi.org/10.1007/s10460-020-10131-8</w:t>
      </w:r>
    </w:p>
    <w:p w14:paraId="31F7A247" w14:textId="77777777" w:rsidR="00AC2F97" w:rsidRPr="00614890" w:rsidRDefault="00000000" w:rsidP="00614890">
      <w:pPr>
        <w:spacing w:after="80"/>
        <w:ind w:left="1134" w:hanging="567"/>
        <w:jc w:val="both"/>
        <w:rPr>
          <w:sz w:val="20"/>
          <w:szCs w:val="20"/>
        </w:rPr>
      </w:pPr>
      <w:r w:rsidRPr="00614890">
        <w:rPr>
          <w:sz w:val="20"/>
          <w:szCs w:val="20"/>
        </w:rPr>
        <w:t>Hevner, A. R., March, S. T., Park, J., &amp; Ram, S. (2004). Design science in information systems research. MIS Quarterly, 28(1), 75–105. https://doi.org/10.2307/25148625</w:t>
      </w:r>
    </w:p>
    <w:p w14:paraId="04194EA5" w14:textId="77777777" w:rsidR="00AC2F97" w:rsidRPr="00614890" w:rsidRDefault="00000000" w:rsidP="00614890">
      <w:pPr>
        <w:spacing w:after="80"/>
        <w:ind w:left="1134" w:hanging="567"/>
        <w:jc w:val="both"/>
        <w:rPr>
          <w:sz w:val="20"/>
          <w:szCs w:val="20"/>
        </w:rPr>
      </w:pPr>
      <w:r w:rsidRPr="00614890">
        <w:rPr>
          <w:sz w:val="20"/>
          <w:szCs w:val="20"/>
        </w:rPr>
        <w:t>Hornborg, A. (2016). Global magic: Technologies of appropriation from ancient Rome to Wall Street. Palgrave Macmillan.</w:t>
      </w:r>
    </w:p>
    <w:p w14:paraId="59EAC30B" w14:textId="77777777" w:rsidR="00AC2F97" w:rsidRPr="00614890" w:rsidRDefault="00000000" w:rsidP="00614890">
      <w:pPr>
        <w:spacing w:after="80"/>
        <w:ind w:left="1134" w:hanging="567"/>
        <w:jc w:val="both"/>
        <w:rPr>
          <w:sz w:val="20"/>
          <w:szCs w:val="20"/>
          <w:lang w:val="es-CO"/>
        </w:rPr>
      </w:pPr>
      <w:r w:rsidRPr="00614890">
        <w:rPr>
          <w:sz w:val="20"/>
          <w:szCs w:val="20"/>
        </w:rPr>
        <w:t xml:space="preserve">Humphrey, J., &amp; Schmitz, H. (2002). How does insertion in global value chains affect upgrading in industrial clusters? </w:t>
      </w:r>
      <w:r w:rsidRPr="00614890">
        <w:rPr>
          <w:sz w:val="20"/>
          <w:szCs w:val="20"/>
          <w:lang w:val="es-CO"/>
        </w:rPr>
        <w:t xml:space="preserve">Regional </w:t>
      </w:r>
      <w:proofErr w:type="spellStart"/>
      <w:r w:rsidRPr="00614890">
        <w:rPr>
          <w:sz w:val="20"/>
          <w:szCs w:val="20"/>
          <w:lang w:val="es-CO"/>
        </w:rPr>
        <w:t>Studies</w:t>
      </w:r>
      <w:proofErr w:type="spellEnd"/>
      <w:r w:rsidRPr="00614890">
        <w:rPr>
          <w:sz w:val="20"/>
          <w:szCs w:val="20"/>
          <w:lang w:val="es-CO"/>
        </w:rPr>
        <w:t>, 36(9), 1017–1027. https://doi.org/10.1080/0034340022000022198</w:t>
      </w:r>
    </w:p>
    <w:p w14:paraId="1E495231" w14:textId="77777777" w:rsidR="00AC2F97" w:rsidRPr="00614890" w:rsidRDefault="00000000" w:rsidP="00614890">
      <w:pPr>
        <w:spacing w:after="80"/>
        <w:ind w:left="1134" w:hanging="567"/>
        <w:jc w:val="both"/>
        <w:rPr>
          <w:sz w:val="20"/>
          <w:szCs w:val="20"/>
        </w:rPr>
      </w:pPr>
      <w:r w:rsidRPr="00614890">
        <w:rPr>
          <w:sz w:val="20"/>
          <w:szCs w:val="20"/>
          <w:lang w:val="es-CO"/>
        </w:rPr>
        <w:t xml:space="preserve">Justice </w:t>
      </w:r>
      <w:proofErr w:type="spellStart"/>
      <w:r w:rsidRPr="00614890">
        <w:rPr>
          <w:sz w:val="20"/>
          <w:szCs w:val="20"/>
          <w:lang w:val="es-CO"/>
        </w:rPr>
        <w:t>for</w:t>
      </w:r>
      <w:proofErr w:type="spellEnd"/>
      <w:r w:rsidRPr="00614890">
        <w:rPr>
          <w:sz w:val="20"/>
          <w:szCs w:val="20"/>
          <w:lang w:val="es-CO"/>
        </w:rPr>
        <w:t xml:space="preserve"> Colombia. (2026, 16 de febrero). </w:t>
      </w:r>
      <w:r w:rsidRPr="00614890">
        <w:rPr>
          <w:sz w:val="20"/>
          <w:szCs w:val="20"/>
        </w:rPr>
        <w:t xml:space="preserve">Rural development </w:t>
      </w:r>
      <w:proofErr w:type="spellStart"/>
      <w:r w:rsidRPr="00614890">
        <w:rPr>
          <w:sz w:val="20"/>
          <w:szCs w:val="20"/>
        </w:rPr>
        <w:t>programmes</w:t>
      </w:r>
      <w:proofErr w:type="spellEnd"/>
      <w:r w:rsidRPr="00614890">
        <w:rPr>
          <w:sz w:val="20"/>
          <w:szCs w:val="20"/>
        </w:rPr>
        <w:t xml:space="preserve"> created in peace agreement extended by ten years. https://justiceforcolombia.org/news/rural-development-programmes-created-in-peace-agreement-extended-by-ten-years/</w:t>
      </w:r>
    </w:p>
    <w:p w14:paraId="7DE2E96E" w14:textId="77777777" w:rsidR="008B6D1F" w:rsidRPr="00614890" w:rsidRDefault="00000000" w:rsidP="00614890">
      <w:pPr>
        <w:spacing w:after="80"/>
        <w:ind w:left="1134" w:hanging="567"/>
        <w:jc w:val="both"/>
        <w:rPr>
          <w:sz w:val="20"/>
          <w:szCs w:val="20"/>
        </w:rPr>
      </w:pPr>
      <w:r w:rsidRPr="00614890">
        <w:rPr>
          <w:sz w:val="20"/>
          <w:szCs w:val="20"/>
        </w:rPr>
        <w:lastRenderedPageBreak/>
        <w:t>Magro, E., &amp; Arrona, A. (2025). Governing green missions within regions: the case of the Basque Country. Cambridge Journal of Regions, Economy and Society, 18, 453-463. https://doi.org/10.1093/cjres/rsaf030</w:t>
      </w:r>
    </w:p>
    <w:p w14:paraId="052213AE" w14:textId="77777777" w:rsidR="00AC2F97" w:rsidRPr="00614890" w:rsidRDefault="00000000" w:rsidP="00614890">
      <w:pPr>
        <w:spacing w:after="80"/>
        <w:ind w:left="1134" w:hanging="567"/>
        <w:jc w:val="both"/>
        <w:rPr>
          <w:sz w:val="20"/>
          <w:szCs w:val="20"/>
        </w:rPr>
      </w:pPr>
      <w:r w:rsidRPr="00614890">
        <w:rPr>
          <w:sz w:val="20"/>
          <w:szCs w:val="20"/>
        </w:rPr>
        <w:t>Muradian, R., et al. (2025). Will the EU deforestation-free products regulation (EUDR) reduce tropical forest loss? Ecological Economics, 227, Article 108389. https://doi.org/10.1016/j.ecolecon.2024.108389</w:t>
      </w:r>
    </w:p>
    <w:p w14:paraId="0759B149" w14:textId="77777777" w:rsidR="00AC2F97" w:rsidRPr="00614890" w:rsidRDefault="00000000" w:rsidP="00614890">
      <w:pPr>
        <w:spacing w:after="80"/>
        <w:ind w:left="1134" w:hanging="567"/>
        <w:jc w:val="both"/>
        <w:rPr>
          <w:sz w:val="20"/>
          <w:szCs w:val="20"/>
        </w:rPr>
      </w:pPr>
      <w:r w:rsidRPr="00614890">
        <w:rPr>
          <w:sz w:val="20"/>
          <w:szCs w:val="20"/>
        </w:rPr>
        <w:t>Ortmann, G. F., &amp; King, R. P. (2007). Agricultural cooperatives I: History, theory and problems. Agrekon, 46(1), 18–46. https://doi.org/10.1080/03031853.2007.9523760</w:t>
      </w:r>
    </w:p>
    <w:p w14:paraId="16F30468" w14:textId="77777777" w:rsidR="00AC2F97" w:rsidRPr="00614890" w:rsidRDefault="00000000" w:rsidP="00614890">
      <w:pPr>
        <w:spacing w:after="80"/>
        <w:ind w:left="1134" w:hanging="567"/>
        <w:jc w:val="both"/>
        <w:rPr>
          <w:sz w:val="20"/>
          <w:szCs w:val="20"/>
        </w:rPr>
      </w:pPr>
      <w:r w:rsidRPr="00614890">
        <w:rPr>
          <w:sz w:val="20"/>
          <w:szCs w:val="20"/>
        </w:rPr>
        <w:t>Ostrom, E. (1990). Governing the commons: The evolution of institutions for collective action. Cambridge University Press.</w:t>
      </w:r>
    </w:p>
    <w:p w14:paraId="03FCB6D1" w14:textId="77777777" w:rsidR="00AC2F97" w:rsidRPr="00614890" w:rsidRDefault="00000000" w:rsidP="00614890">
      <w:pPr>
        <w:spacing w:after="80"/>
        <w:ind w:left="1134" w:hanging="567"/>
        <w:jc w:val="both"/>
        <w:rPr>
          <w:sz w:val="20"/>
          <w:szCs w:val="20"/>
          <w:lang w:val="es-CO"/>
        </w:rPr>
      </w:pPr>
      <w:proofErr w:type="spellStart"/>
      <w:r w:rsidRPr="00614890">
        <w:rPr>
          <w:sz w:val="20"/>
          <w:szCs w:val="20"/>
        </w:rPr>
        <w:t>Pirard</w:t>
      </w:r>
      <w:proofErr w:type="spellEnd"/>
      <w:r w:rsidRPr="00614890">
        <w:rPr>
          <w:sz w:val="20"/>
          <w:szCs w:val="20"/>
        </w:rPr>
        <w:t xml:space="preserve">, R., Pacheco, P., &amp; Romero, C. (2023). The role of hybrid governance in supporting deforestation-free trade. </w:t>
      </w:r>
      <w:proofErr w:type="spellStart"/>
      <w:r w:rsidRPr="00614890">
        <w:rPr>
          <w:sz w:val="20"/>
          <w:szCs w:val="20"/>
          <w:lang w:val="es-CO"/>
        </w:rPr>
        <w:t>Ecological</w:t>
      </w:r>
      <w:proofErr w:type="spellEnd"/>
      <w:r w:rsidRPr="00614890">
        <w:rPr>
          <w:sz w:val="20"/>
          <w:szCs w:val="20"/>
          <w:lang w:val="es-CO"/>
        </w:rPr>
        <w:t xml:space="preserve"> </w:t>
      </w:r>
      <w:proofErr w:type="spellStart"/>
      <w:r w:rsidRPr="00614890">
        <w:rPr>
          <w:sz w:val="20"/>
          <w:szCs w:val="20"/>
          <w:lang w:val="es-CO"/>
        </w:rPr>
        <w:t>Economics</w:t>
      </w:r>
      <w:proofErr w:type="spellEnd"/>
      <w:r w:rsidRPr="00614890">
        <w:rPr>
          <w:sz w:val="20"/>
          <w:szCs w:val="20"/>
          <w:lang w:val="es-CO"/>
        </w:rPr>
        <w:t xml:space="preserve">, 210, </w:t>
      </w:r>
      <w:proofErr w:type="spellStart"/>
      <w:r w:rsidRPr="00614890">
        <w:rPr>
          <w:sz w:val="20"/>
          <w:szCs w:val="20"/>
          <w:lang w:val="es-CO"/>
        </w:rPr>
        <w:t>Article</w:t>
      </w:r>
      <w:proofErr w:type="spellEnd"/>
      <w:r w:rsidRPr="00614890">
        <w:rPr>
          <w:sz w:val="20"/>
          <w:szCs w:val="20"/>
          <w:lang w:val="es-CO"/>
        </w:rPr>
        <w:t xml:space="preserve"> 107867. https://doi.org/10.1016/j.ecolecon.2023.107867</w:t>
      </w:r>
    </w:p>
    <w:p w14:paraId="10FE29C6" w14:textId="77777777" w:rsidR="00AC2F97" w:rsidRPr="00614890" w:rsidRDefault="00000000" w:rsidP="00614890">
      <w:pPr>
        <w:spacing w:after="80"/>
        <w:ind w:left="1134" w:hanging="567"/>
        <w:jc w:val="both"/>
        <w:rPr>
          <w:sz w:val="20"/>
          <w:szCs w:val="20"/>
          <w:lang w:val="es-CO"/>
        </w:rPr>
      </w:pPr>
      <w:r w:rsidRPr="00614890">
        <w:rPr>
          <w:sz w:val="20"/>
          <w:szCs w:val="20"/>
          <w:lang w:val="es-CO"/>
        </w:rPr>
        <w:t>Presidencia de la República de Colombia. (2017). Decreto 893 de 2017. Diario Oficial No. 50.230.</w:t>
      </w:r>
    </w:p>
    <w:p w14:paraId="01954D1A" w14:textId="77777777" w:rsidR="00AC2F97" w:rsidRPr="00614890" w:rsidRDefault="00000000" w:rsidP="00614890">
      <w:pPr>
        <w:spacing w:after="80"/>
        <w:ind w:left="1134" w:hanging="567"/>
        <w:jc w:val="both"/>
        <w:rPr>
          <w:sz w:val="20"/>
          <w:szCs w:val="20"/>
        </w:rPr>
      </w:pPr>
      <w:r w:rsidRPr="00614890">
        <w:rPr>
          <w:sz w:val="20"/>
          <w:szCs w:val="20"/>
        </w:rPr>
        <w:t>Rettberg, A. (2010). Global markets, local conflict. Latin American Perspectives, 37(2), 111–132. https://doi.org/10.1177/0094582x09356961</w:t>
      </w:r>
    </w:p>
    <w:p w14:paraId="57BB8C73" w14:textId="77777777" w:rsidR="00AC2F97" w:rsidRPr="00614890" w:rsidRDefault="00000000" w:rsidP="00614890">
      <w:pPr>
        <w:spacing w:after="80"/>
        <w:ind w:left="1134" w:hanging="567"/>
        <w:jc w:val="both"/>
        <w:rPr>
          <w:sz w:val="20"/>
          <w:szCs w:val="20"/>
        </w:rPr>
      </w:pPr>
      <w:r w:rsidRPr="00614890">
        <w:rPr>
          <w:sz w:val="20"/>
          <w:szCs w:val="20"/>
        </w:rPr>
        <w:t>Schletz, M., et al. (2023). Blockchain and regenerative finance. Frontiers in Blockchain, 6, Article 1165133. https://doi.org/10.3389/fbloc.2023.1165133</w:t>
      </w:r>
    </w:p>
    <w:p w14:paraId="510805D9" w14:textId="77777777" w:rsidR="00AC2F97" w:rsidRPr="00614890" w:rsidRDefault="00000000" w:rsidP="00614890">
      <w:pPr>
        <w:spacing w:after="80"/>
        <w:ind w:left="1134" w:hanging="567"/>
        <w:jc w:val="both"/>
        <w:rPr>
          <w:sz w:val="20"/>
          <w:szCs w:val="20"/>
        </w:rPr>
      </w:pPr>
      <w:r w:rsidRPr="00614890">
        <w:rPr>
          <w:sz w:val="20"/>
          <w:szCs w:val="20"/>
        </w:rPr>
        <w:t>Talbot, J. M. (1997). Where does your coffee dollar go? Studies in Comparative International Development, 32(1), 56–91. https://doi.org/10.1007/bf02696306</w:t>
      </w:r>
    </w:p>
    <w:p w14:paraId="3BD5349E" w14:textId="77777777" w:rsidR="00AC2F97" w:rsidRPr="00614890" w:rsidRDefault="00000000" w:rsidP="00614890">
      <w:pPr>
        <w:spacing w:after="80"/>
        <w:ind w:left="1134" w:hanging="567"/>
        <w:jc w:val="both"/>
        <w:rPr>
          <w:sz w:val="20"/>
          <w:szCs w:val="20"/>
        </w:rPr>
      </w:pPr>
      <w:r w:rsidRPr="00614890">
        <w:rPr>
          <w:sz w:val="20"/>
          <w:szCs w:val="20"/>
        </w:rPr>
        <w:t>Taleb, N. N. (2012). Antifragile: Things that gain from disorder. Random House.</w:t>
      </w:r>
    </w:p>
    <w:p w14:paraId="7D50629E" w14:textId="77777777" w:rsidR="00AC2F97" w:rsidRPr="00614890" w:rsidRDefault="00000000" w:rsidP="00614890">
      <w:pPr>
        <w:spacing w:after="80"/>
        <w:ind w:left="1134" w:hanging="567"/>
        <w:jc w:val="both"/>
        <w:rPr>
          <w:sz w:val="20"/>
          <w:szCs w:val="20"/>
        </w:rPr>
      </w:pPr>
      <w:r w:rsidRPr="00614890">
        <w:rPr>
          <w:sz w:val="20"/>
          <w:szCs w:val="20"/>
          <w:lang w:val="es-CO"/>
        </w:rPr>
        <w:t xml:space="preserve">Teece, D. J., Pisano, G., &amp; </w:t>
      </w:r>
      <w:proofErr w:type="spellStart"/>
      <w:r w:rsidRPr="00614890">
        <w:rPr>
          <w:sz w:val="20"/>
          <w:szCs w:val="20"/>
          <w:lang w:val="es-CO"/>
        </w:rPr>
        <w:t>Shuen</w:t>
      </w:r>
      <w:proofErr w:type="spellEnd"/>
      <w:r w:rsidRPr="00614890">
        <w:rPr>
          <w:sz w:val="20"/>
          <w:szCs w:val="20"/>
          <w:lang w:val="es-CO"/>
        </w:rPr>
        <w:t xml:space="preserve">, A. (1997). </w:t>
      </w:r>
      <w:r w:rsidRPr="00614890">
        <w:rPr>
          <w:sz w:val="20"/>
          <w:szCs w:val="20"/>
        </w:rPr>
        <w:t>Dynamic capabilities and strategic management. Strategic Management Journal, 18(7), 509–533. https://doi.org/10.1002/(SICI)1097-0266(199708)18:7&lt;</w:t>
      </w:r>
      <w:proofErr w:type="gramStart"/>
      <w:r w:rsidRPr="00614890">
        <w:rPr>
          <w:sz w:val="20"/>
          <w:szCs w:val="20"/>
        </w:rPr>
        <w:t>509::</w:t>
      </w:r>
      <w:proofErr w:type="gramEnd"/>
      <w:r w:rsidRPr="00614890">
        <w:rPr>
          <w:sz w:val="20"/>
          <w:szCs w:val="20"/>
        </w:rPr>
        <w:t>AID-SMJ882&gt;3.0.CO;2-Z</w:t>
      </w:r>
    </w:p>
    <w:p w14:paraId="0FE443B5" w14:textId="77777777" w:rsidR="00AC2F97" w:rsidRPr="00614890" w:rsidRDefault="00000000" w:rsidP="00614890">
      <w:pPr>
        <w:spacing w:after="80"/>
        <w:ind w:left="1134" w:hanging="567"/>
        <w:jc w:val="both"/>
        <w:rPr>
          <w:sz w:val="20"/>
          <w:szCs w:val="20"/>
        </w:rPr>
      </w:pPr>
      <w:r w:rsidRPr="00614890">
        <w:rPr>
          <w:sz w:val="20"/>
          <w:szCs w:val="20"/>
        </w:rPr>
        <w:t>Wallerstein, I. (1974). The modern world-system I. Academic Press.</w:t>
      </w:r>
    </w:p>
    <w:p w14:paraId="4306376B" w14:textId="77777777" w:rsidR="00AC2F97" w:rsidRPr="00614890" w:rsidRDefault="00000000" w:rsidP="00614890">
      <w:pPr>
        <w:spacing w:after="80"/>
        <w:ind w:left="1134" w:hanging="567"/>
        <w:jc w:val="both"/>
        <w:rPr>
          <w:sz w:val="20"/>
          <w:szCs w:val="20"/>
          <w:lang w:val="es-CO"/>
        </w:rPr>
      </w:pPr>
      <w:r w:rsidRPr="00614890">
        <w:rPr>
          <w:sz w:val="20"/>
          <w:szCs w:val="20"/>
        </w:rPr>
        <w:t xml:space="preserve">Werbach, K. (2018). The blockchain and the new architecture of trust. </w:t>
      </w:r>
      <w:r w:rsidRPr="00614890">
        <w:rPr>
          <w:sz w:val="20"/>
          <w:szCs w:val="20"/>
          <w:lang w:val="es-CO"/>
        </w:rPr>
        <w:t>MIT Press.</w:t>
      </w:r>
    </w:p>
    <w:p w14:paraId="6088D458" w14:textId="77777777" w:rsidR="008B6D1F" w:rsidRPr="00614890" w:rsidRDefault="00000000" w:rsidP="00614890">
      <w:pPr>
        <w:spacing w:after="80"/>
        <w:ind w:left="1134" w:hanging="567"/>
        <w:jc w:val="both"/>
        <w:rPr>
          <w:sz w:val="20"/>
          <w:szCs w:val="20"/>
          <w:lang w:val="es-CO"/>
        </w:rPr>
      </w:pPr>
      <w:r w:rsidRPr="00614890">
        <w:rPr>
          <w:sz w:val="20"/>
          <w:szCs w:val="20"/>
          <w:lang w:val="es-CO"/>
        </w:rPr>
        <w:t xml:space="preserve">Wilson, J. R. (2010). Gobernanza y desarrollo </w:t>
      </w:r>
      <w:proofErr w:type="gramStart"/>
      <w:r w:rsidRPr="00614890">
        <w:rPr>
          <w:sz w:val="20"/>
          <w:szCs w:val="20"/>
          <w:lang w:val="es-CO"/>
        </w:rPr>
        <w:t>socio-económico</w:t>
      </w:r>
      <w:proofErr w:type="gramEnd"/>
      <w:r w:rsidRPr="00614890">
        <w:rPr>
          <w:sz w:val="20"/>
          <w:szCs w:val="20"/>
          <w:lang w:val="es-CO"/>
        </w:rPr>
        <w:t xml:space="preserve">: Hacia nuevas políticas de competitividad. Boletín de Estudios Económicos, </w:t>
      </w:r>
      <w:proofErr w:type="gramStart"/>
      <w:r w:rsidRPr="00614890">
        <w:rPr>
          <w:sz w:val="20"/>
          <w:szCs w:val="20"/>
          <w:lang w:val="es-CO"/>
        </w:rPr>
        <w:t>LXV(</w:t>
      </w:r>
      <w:proofErr w:type="gramEnd"/>
      <w:r w:rsidRPr="00614890">
        <w:rPr>
          <w:sz w:val="20"/>
          <w:szCs w:val="20"/>
          <w:lang w:val="es-CO"/>
        </w:rPr>
        <w:t>200), 241–262.</w:t>
      </w:r>
    </w:p>
    <w:p w14:paraId="7C4710F4" w14:textId="77777777" w:rsidR="00AC2F97" w:rsidRDefault="00000000" w:rsidP="00614890">
      <w:pPr>
        <w:spacing w:after="80"/>
        <w:ind w:left="1134" w:hanging="567"/>
        <w:jc w:val="both"/>
      </w:pPr>
      <w:r w:rsidRPr="00614890">
        <w:rPr>
          <w:sz w:val="20"/>
          <w:szCs w:val="20"/>
          <w:lang w:val="es-CO"/>
        </w:rPr>
        <w:t xml:space="preserve">Yeung, H. W.-C., &amp; </w:t>
      </w:r>
      <w:proofErr w:type="spellStart"/>
      <w:r w:rsidRPr="00614890">
        <w:rPr>
          <w:sz w:val="20"/>
          <w:szCs w:val="20"/>
          <w:lang w:val="es-CO"/>
        </w:rPr>
        <w:t>Coe</w:t>
      </w:r>
      <w:proofErr w:type="spellEnd"/>
      <w:r w:rsidRPr="00614890">
        <w:rPr>
          <w:sz w:val="20"/>
          <w:szCs w:val="20"/>
          <w:lang w:val="es-CO"/>
        </w:rPr>
        <w:t xml:space="preserve">, N. M. (2015). </w:t>
      </w:r>
      <w:r w:rsidRPr="00614890">
        <w:rPr>
          <w:sz w:val="20"/>
          <w:szCs w:val="20"/>
        </w:rPr>
        <w:t>Toward a dynamic theory of global production networks. Economic Geography, 91(1), 29–58. https://doi.org/10.1111/ecge.12</w:t>
      </w:r>
      <w:r w:rsidRPr="00135BE0">
        <w:rPr>
          <w:sz w:val="20"/>
        </w:rPr>
        <w:t>063</w:t>
      </w:r>
    </w:p>
    <w:sectPr w:rsidR="00AC2F9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B1A1CE2"/>
    <w:multiLevelType w:val="hybridMultilevel"/>
    <w:tmpl w:val="DD489D20"/>
    <w:lvl w:ilvl="0" w:tplc="24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2F1808"/>
    <w:multiLevelType w:val="hybridMultilevel"/>
    <w:tmpl w:val="5FB2C6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36346877">
    <w:abstractNumId w:val="8"/>
  </w:num>
  <w:num w:numId="2" w16cid:durableId="471677066">
    <w:abstractNumId w:val="6"/>
  </w:num>
  <w:num w:numId="3" w16cid:durableId="762145872">
    <w:abstractNumId w:val="5"/>
  </w:num>
  <w:num w:numId="4" w16cid:durableId="904991547">
    <w:abstractNumId w:val="4"/>
  </w:num>
  <w:num w:numId="5" w16cid:durableId="1540363658">
    <w:abstractNumId w:val="7"/>
  </w:num>
  <w:num w:numId="6" w16cid:durableId="127818371">
    <w:abstractNumId w:val="3"/>
  </w:num>
  <w:num w:numId="7" w16cid:durableId="861210208">
    <w:abstractNumId w:val="2"/>
  </w:num>
  <w:num w:numId="8" w16cid:durableId="1181241288">
    <w:abstractNumId w:val="1"/>
  </w:num>
  <w:num w:numId="9" w16cid:durableId="915090873">
    <w:abstractNumId w:val="0"/>
  </w:num>
  <w:num w:numId="10" w16cid:durableId="2094542516">
    <w:abstractNumId w:val="10"/>
  </w:num>
  <w:num w:numId="11" w16cid:durableId="910774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BE0"/>
    <w:rsid w:val="0015074B"/>
    <w:rsid w:val="0029639D"/>
    <w:rsid w:val="00326F90"/>
    <w:rsid w:val="00614890"/>
    <w:rsid w:val="00635CEF"/>
    <w:rsid w:val="0085422B"/>
    <w:rsid w:val="008B6D1F"/>
    <w:rsid w:val="008F792E"/>
    <w:rsid w:val="009308FA"/>
    <w:rsid w:val="009C626A"/>
    <w:rsid w:val="00AA1D8D"/>
    <w:rsid w:val="00AC2F97"/>
    <w:rsid w:val="00AD1934"/>
    <w:rsid w:val="00B47730"/>
    <w:rsid w:val="00B77A4D"/>
    <w:rsid w:val="00CB0664"/>
    <w:rsid w:val="00F10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83331"/>
  <w14:defaultImageDpi w14:val="300"/>
  <w15:docId w15:val="{8E17FE73-06C1-41A6-AF30-AE148E85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2595</Words>
  <Characters>14278</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5</cp:revision>
  <cp:lastPrinted>2026-05-29T06:36:00Z</cp:lastPrinted>
  <dcterms:created xsi:type="dcterms:W3CDTF">2026-05-29T05:13:00Z</dcterms:created>
  <dcterms:modified xsi:type="dcterms:W3CDTF">2026-05-29T06:36:00Z</dcterms:modified>
  <cp:category/>
</cp:coreProperties>
</file>