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8B1A1A"/>
          <w:sz w:val="36"/>
        </w:rPr>
        <w:t>PROPUESTA DE INVESTIGACIÓN</w:t>
      </w:r>
    </w:p>
    <w:p>
      <w:pPr>
        <w:spacing w:before="400"/>
        <w:jc w:val="center"/>
      </w:pPr>
      <w:r>
        <w:rPr>
          <w:b/>
          <w:sz w:val="26"/>
        </w:rPr>
        <w:t>Programa de Doctorado en Desarrollo Inclusivo y Sostenible</w:t>
      </w:r>
    </w:p>
    <w:p>
      <w:pPr>
        <w:jc w:val="center"/>
      </w:pPr>
      <w:r>
        <w:rPr>
          <w:sz w:val="24"/>
        </w:rPr>
        <w:t>Universidad Loyola Andalucía</w:t>
      </w:r>
    </w:p>
    <w:p>
      <w:pPr>
        <w:jc w:val="center"/>
      </w:pPr>
      <w:r>
        <w:rPr>
          <w:i/>
          <w:sz w:val="22"/>
        </w:rPr>
        <w:t>Fundación ETEA — Instituto de Desarrollo</w:t>
      </w:r>
    </w:p>
    <w:p>
      <w:pPr>
        <w:spacing w:before="800"/>
        <w:jc w:val="center"/>
      </w:pPr>
      <w:r>
        <w:rPr>
          <w:b/>
          <w:sz w:val="24"/>
        </w:rPr>
        <w:t>Proponente: Daniel Alejandro Pajoy Bastos</w:t>
      </w:r>
    </w:p>
    <w:p>
      <w:pPr>
        <w:jc w:val="center"/>
      </w:pPr>
      <w:r>
        <w:rPr>
          <w:i/>
          <w:sz w:val="22"/>
        </w:rPr>
        <w:t>Junio 2026</w:t>
      </w:r>
    </w:p>
    <w:p>
      <w:r>
        <w:br w:type="page"/>
      </w:r>
    </w:p>
    <w:p>
      <w:pPr>
        <w:spacing w:before="360" w:after="160"/>
      </w:pPr>
      <w:r>
        <w:rPr>
          <w:b/>
          <w:color w:val="8B1A1A"/>
          <w:sz w:val="28"/>
        </w:rPr>
        <w:t>1. Título provisional y palabras clave</w:t>
      </w:r>
    </w:p>
    <w:p>
      <w:pPr>
        <w:spacing w:after="120"/>
        <w:jc w:val="both"/>
      </w:pPr>
      <w:r>
        <w:rPr>
          <w:b/>
          <w:i w:val="0"/>
          <w:sz w:val="22"/>
        </w:rPr>
        <w:t>Título: Gobernanza Digital Asociativa para el Desarrollo Inclusivo de Organizaciones Caficultoras en Territorios PDET del Posconflicto Colombiano: Un Modelo Sociotécnico para la Captura de Valor en Origen y la Antifragilidad Territorial.</w:t>
      </w:r>
    </w:p>
    <w:p>
      <w:pPr>
        <w:spacing w:after="120"/>
        <w:jc w:val="both"/>
      </w:pPr>
      <w:r>
        <w:rPr>
          <w:b w:val="0"/>
          <w:i w:val="0"/>
          <w:sz w:val="22"/>
        </w:rPr>
        <w:t>Palabras clave: desarrollo inclusivo · desarrollo sostenible · gobernanza digital asociativa · economía solidaria · organizaciones caficultoras · territorios PDET · posconflicto colombiano · captura de valor en origen · cadenas globales de valor · antifragilidad territorial · ODS.</w:t>
      </w:r>
    </w:p>
    <w:p>
      <w:pPr>
        <w:spacing w:before="240" w:after="120"/>
      </w:pPr>
      <w:r>
        <w:rPr>
          <w:b/>
          <w:color w:val="404040"/>
          <w:sz w:val="24"/>
        </w:rPr>
        <w:t>Pregunta de investigación</w:t>
      </w:r>
    </w:p>
    <w:p>
      <w:pPr>
        <w:spacing w:after="120"/>
        <w:jc w:val="both"/>
      </w:pPr>
      <w:r>
        <w:rPr>
          <w:b/>
          <w:i w:val="0"/>
          <w:sz w:val="22"/>
        </w:rPr>
        <w:t>¿Cómo un modelo sociotécnico de gobernanza digital asociativa habilita a las asociaciones caficultoras de pequeños productores en territorios PDET de Colombia para incrementar la proporción de valor capturado en origen en la cadena global de valor del café, fortalecer su antifragilidad territorial y contribuir a un desarrollo verdaderamente inclusivo y sostenible en el contexto del posconflicto colombiano?</w:t>
      </w:r>
    </w:p>
    <w:p>
      <w:pPr>
        <w:spacing w:before="360" w:after="160"/>
      </w:pPr>
      <w:r>
        <w:rPr>
          <w:b/>
          <w:color w:val="8B1A1A"/>
          <w:sz w:val="28"/>
        </w:rPr>
        <w:t>2. Planteamiento del problema y justificación</w:t>
      </w:r>
    </w:p>
    <w:p>
      <w:pPr>
        <w:spacing w:after="120"/>
        <w:jc w:val="both"/>
      </w:pPr>
      <w:r>
        <w:rPr>
          <w:b w:val="0"/>
          <w:i w:val="0"/>
          <w:sz w:val="22"/>
        </w:rPr>
        <w:t>El desarrollo inclusivo y sostenible exige que los territorios productores —especialmente aquellos históricamente excluidos por procesos de exclusión social, conflicto armado y marginación económica— participen efectivamente en la generación, retención y redistribución del valor que producen. Sin embargo, la evidencia empírica sobre las cadenas agroalimentarias globales revela exactamente lo contrario: las organizaciones productoras de café en el Sur Global retienen apenas entre el 7 % y el 10 % del precio final al consumidor (Fitter &amp; Kaplinsky, 2001; Talbot, 1997; Hanley, 2026). Esta brecha no es una anomalía de mercado sino el resultado estructural de arquitecturas de gobernanza cautiva en las cadenas globales de valor (CGV) que reproducen sistemáticamente la extracción de renta territorial (Gereffi et al., 2005; Grabs &amp; Ponte, 2019).</w:t>
      </w:r>
    </w:p>
    <w:p>
      <w:pPr>
        <w:spacing w:after="120"/>
        <w:jc w:val="both"/>
      </w:pPr>
      <w:r>
        <w:rPr>
          <w:b w:val="0"/>
          <w:i w:val="0"/>
          <w:sz w:val="22"/>
        </w:rPr>
        <w:t>En Colombia, los Programas de Desarrollo con Enfoque Territorial (PDET) —política pública de implementación del Acuerdo de Paz de 2016, recientemente extendida hasta 2037 (Justice for Colombia, 2026; Decreto 893/2017)— representan el mayor experimento de desarrollo territorial inclusivo y posconflicto de América Latina: 170 municipios, 16 subregiones y más de seis millones de personas en territorios de alta complejidad histórica, social y ambiental. Estos territorios son precisamente el lugar donde el desarrollo inclusivo y sostenible debe materializarse: comunidades que han sufrido el conflicto armado, organizaciones de firmantes de paz en proceso de reincorporación productiva, ecosistemas frágiles que exigen agriculturas sostenibles, y poblaciones rurales que demandan justicia distributiva.</w:t>
      </w:r>
    </w:p>
    <w:p>
      <w:pPr>
        <w:spacing w:after="120"/>
        <w:jc w:val="both"/>
      </w:pPr>
      <w:r>
        <w:rPr>
          <w:b w:val="0"/>
          <w:i w:val="0"/>
          <w:sz w:val="22"/>
        </w:rPr>
        <w:t>Las organizaciones caficultoras en estos territorios enfrentan cuatro déficits estructurales interconectados que bloquean su capacidad de participar como sujetos activos del desarrollo: (a) déficits de gobernanza organizacional para enfrentar mercados globales, exacerbados por la ausencia estatal histórica que el conflicto profundizó (Ostrom, 1990; Rettberg, 2010); (b) posicionamiento cautivo en las CGV (Gereffi et al., 2005; Hornborg, 2016) que reproduce la dependencia del intermediario; (c) exclusión digital que amenaza el cumplimiento del Reglamento de Deforestación de la Unión Europea (EUDR, Reglamento 2023/1115), vigente desde 2026 (Muradian et al., 2025; Pirard et al., 2023) y que actúa como nueva barrera de acceso al mercado europeo; y (d) exclusión de las arquitecturas emergentes de financiamiento territorial —créditos de carbono, blended finance, finanzas regenerativas— que podrían transformar su posición en la cadena (Schletz et al., 2023; Havemann et al., 2020). Estos déficits se retroalimentan en un ciclo que reproduce la posición periférica y la pobreza estructural de las comunidades cafeteras del posconflicto.</w:t>
      </w:r>
    </w:p>
    <w:p>
      <w:pPr>
        <w:spacing w:after="120"/>
        <w:jc w:val="both"/>
      </w:pPr>
      <w:r>
        <w:rPr>
          <w:b w:val="0"/>
          <w:i w:val="0"/>
          <w:sz w:val="22"/>
        </w:rPr>
        <w:t>La literatura sobre CGV ha descrito con precisión los mecanismos de extracción de renta pero no ha especificado las condiciones de gobernanza bajo las cuales las organizaciones de pequeños productores pueden reposicionarse en la cadena. La tradición ostromiana de la gobernanza de comunes (Ostrom, 1990; Agrawal, 2001) ha establecido los principios institucionales para la acción colectiva sostenible, pero no ha integrado la dimensión digital ni el contexto de posconflicto. La literatura emergente sobre blockchain y trazabilidad (Werbach, 2018; Elmatsani et al., 2026) ha explorado la reducción de asimetrías de información, pero no ha articulado estos mecanismos con la gobernanza institucional colectiva en territorios de alta fragilidad. La economía social y la tradición cooperativa latinoamericana (Coraggio, 2011) ofrece bases para pensar la inclusión, pero raramente se conecta con la operacionalización empírica de la captura de valor. Ningún modelo existente integra estas dimensiones en un constructo aplicable a organizaciones asociativas en posconflicto agroalimentario.</w:t>
      </w:r>
    </w:p>
    <w:p>
      <w:pPr>
        <w:spacing w:after="120"/>
        <w:jc w:val="both"/>
      </w:pPr>
      <w:r>
        <w:rPr>
          <w:b w:val="0"/>
          <w:i w:val="0"/>
          <w:sz w:val="22"/>
        </w:rPr>
        <w:t>La investigación construye un modelo sociotécnico integrador —denominado Gobernanza Digital Asociativa (GDA)— que combina cuatro componentes mutuamente constitutivos: (i) gobernanza institucional colectiva basada en los principios de Ostrom adaptados al contexto de fragilidad institucional; (ii) confianza algorítmica habilitada por trazabilidad blockchain con soberanía de datos comunitaria; (iii) medición cuantificada de la renta capturada en origen mediante un constructo original —Valor Capturado en Origen, VCO—; y (iv) antifragilidad territorial entendida como capacidad organizacional de diversificar ingresos (café base, créditos de carbono, primas de especialidad, comercialización directa, valorización de biomasa) hasta que ningún shock externo destruya la viabilidad organizacional. La novedad no reside en los componentes individuales sino en la arquitectura de gobernanza que los hace mutuamente constitutivos y apropiables por comunidades caficultoras en posconflicto.</w:t>
      </w:r>
    </w:p>
    <w:p>
      <w:pPr>
        <w:spacing w:after="120"/>
        <w:jc w:val="both"/>
      </w:pPr>
      <w:r>
        <w:rPr>
          <w:b w:val="0"/>
          <w:i w:val="0"/>
          <w:sz w:val="22"/>
        </w:rPr>
        <w:t>La contribución esperada es triple. Teórica: un modelo integrador de gobernanza digital-institucional para el desarrollo inclusivo agroalimentario en contextos de posconflicto. Metodológica: un protocolo de Design Science Research mixto secuencial replicable en otros contextos del Sur Global. Praxeológica y de justicia distributiva: artefactos directamente implementables por las organizaciones —apropiables, soberanos en datos, anclados en la economía solidaria— y escalables a otras cadenas agroalimentarias de países en desarrollo. La investigación se estructura en cuatro años (2026–2029), viable en el régimen de doctorado a tiempo completo del programa. El investigador tiene acceso directo a la Federación Mesa Nacional del Café (FEMNCAFE), organización que agremia a las asociaciones de caficultores firmantes de paz, garantizando el acceso al campo empírico y la legitimidad comunitaria del trabajo.</w:t>
      </w:r>
    </w:p>
    <w:p>
      <w:pPr>
        <w:spacing w:before="360" w:after="160"/>
      </w:pPr>
      <w:r>
        <w:rPr>
          <w:b/>
          <w:color w:val="8B1A1A"/>
          <w:sz w:val="28"/>
        </w:rPr>
        <w:t>3. Estado del arte y encuadre teórico</w:t>
      </w:r>
    </w:p>
    <w:p>
      <w:pPr>
        <w:spacing w:after="120"/>
        <w:jc w:val="both"/>
      </w:pPr>
      <w:r>
        <w:rPr>
          <w:b w:val="0"/>
          <w:i w:val="0"/>
          <w:sz w:val="22"/>
        </w:rPr>
        <w:t>Las cadenas globales de valor (CGV) constituyen el marco analítico central de esta investigación: determinan quién define los estándares de calidad y sostenibilidad, quién fija los precios de referencia y —en última instancia— quién retiene la renta generada (Gereffi et al., 2005). En las cadenas cautivas que caracterizan al café convencional colombiano, los compradores internacionales ejercen un poder estructural que Wallerstein (1974) denominó intercambio desigual y que Grabs y Ponte (2019) identificaron como reproducido paradójicamente por los propios estándares privados de sostenibilidad. La investigación sobre la disposición a pagar del consumidor por etiquetas de sostenibilidad en el mercado español del café demuestra que atributos como la trazabilidad certificada generan primas del 28,5 % sobre el precio medio al consumidor (Merbah &amp; Benito-Hernández, 2023): el mercado ya reconoce y paga por la trazabilidad; la pregunta no resuelta es qué mecanismos de gobernanza organizacional permiten que esa prima alcance a las asociaciones productoras que generan los atributos certificados. La teoría del upgrading en CGV (Humphrey &amp; Schmitz, 2002) identifica trayectorias de mejora de posición cuya activación requiere precisamente la combinación de capacidades organizacionales, acceso tecnológico y vínculos institucionales que las organizaciones caficultoras en posconflicto raramente poseen de manera simultánea.</w:t>
      </w:r>
    </w:p>
    <w:p>
      <w:pPr>
        <w:spacing w:after="120"/>
        <w:jc w:val="both"/>
      </w:pPr>
      <w:r>
        <w:rPr>
          <w:b w:val="0"/>
          <w:i w:val="0"/>
          <w:sz w:val="22"/>
        </w:rPr>
        <w:t>La tradición de la gobernanza de comunes (Ostrom, 1990) ofrece el marco más robusto para entender las condiciones bajo las cuales las organizaciones de pequeños productores pueden gestionar recursos colectivos de manera sostenible. Sus ocho principios de diseño institucional han sido validados en múltiples contextos agroalimentarios (Agrawal, 2001) y constituyen la base empírica para construir un Índice de Gobernanza (IG) medible. La extensión de este marco a entornos posconflicto —donde el capital social fue sistemáticamente erosionado por el conflicto armado (Rettberg, 2010) y donde los fallos de gobernanza cooperativa son estructurales (Ortmann &amp; King, 2007)— requiere adaptar los principios originales a condiciones de alta fragilidad institucional. La investigación acción participativa de Fals Borda (1986) aporta el fundamento epistemológico necesario: el conocimiento sobre la gobernanza territorial posconflicto debe co-construirse con las comunidades, no imponerse desde marcos exógenos. Esta epistemología es coherente con la tradición latinoamericana de pensamiento crítico sobre el desarrollo (Escobar, 2007; Coraggio, 2011), que sitúa la economía social y solidaria como horizonte normativo del desarrollo inclusivo.</w:t>
      </w:r>
    </w:p>
    <w:p>
      <w:pPr>
        <w:spacing w:after="120"/>
        <w:jc w:val="both"/>
      </w:pPr>
      <w:r>
        <w:rPr>
          <w:b w:val="0"/>
          <w:i w:val="0"/>
          <w:sz w:val="22"/>
        </w:rPr>
        <w:t>La tecnología blockchain y los contratos inteligentes han emergido como mecanismos con potencial transformador para las cadenas agroalimentarias: reducen asimetrías de información, habilitan trazabilidad georeferenciada verificable —condición técnica del EUDR— y pueden automatizar la distribución de beneficios dentro de las organizaciones (Werbach, 2018; Elmatsani et al., 2026). Sin embargo, los mecanismos tecnológicos solo producen retención de renta territorial cuando operan sobre una base de gobernanza colectiva sólida (Schletz et al., 2023; Cong et al., 2020): la tecnología sin gobernanza reproduce y amplifica las asimetrías de poder existentes en la cadena. El marco de la antifragilidad de Taleb (2012) —extendido al nivel asociativo mediante las capacidades dinámicas de Teece et al. (1997)— ofrece el criterio evaluativo final del modelo: la organización caficultora en un territorio PDET no solo debe sobrevivir a la volatilidad de precios y las disrupciones institucionales del posconflicto, sino desarrollar la capacidad de diversificar sus fuentes de ingreso —créditos de carbono, primas de especialidad, comercialización directa, valorización de biomasa— hasta que ningún shock externo destruya su viabilidad organizacional. Las redes de producción global GPN 2.0 (Yeung &amp; Coe, 2015) completan el encuadre al incorporar los actores no empresariales —Estado, sociedad civil y organismos de cooperación— que configuran las condiciones territoriales del posconflicto.</w:t>
      </w:r>
    </w:p>
    <w:p>
      <w:pPr>
        <w:spacing w:after="120"/>
        <w:jc w:val="both"/>
      </w:pPr>
      <w:r>
        <w:rPr>
          <w:b w:val="0"/>
          <w:i w:val="0"/>
          <w:sz w:val="22"/>
        </w:rPr>
        <w:t>Esta investigación se inscribe simultáneamente en las tres líneas del Programa de Doctorado en Desarrollo Inclusivo y Sostenible de la Universidad Loyola Andalucía. En la línea Pobreza, Inclusión, Territorio y Cooperación, el trabajo analiza los territorios PDET como espacios privilegiados de inclusión productiva de poblaciones históricamente excluidas (firmantes de paz, comunidades campesinas en zonas de conflicto, organizaciones de mujeres rurales) y examina cómo la cooperación internacional —incluida la española vía AECID— puede articularse con instrumentos endógenos de gobernanza territorial. En la línea Gobernanza, Derechos Humanos y Fundamentales, la investigación operacionaliza la gobernanza democrática de las organizaciones cooperativas como derecho colectivo, examinando cómo la soberanía de datos y la trazabilidad blockchain pueden fortalecer —en lugar de erosionar— la autonomía organizacional. En la línea Capacidades Empresariales, Crecimiento Económico y Desarrollo, el modelo GDA propone una arquitectura concreta de capacidades empresariales colectivas que permite a las asociaciones caficultoras competir en cadenas globales sin perder su naturaleza cooperativa ni su identidad territorial. La Fundación ETEA - Instituto de Desarrollo, en su tradición de investigación aplicada para el desarrollo desde la economía social, ofrece el contexto institucional ideal para esta investigación: el modelo GDA encarna precisamente el tipo de articulación entre economía solidaria, sostenibilidad y desarrollo territorial que constituye el ADN del programa.</w:t>
      </w:r>
    </w:p>
    <w:p>
      <w:pPr>
        <w:spacing w:before="360" w:after="160"/>
      </w:pPr>
      <w:r>
        <w:rPr>
          <w:b/>
          <w:color w:val="8B1A1A"/>
          <w:sz w:val="28"/>
        </w:rPr>
        <w:t>4. Orientación metodológica</w:t>
      </w:r>
    </w:p>
    <w:p>
      <w:pPr>
        <w:spacing w:after="120"/>
        <w:jc w:val="both"/>
      </w:pPr>
      <w:r>
        <w:rPr>
          <w:b w:val="0"/>
          <w:i w:val="0"/>
          <w:sz w:val="22"/>
        </w:rPr>
        <w:t>La investigación adopta el paradigma de Design Science Research (DSR) (Hevner et al., 2004), que combina el rigor empírico de la investigación científica con la relevancia práctica del diseño de artefactos implementables. Este paradigma es coherente con la vocación del Programa de Desarrollo Inclusivo y Sostenible de generar conocimiento orientado a la transformación. El enfoque metodológico es mixto secuencial: el diagnóstico cualitativo de la Fase I calibra el diseño del modelo en la Fase II, y el consenso experto de la Fase II provee las distribuciones de entrada de la simulación estocástica de la Fase III.</w:t>
      </w:r>
    </w:p>
    <w:p>
      <w:pPr>
        <w:spacing w:after="120"/>
        <w:jc w:val="both"/>
      </w:pPr>
      <w:r>
        <w:rPr>
          <w:b w:val="0"/>
          <w:i w:val="0"/>
          <w:sz w:val="22"/>
        </w:rPr>
        <w:t>La Fase I — Diagnóstica establece la línea base del Valor Capturado en Origen (VCO₀): la proporción del precio final que retiene hoy la asociación en la cadena global de valor. Combina entrevistas semiestructuradas con líderes de organizaciones caficultoras de la red FEMNCAFE,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del modelo. Esta fase es metodológica y éticamente participativa: las comunidades co-validan los hallazgos y co-definen las prioridades del diseño posterior.</w:t>
      </w:r>
    </w:p>
    <w:p>
      <w:pPr>
        <w:spacing w:after="120"/>
        <w:jc w:val="both"/>
      </w:pPr>
      <w:r>
        <w:rPr>
          <w:b w:val="0"/>
          <w:i w:val="0"/>
          <w:sz w:val="22"/>
        </w:rPr>
        <w:t>La Fase II — Constructiva diseña, prototipa e itera los mecanismos del modelo GDA mediante talleres de diseño participativo con las comunidades caficultoras —en la tradición de la investigación acción participativa de Fals Borda— y un panel Delphi de validación de consenso con expertos en CGV, gobernanza cooperativa, blockchain agroalimentario y posconflicto colombiano. El Delphi no solo valida el diseño: sus rangos de estimación sobre el Índice de Gobernanza (IG), las fuentes de ingreso diversificadas (I₁–I₅) y el comportamiento del IPDET constituyen las distribuciones a priori que alimentan la simulación de la Fase III.</w:t>
      </w:r>
    </w:p>
    <w:p>
      <w:pPr>
        <w:spacing w:after="120"/>
        <w:jc w:val="both"/>
      </w:pPr>
      <w:r>
        <w:rPr>
          <w:b w:val="0"/>
          <w:i w:val="0"/>
          <w:sz w:val="22"/>
        </w:rPr>
        <w:t>La Fase III — Evaluativa responde dos preguntas anidadas mediante una simulación Monte Carlo de al menos 10.000 iteraciones con índices de sensibilidad de Sobol. Primero, ¿qué mecanismo contribuye más a la varianza del VCO —el bloque de gobernanza (IG) o el bloque tecnológico del modelo? Los índices de Sobol descomponen la varianza total del VCO en la contribución de cada variable, permitiendo una evaluación empírica de la hipótesis central: la gobernanza explica más varianza que la tecnología en la captura de valor en origen. Segundo, ¿el modelo GDA demuestra antifragilidad territorial? El marco DMDU (Decision Making Under Deep Uncertainty) genera escenarios de estrés severo —caída de precios, deterioro de seguridad, fallo institucional— y prueba si la respuesta del VCO es convexa: una asociación antifrágil no solo resiste los shocks sino que los aprovecha mediante la diversificación de ingresos. El estudio de caso embebido longitudinal en organizaciones piloto en territorios PDET y una encuesta a la red FEMNCAFE completan la validación empírica y de transferibilidad del modelo.</w:t>
      </w:r>
    </w:p>
    <w:p>
      <w:pPr>
        <w:spacing w:after="120"/>
        <w:jc w:val="both"/>
      </w:pPr>
      <w:r>
        <w:rPr>
          <w:b w:val="0"/>
          <w:i w:val="0"/>
          <w:sz w:val="22"/>
        </w:rPr>
        <w:t>El diseño ético es central: aprobación del comité de ética institucional, protocolos de consentimiento informado adaptados al contexto cultural y de seguridad de los territorios PDET, soberanía de datos garantizada técnicamente en la arquitectura blockchain, y compromiso de devolución de resultados a las comunidades participantes en lenguaje accesible y formatos apropiables. La investigación no extrae conocimiento de las comunidades: lo co-construye con ellas y se lo devuelve transformado en herramientas para su autonomía organizacional.</w:t>
      </w:r>
    </w:p>
    <w:p>
      <w:pPr>
        <w:spacing w:before="360" w:after="160"/>
      </w:pPr>
      <w:r>
        <w:rPr>
          <w:b/>
          <w:color w:val="8B1A1A"/>
          <w:sz w:val="28"/>
        </w:rPr>
        <w:t>5. Referencias</w:t>
      </w:r>
    </w:p>
    <w:p>
      <w:pPr>
        <w:spacing w:after="80"/>
        <w:ind w:left="567" w:hanging="567"/>
      </w:pPr>
      <w:r>
        <w:rPr>
          <w:sz w:val="20"/>
        </w:rPr>
        <w:t>Agrawal, A. (2001). Common property institutions and sustainable governance of resources. World Development, 29(10), 1649–1672. https://doi.org/10.1016/S0305-750X(01)00063-8</w:t>
      </w:r>
    </w:p>
    <w:p>
      <w:pPr>
        <w:spacing w:after="80"/>
        <w:ind w:left="567" w:hanging="567"/>
      </w:pPr>
      <w:r>
        <w:rPr>
          <w:sz w:val="20"/>
        </w:rPr>
        <w:t>Benito-Hernández, S., López-Cózar-Navarro, C., &amp; Priede-Bergamini, T. (2023). The influence of government support over environmental protection investment on SMEs. Business Ethics, the Environment &amp; Responsibility, 32, 836–846. https://doi.org/10.1111/beer.12496</w:t>
      </w:r>
    </w:p>
    <w:p>
      <w:pPr>
        <w:spacing w:after="80"/>
        <w:ind w:left="567" w:hanging="567"/>
      </w:pPr>
      <w:r>
        <w:rPr>
          <w:sz w:val="20"/>
        </w:rPr>
        <w:t>Cong, L. W., Li, Y., &amp; Wang, N. (2020). Tokenomics: Dynamic adoption and valuation. The Review of Financial Studies, 34(3), 1105–1155. https://doi.org/10.1093/rfs/hhaa089</w:t>
      </w:r>
    </w:p>
    <w:p>
      <w:pPr>
        <w:spacing w:after="80"/>
        <w:ind w:left="567" w:hanging="567"/>
      </w:pPr>
      <w:r>
        <w:rPr>
          <w:sz w:val="20"/>
        </w:rPr>
        <w:t>Coraggio, J. L. (2011). Economía social y solidaria: el trabajo antes que el capital. Ediciones Abya-Yala.</w:t>
      </w:r>
    </w:p>
    <w:p>
      <w:pPr>
        <w:spacing w:after="80"/>
        <w:ind w:left="567" w:hanging="567"/>
      </w:pPr>
      <w:r>
        <w:rPr>
          <w:sz w:val="20"/>
        </w:rPr>
        <w:t>Elmatsani, H. M., et al. (2026). Bridging the governance gap in agricultural blockchain-based smart contracts. Frontiers in Blockchain. https://doi.org/10.3389/fbloc.2026.1762861</w:t>
      </w:r>
    </w:p>
    <w:p>
      <w:pPr>
        <w:spacing w:after="80"/>
        <w:ind w:left="567" w:hanging="567"/>
      </w:pPr>
      <w:r>
        <w:rPr>
          <w:sz w:val="20"/>
        </w:rPr>
        <w:t>Escobar, A. (2007). La invención del Tercer Mundo: construcción y deconstrucción del desarrollo. Editorial El Perro y la Rana.</w:t>
      </w:r>
    </w:p>
    <w:p>
      <w:pPr>
        <w:spacing w:after="80"/>
        <w:ind w:left="567" w:hanging="567"/>
      </w:pPr>
      <w:r>
        <w:rPr>
          <w:sz w:val="20"/>
        </w:rPr>
        <w:t>Fals Borda, O. (1986). Conocimiento y poder popular. Siglo XXI Editores.</w:t>
      </w:r>
    </w:p>
    <w:p>
      <w:pPr>
        <w:spacing w:after="80"/>
        <w:ind w:left="567" w:hanging="567"/>
      </w:pPr>
      <w:r>
        <w:rPr>
          <w:sz w:val="20"/>
        </w:rPr>
        <w:t>Fitter, R., &amp; Kaplinsky, R. (2001). Who gains from product rents as the coffee market becomes more differentiated? IDS Bulletin, 32(3), 69–82. https://doi.org/10.1111/j.1759-5436.2001.mp32003008.x</w:t>
      </w:r>
    </w:p>
    <w:p>
      <w:pPr>
        <w:spacing w:after="80"/>
        <w:ind w:left="567" w:hanging="567"/>
      </w:pPr>
      <w:r>
        <w:rPr>
          <w:sz w:val="20"/>
        </w:rPr>
        <w:t>Gereffi, G., Humphrey, J., &amp; Sturgeon, T. (2005). The governance of global value chains. Review of International Political Economy, 12(1), 78–104. https://doi.org/10.1080/09692290500049805</w:t>
      </w:r>
    </w:p>
    <w:p>
      <w:pPr>
        <w:spacing w:after="80"/>
        <w:ind w:left="567" w:hanging="567"/>
      </w:pPr>
      <w:r>
        <w:rPr>
          <w:sz w:val="20"/>
        </w:rPr>
        <w:t>Global Coffee Platform, IDH, &amp; Solidaridad. (2024). The Grounds for Sharing: A study of value distribution in the coffee industry.</w:t>
      </w:r>
    </w:p>
    <w:p>
      <w:pPr>
        <w:spacing w:after="80"/>
        <w:ind w:left="567" w:hanging="567"/>
      </w:pPr>
      <w:r>
        <w:rPr>
          <w:sz w:val="20"/>
        </w:rPr>
        <w:t>Grabs, J., &amp; Ponte, S. (2019). The evolution of power in the global coffee value chain and production network. Journal of Economic Geography, 19(4), 803–828. https://doi.org/10.1093/jeg/lbz008</w:t>
      </w:r>
    </w:p>
    <w:p>
      <w:pPr>
        <w:spacing w:after="80"/>
        <w:ind w:left="567" w:hanging="567"/>
      </w:pPr>
      <w:r>
        <w:rPr>
          <w:sz w:val="20"/>
        </w:rPr>
        <w:t>Hanley, J. (2026). Climbing the coffee global value chain: Three decades of trade and upgrading. Journal of International Development, 38(1), 88–111. https://doi.org/10.1002/jid.70033</w:t>
      </w:r>
    </w:p>
    <w:p>
      <w:pPr>
        <w:spacing w:after="80"/>
        <w:ind w:left="567" w:hanging="567"/>
      </w:pPr>
      <w:r>
        <w:rPr>
          <w:sz w:val="20"/>
        </w:rPr>
        <w:t>Havemann, T., Negra, C., &amp; Werneck, F. (2020). Blended finance for agriculture. Agriculture and Human Values, 37, 1281–1292. https://doi.org/10.1007/s10460-020-10131-8</w:t>
      </w:r>
    </w:p>
    <w:p>
      <w:pPr>
        <w:spacing w:after="80"/>
        <w:ind w:left="567" w:hanging="567"/>
      </w:pPr>
      <w:r>
        <w:rPr>
          <w:sz w:val="20"/>
        </w:rPr>
        <w:t>Hevner, A. R., March, S. T., Park, J., &amp; Ram, S. (2004). Design science in information systems research. MIS Quarterly, 28(1), 75–105. https://doi.org/10.2307/25148625</w:t>
      </w:r>
    </w:p>
    <w:p>
      <w:pPr>
        <w:spacing w:after="80"/>
        <w:ind w:left="567" w:hanging="567"/>
      </w:pPr>
      <w:r>
        <w:rPr>
          <w:sz w:val="20"/>
        </w:rPr>
        <w:t>Hornborg, A. (2016). Global magic: Technologies of appropriation from ancient Rome to Wall Street. Palgrave Macmillan.</w:t>
      </w:r>
    </w:p>
    <w:p>
      <w:pPr>
        <w:spacing w:after="80"/>
        <w:ind w:left="567" w:hanging="567"/>
      </w:pPr>
      <w:r>
        <w:rPr>
          <w:sz w:val="20"/>
        </w:rPr>
        <w:t>Humphrey, J., &amp; Schmitz, H. (2002). How does insertion in global value chains affect upgrading in industrial clusters? Regional Studies, 36(9), 1017–1027. https://doi.org/10.1080/0034340022000022198</w:t>
      </w:r>
    </w:p>
    <w:p>
      <w:pPr>
        <w:spacing w:after="80"/>
        <w:ind w:left="567" w:hanging="567"/>
      </w:pPr>
      <w:r>
        <w:rPr>
          <w:sz w:val="20"/>
        </w:rPr>
        <w:t>Justice for Colombia. (2026). Rural development programmes created in peace agreement extended by ten years.</w:t>
      </w:r>
    </w:p>
    <w:p>
      <w:pPr>
        <w:spacing w:after="80"/>
        <w:ind w:left="567" w:hanging="567"/>
      </w:pPr>
      <w:r>
        <w:rPr>
          <w:sz w:val="20"/>
        </w:rPr>
        <w:t>Merbah, N., &amp; Benito-Hernández, S. (2023). Sustainability labels in the Spanish coffee market: A hedonic price approach. Spanish Journal of Agricultural Research, 21(1), e0102. https://doi.org/10.5424/sjar/2023211-19510</w:t>
      </w:r>
    </w:p>
    <w:p>
      <w:pPr>
        <w:spacing w:after="80"/>
        <w:ind w:left="567" w:hanging="567"/>
      </w:pPr>
      <w:r>
        <w:rPr>
          <w:sz w:val="20"/>
        </w:rPr>
        <w:t>Muradian, R., et al. (2025). Will the EU deforestation-free products regulation reduce tropical forest loss? Ecological Economics, 227, 108389. https://doi.org/10.1016/j.ecolecon.2024.108389</w:t>
      </w:r>
    </w:p>
    <w:p>
      <w:pPr>
        <w:spacing w:after="80"/>
        <w:ind w:left="567" w:hanging="567"/>
      </w:pPr>
      <w:r>
        <w:rPr>
          <w:sz w:val="20"/>
        </w:rPr>
        <w:t>Ortmann, G. F., &amp; King, R. P. (2007). Agricultural cooperatives I: History, theory and problems. Agrekon, 46(1), 18–46. https://doi.org/10.1080/03031853.2007.9523760</w:t>
      </w:r>
    </w:p>
    <w:p>
      <w:pPr>
        <w:spacing w:after="80"/>
        <w:ind w:left="567" w:hanging="567"/>
      </w:pPr>
      <w:r>
        <w:rPr>
          <w:sz w:val="20"/>
        </w:rPr>
        <w:t>Ostrom, E. (1990). Governing the commons: The evolution of institutions for collective action. Cambridge University Press.</w:t>
      </w:r>
    </w:p>
    <w:p>
      <w:pPr>
        <w:spacing w:after="80"/>
        <w:ind w:left="567" w:hanging="567"/>
      </w:pPr>
      <w:r>
        <w:rPr>
          <w:sz w:val="20"/>
        </w:rPr>
        <w:t>Pirard, R., Pacheco, P., &amp; Romero, C. (2023). The role of hybrid governance in supporting deforestation-free trade. Ecological Economics, 210, 107867. https://doi.org/10.1016/j.ecolecon.2023.107867</w:t>
      </w:r>
    </w:p>
    <w:p>
      <w:pPr>
        <w:spacing w:after="80"/>
        <w:ind w:left="567" w:hanging="567"/>
      </w:pPr>
      <w:r>
        <w:rPr>
          <w:sz w:val="20"/>
        </w:rPr>
        <w:t>Presidencia de la República de Colombia. (2017). Decreto 893 de 2017.</w:t>
      </w:r>
    </w:p>
    <w:p>
      <w:pPr>
        <w:spacing w:after="80"/>
        <w:ind w:left="567" w:hanging="567"/>
      </w:pPr>
      <w:r>
        <w:rPr>
          <w:sz w:val="20"/>
        </w:rPr>
        <w:t>Rettberg, A. (2010). Global markets, local conflict. Latin American Perspectives, 37(2), 111–132. https://doi.org/10.1177/0094582x09356961</w:t>
      </w:r>
    </w:p>
    <w:p>
      <w:pPr>
        <w:spacing w:after="80"/>
        <w:ind w:left="567" w:hanging="567"/>
      </w:pPr>
      <w:r>
        <w:rPr>
          <w:sz w:val="20"/>
        </w:rPr>
        <w:t>Schletz, M., et al. (2023). Blockchain and regenerative finance. Frontiers in Blockchain, 6, 1165133. https://doi.org/10.3389/fbloc.2023.1165133</w:t>
      </w:r>
    </w:p>
    <w:p>
      <w:pPr>
        <w:spacing w:after="80"/>
        <w:ind w:left="567" w:hanging="567"/>
      </w:pPr>
      <w:r>
        <w:rPr>
          <w:sz w:val="20"/>
        </w:rPr>
        <w:t>Talbot, J. M. (1997). Where does your coffee dollar go? Studies in Comparative International Development, 32(1), 56–91. https://doi.org/10.1007/bf02696306</w:t>
      </w:r>
    </w:p>
    <w:p>
      <w:pPr>
        <w:spacing w:after="80"/>
        <w:ind w:left="567" w:hanging="567"/>
      </w:pPr>
      <w:r>
        <w:rPr>
          <w:sz w:val="20"/>
        </w:rPr>
        <w:t>Taleb, N. N. (2012). Antifragile: Things that gain from disorder. Random House.</w:t>
      </w:r>
    </w:p>
    <w:p>
      <w:pPr>
        <w:spacing w:after="80"/>
        <w:ind w:left="567" w:hanging="567"/>
      </w:pPr>
      <w:r>
        <w:rPr>
          <w:sz w:val="20"/>
        </w:rPr>
        <w:t>Teece, D. J., Pisano, G., &amp; Shuen, A. (1997). Dynamic capabilities and strategic management. Strategic Management Journal, 18(7), 509–533.</w:t>
      </w:r>
    </w:p>
    <w:p>
      <w:pPr>
        <w:spacing w:after="80"/>
        <w:ind w:left="567" w:hanging="567"/>
      </w:pPr>
      <w:r>
        <w:rPr>
          <w:sz w:val="20"/>
        </w:rPr>
        <w:t>Wallerstein, I. (1974). The modern world-system I. Academic Press.</w:t>
      </w:r>
    </w:p>
    <w:p>
      <w:pPr>
        <w:spacing w:after="80"/>
        <w:ind w:left="567" w:hanging="567"/>
      </w:pPr>
      <w:r>
        <w:rPr>
          <w:sz w:val="20"/>
        </w:rPr>
        <w:t>Werbach, K. (2018). The blockchain and the new architecture of trust. MIT Press.</w:t>
      </w:r>
    </w:p>
    <w:p>
      <w:pPr>
        <w:spacing w:after="80"/>
        <w:ind w:left="567" w:hanging="567"/>
      </w:pPr>
      <w:r>
        <w:rPr>
          <w:sz w:val="20"/>
        </w:rPr>
        <w:t>Yeung, H. W.-C., &amp; Coe, N. M. (2015). Toward a dynamic theory of global production networks. Economic Geography, 91(1), 29–58. https://doi.org/10.1111/ecge.12063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