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472A"/>
          <w:sz w:val="28"/>
        </w:rPr>
        <w:t>UNIVERSIDAD POLITÉCNICA DE MADRID</w:t>
      </w:r>
    </w:p>
    <w:p>
      <w:pPr>
        <w:jc w:val="center"/>
      </w:pPr>
      <w:r>
        <w:rPr>
          <w:sz w:val="22"/>
        </w:rPr>
        <w:t>Escuela Técnica Superior de Ingeniería Agronómica, Alimentaria y de Biosistemas</w:t>
      </w:r>
    </w:p>
    <w:p>
      <w:pPr>
        <w:jc w:val="center"/>
      </w:pPr>
      <w:r>
        <w:rPr>
          <w:i/>
          <w:sz w:val="22"/>
        </w:rPr>
        <w:t>Programa de Doctorado en Tecnología Agroambiental para una Agricultura Sostenible (TAPAS)</w:t>
      </w:r>
    </w:p>
    <w:p>
      <w:pPr>
        <w:spacing w:before="960"/>
        <w:jc w:val="center"/>
      </w:pPr>
      <w:r>
        <w:rPr>
          <w:b/>
          <w:color w:val="1A472A"/>
          <w:sz w:val="30"/>
        </w:rPr>
        <w:t>TABLA DE CONTENIDO — TESIS DOCTORAL</w:t>
      </w:r>
    </w:p>
    <w:p>
      <w:pPr>
        <w:spacing w:before="480"/>
        <w:jc w:val="center"/>
      </w:pPr>
      <w:r>
        <w:rPr>
          <w:b/>
          <w:sz w:val="26"/>
        </w:rPr>
        <w:t>GOBERNANZA DIGITAL ASOCIATIVA:</w:t>
        <w:br/>
        <w:t>UN MODELO SOCIOTÉCNICO PARA LA CAPTURA DE VALOR EN ORIGEN</w:t>
        <w:br/>
        <w:t>Y LA ANTIFRAGILIDAD TERRITORIAL EN ORGANIZACIONES CAFICULTORAS</w:t>
        <w:br/>
        <w:t>DE MUNICIPIOS PDET EN COLOMBIA</w:t>
      </w:r>
    </w:p>
    <w:p>
      <w:pPr>
        <w:spacing w:before="960"/>
        <w:jc w:val="center"/>
      </w:pPr>
      <w:r>
        <w:rPr>
          <w:sz w:val="22"/>
        </w:rPr>
        <w:t>Candidato:</w:t>
      </w:r>
    </w:p>
    <w:p>
      <w:pPr>
        <w:jc w:val="center"/>
      </w:pPr>
      <w:r>
        <w:rPr>
          <w:b/>
          <w:sz w:val="24"/>
        </w:rPr>
        <w:t>Daniel Alejandro Pajoy Bastos</w:t>
      </w:r>
    </w:p>
    <w:p>
      <w:pPr>
        <w:spacing w:before="360"/>
        <w:jc w:val="center"/>
      </w:pPr>
      <w:r>
        <w:rPr>
          <w:sz w:val="22"/>
        </w:rPr>
        <w:t>Directora propuesta:</w:t>
      </w:r>
    </w:p>
    <w:p>
      <w:pPr>
        <w:jc w:val="center"/>
      </w:pPr>
      <w:r>
        <w:rPr>
          <w:b/>
          <w:sz w:val="24"/>
        </w:rPr>
        <w:t>Dra. Sonia Benito Hernández</w:t>
      </w:r>
    </w:p>
    <w:p>
      <w:pPr>
        <w:spacing w:before="960"/>
        <w:jc w:val="center"/>
      </w:pPr>
      <w:r>
        <w:rPr>
          <w:i/>
          <w:color w:val="808080"/>
          <w:sz w:val="20"/>
        </w:rPr>
        <w:t>Versión 0.2 — Junio 2026</w:t>
      </w:r>
    </w:p>
    <w:p>
      <w:pPr>
        <w:jc w:val="center"/>
      </w:pPr>
      <w:r>
        <w:rPr>
          <w:i/>
          <w:color w:val="808080"/>
          <w:sz w:val="20"/>
        </w:rPr>
        <w:t>Modalidad virtual desde Popayán, Colombia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NOTA SOBRE ESTA TABLA DE CONTENIDO</w:t>
      </w:r>
    </w:p>
    <w:p>
      <w:r>
        <w:rPr>
          <w:b w:val="0"/>
          <w:i/>
          <w:sz w:val="22"/>
        </w:rPr>
        <w:t>Esta tabla de contenido sigue la estructura editorial avalada por la directora propuesta, basada en la tesis doctoral:</w:t>
      </w:r>
    </w:p>
    <w:p>
      <w:pPr>
        <w:ind w:left="567"/>
      </w:pPr>
      <w:r>
        <w:rPr>
          <w:i/>
          <w:sz w:val="20"/>
        </w:rPr>
        <w:t>Merbah, N. (2023). Valoración de las etiquetas de sostenibilidad para el café en España: el modelo de precio hedónico, la disposición a pagar. ETSIAAB-UPM. https://oa.upm.es/73132/</w:t>
      </w:r>
    </w:p>
    <w:p>
      <w:r>
        <w:rPr>
          <w:b w:val="0"/>
          <w:i w:val="0"/>
          <w:sz w:val="22"/>
        </w:rPr>
        <w:t>El esquema mantiene la lógica de embudo característica del grupo de investigación: parte del contexto general, transita por la fundamentación teórica, despliega tres capítulos empíricos correspondientes a las tres fases metodológicas (que serán los tres artículos derivados de la tesis) y cierra con una conclusión integradora.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PRELIMINARES</w:t>
      </w:r>
    </w:p>
    <w:p>
      <w:r>
        <w:rPr>
          <w:b w:val="0"/>
          <w:i w:val="0"/>
          <w:sz w:val="22"/>
        </w:rPr>
        <w:t>• ABSTRACT (Inglés)</w:t>
      </w:r>
    </w:p>
    <w:p>
      <w:r>
        <w:rPr>
          <w:b w:val="0"/>
          <w:i w:val="0"/>
          <w:sz w:val="22"/>
        </w:rPr>
        <w:t>• RESUMEN (Español)</w:t>
      </w:r>
    </w:p>
    <w:p>
      <w:r>
        <w:rPr>
          <w:b w:val="0"/>
          <w:i w:val="0"/>
          <w:sz w:val="22"/>
        </w:rPr>
        <w:t>• LISTA DE TABLAS</w:t>
      </w:r>
    </w:p>
    <w:p>
      <w:r>
        <w:rPr>
          <w:b w:val="0"/>
          <w:i w:val="0"/>
          <w:sz w:val="22"/>
        </w:rPr>
        <w:t>• LISTA DE FIGURAS</w:t>
      </w:r>
    </w:p>
    <w:p>
      <w:r>
        <w:rPr>
          <w:b w:val="0"/>
          <w:i w:val="0"/>
          <w:sz w:val="22"/>
        </w:rPr>
        <w:t>• LISTA DE ACRÓNIMOS Y ABREVIATURAS</w:t>
      </w:r>
    </w:p>
    <w:p>
      <w:pPr>
        <w:spacing w:before="240" w:after="240"/>
        <w:jc w:val="center"/>
      </w:pPr>
      <w:r>
        <w:rPr>
          <w:color w:val="999999"/>
        </w:rPr>
        <w:t>— — —</w:t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1: INTRODUCCIÓN A LA TESIS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1.1. Introducción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1.2. Contexto de la investigación</w:t>
      </w:r>
    </w:p>
    <w:p>
      <w:pPr>
        <w:spacing w:after="40"/>
        <w:ind w:left="283"/>
      </w:pPr>
      <w:r>
        <w:rPr>
          <w:sz w:val="22"/>
        </w:rPr>
        <w:t>1.2.1. El café en la economía colombiana</w:t>
      </w:r>
    </w:p>
    <w:p>
      <w:pPr>
        <w:spacing w:after="40"/>
        <w:ind w:left="283"/>
      </w:pPr>
      <w:r>
        <w:rPr>
          <w:sz w:val="22"/>
        </w:rPr>
        <w:t>1.2.2. Distribución del valor en la cadena global</w:t>
      </w:r>
    </w:p>
    <w:p>
      <w:pPr>
        <w:spacing w:after="40"/>
        <w:ind w:left="283"/>
      </w:pPr>
      <w:r>
        <w:rPr>
          <w:sz w:val="22"/>
        </w:rPr>
        <w:t>1.2.3. El minifundio cafetero como universo de estudio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1.3. El posconflicto colombiano y los PDET</w:t>
      </w:r>
    </w:p>
    <w:p>
      <w:pPr>
        <w:spacing w:after="40"/>
        <w:ind w:left="283"/>
      </w:pPr>
      <w:r>
        <w:rPr>
          <w:sz w:val="22"/>
        </w:rPr>
        <w:t>1.3.1. El Acuerdo de Paz de 2016</w:t>
      </w:r>
    </w:p>
    <w:p>
      <w:pPr>
        <w:spacing w:after="40"/>
        <w:ind w:left="283"/>
      </w:pPr>
      <w:r>
        <w:rPr>
          <w:sz w:val="22"/>
        </w:rPr>
        <w:t>1.3.2. Los Programas de Desarrollo con Enfoque Territorial</w:t>
      </w:r>
    </w:p>
    <w:p>
      <w:pPr>
        <w:spacing w:after="40"/>
        <w:ind w:left="283"/>
      </w:pPr>
      <w:r>
        <w:rPr>
          <w:sz w:val="22"/>
        </w:rPr>
        <w:t>1.3.3. La caficultura como vehículo de reincorporación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1.4. La gobernanza como factor habilitante</w:t>
      </w:r>
    </w:p>
    <w:p>
      <w:pPr>
        <w:spacing w:after="40"/>
        <w:ind w:left="283"/>
      </w:pPr>
      <w:r>
        <w:rPr>
          <w:sz w:val="22"/>
        </w:rPr>
        <w:t>1.4.1. Gobernanza de comunes en organizaciones productoras</w:t>
      </w:r>
    </w:p>
    <w:p>
      <w:pPr>
        <w:spacing w:after="40"/>
        <w:ind w:left="283"/>
      </w:pPr>
      <w:r>
        <w:rPr>
          <w:sz w:val="22"/>
        </w:rPr>
        <w:t>1.4.2. La transformación digital de las asociaciones rurales</w:t>
      </w:r>
    </w:p>
    <w:p>
      <w:pPr>
        <w:spacing w:after="40"/>
        <w:ind w:left="283"/>
      </w:pPr>
      <w:r>
        <w:rPr>
          <w:sz w:val="22"/>
        </w:rPr>
        <w:t>1.4.3. La sostenibilidad como atributo de valor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1.5. Planteamiento del problema de investigación</w:t>
      </w:r>
    </w:p>
    <w:p>
      <w:pPr>
        <w:spacing w:after="40"/>
        <w:ind w:left="283"/>
      </w:pPr>
      <w:r>
        <w:rPr>
          <w:sz w:val="22"/>
        </w:rPr>
        <w:t>1.5.1. La brecha del valor capturado en origen</w:t>
      </w:r>
    </w:p>
    <w:p>
      <w:pPr>
        <w:spacing w:after="40"/>
        <w:ind w:left="283"/>
      </w:pPr>
      <w:r>
        <w:rPr>
          <w:sz w:val="22"/>
        </w:rPr>
        <w:t>1.5.2. Los cuatro déficits estructurales</w:t>
      </w:r>
    </w:p>
    <w:p>
      <w:pPr>
        <w:spacing w:after="40"/>
        <w:ind w:left="283"/>
      </w:pPr>
      <w:r>
        <w:rPr>
          <w:sz w:val="22"/>
        </w:rPr>
        <w:t>1.5.3. Pregunta de investigación e hipótesis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1.6. Visión general de la metodología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1.7. Contribuciones esperadas</w:t>
      </w:r>
    </w:p>
    <w:p>
      <w:pPr>
        <w:spacing w:after="40"/>
        <w:ind w:left="283"/>
      </w:pPr>
      <w:r>
        <w:rPr>
          <w:sz w:val="22"/>
        </w:rPr>
        <w:t>1.7.1. Contribución teórica</w:t>
      </w:r>
    </w:p>
    <w:p>
      <w:pPr>
        <w:spacing w:after="40"/>
        <w:ind w:left="283"/>
      </w:pPr>
      <w:r>
        <w:rPr>
          <w:sz w:val="22"/>
        </w:rPr>
        <w:t>1.7.2. Contribución metodológica</w:t>
      </w:r>
    </w:p>
    <w:p>
      <w:pPr>
        <w:spacing w:after="40"/>
        <w:ind w:left="283"/>
      </w:pPr>
      <w:r>
        <w:rPr>
          <w:sz w:val="22"/>
        </w:rPr>
        <w:t>1.7.3. Contribución praxeológica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1.8. Estructura de la tesis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2: EL CAFÉ EN COLOMBIA Y EN EL MUNDO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2.1. Introducción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2.2. Historia del café en Colombia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2.3. Tendencias mundiales en la producción</w:t>
      </w:r>
    </w:p>
    <w:p>
      <w:pPr>
        <w:spacing w:after="40"/>
        <w:ind w:left="283"/>
      </w:pPr>
      <w:r>
        <w:rPr>
          <w:sz w:val="22"/>
        </w:rPr>
        <w:t>2.3.1. Principales países productores</w:t>
      </w:r>
    </w:p>
    <w:p>
      <w:pPr>
        <w:spacing w:after="40"/>
        <w:ind w:left="283"/>
      </w:pPr>
      <w:r>
        <w:rPr>
          <w:sz w:val="22"/>
        </w:rPr>
        <w:t>2.3.2. Posición de Colombia en el mercado mundial</w:t>
      </w:r>
    </w:p>
    <w:p>
      <w:pPr>
        <w:spacing w:after="40"/>
        <w:ind w:left="283"/>
      </w:pPr>
      <w:r>
        <w:rPr>
          <w:sz w:val="22"/>
        </w:rPr>
        <w:t>2.3.3. Evolución de la productividad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2.4. Consumo, importaciones y exportaciones</w:t>
      </w:r>
    </w:p>
    <w:p>
      <w:pPr>
        <w:spacing w:after="40"/>
        <w:ind w:left="283"/>
      </w:pPr>
      <w:r>
        <w:rPr>
          <w:sz w:val="22"/>
        </w:rPr>
        <w:t>2.4.1. Principales mercados de destino del café colombiano</w:t>
      </w:r>
    </w:p>
    <w:p>
      <w:pPr>
        <w:spacing w:after="40"/>
        <w:ind w:left="283"/>
      </w:pPr>
      <w:r>
        <w:rPr>
          <w:sz w:val="22"/>
        </w:rPr>
        <w:t>2.4.2. Estados Unidos como mercado principal</w:t>
      </w:r>
    </w:p>
    <w:p>
      <w:pPr>
        <w:spacing w:after="40"/>
        <w:ind w:left="283"/>
      </w:pPr>
      <w:r>
        <w:rPr>
          <w:sz w:val="22"/>
        </w:rPr>
        <w:t>2.4.3. La Unión Europea como mercado estratégico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2.5. Precios del café</w:t>
      </w:r>
    </w:p>
    <w:p>
      <w:pPr>
        <w:spacing w:after="40"/>
        <w:ind w:left="283"/>
      </w:pPr>
      <w:r>
        <w:rPr>
          <w:sz w:val="22"/>
        </w:rPr>
        <w:t>2.5.1. El Contrato C y la formación internacional de precios</w:t>
      </w:r>
    </w:p>
    <w:p>
      <w:pPr>
        <w:spacing w:after="40"/>
        <w:ind w:left="283"/>
      </w:pPr>
      <w:r>
        <w:rPr>
          <w:sz w:val="22"/>
        </w:rPr>
        <w:t>2.5.2. El precio interno colombiano y el FEPCafé</w:t>
      </w:r>
    </w:p>
    <w:p>
      <w:pPr>
        <w:spacing w:after="40"/>
        <w:ind w:left="283"/>
      </w:pPr>
      <w:r>
        <w:rPr>
          <w:sz w:val="22"/>
        </w:rPr>
        <w:t>2.5.3. Diferencial UGQ y prima de calidad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2.6. La cadena de valor del café colombiano</w:t>
      </w:r>
    </w:p>
    <w:p>
      <w:pPr>
        <w:spacing w:after="40"/>
        <w:ind w:left="283"/>
      </w:pPr>
      <w:r>
        <w:rPr>
          <w:sz w:val="22"/>
        </w:rPr>
        <w:t>2.6.1. Eslabones productivos y comerciales</w:t>
      </w:r>
    </w:p>
    <w:p>
      <w:pPr>
        <w:spacing w:after="40"/>
        <w:ind w:left="283"/>
      </w:pPr>
      <w:r>
        <w:rPr>
          <w:sz w:val="22"/>
        </w:rPr>
        <w:t>2.6.2. Distribución del valor entre actores</w:t>
      </w:r>
    </w:p>
    <w:p>
      <w:pPr>
        <w:spacing w:after="40"/>
        <w:ind w:left="283"/>
      </w:pPr>
      <w:r>
        <w:rPr>
          <w:sz w:val="22"/>
        </w:rPr>
        <w:t>2.6.3. El caficultor en el eslabón de menor captura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2.7. Segmentación del café</w:t>
      </w:r>
    </w:p>
    <w:p>
      <w:pPr>
        <w:spacing w:after="40"/>
        <w:ind w:left="283"/>
      </w:pPr>
      <w:r>
        <w:rPr>
          <w:sz w:val="22"/>
        </w:rPr>
        <w:t>2.7.1. Café convencional vs. cafés especiales</w:t>
      </w:r>
    </w:p>
    <w:p>
      <w:pPr>
        <w:spacing w:after="40"/>
        <w:ind w:left="283"/>
      </w:pPr>
      <w:r>
        <w:rPr>
          <w:sz w:val="22"/>
        </w:rPr>
        <w:t>2.7.2. Métodos de procesamiento (lavado, honey, natural)</w:t>
      </w:r>
    </w:p>
    <w:p>
      <w:pPr>
        <w:spacing w:after="40"/>
        <w:ind w:left="283"/>
      </w:pPr>
      <w:r>
        <w:rPr>
          <w:sz w:val="22"/>
        </w:rPr>
        <w:t>2.7.3. Café de origen y trazabilidad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2.8. Políticas e institucionalidad cafetera en Colombia</w:t>
      </w:r>
    </w:p>
    <w:p>
      <w:pPr>
        <w:spacing w:after="40"/>
        <w:ind w:left="283"/>
      </w:pPr>
      <w:r>
        <w:rPr>
          <w:sz w:val="22"/>
        </w:rPr>
        <w:t>2.8.1. La Federación Nacional de Cafeteros (FNC)</w:t>
      </w:r>
    </w:p>
    <w:p>
      <w:pPr>
        <w:spacing w:after="40"/>
        <w:ind w:left="283"/>
      </w:pPr>
      <w:r>
        <w:rPr>
          <w:sz w:val="22"/>
        </w:rPr>
        <w:t>2.8.2. El FEPCafé y el costo medio de producción</w:t>
      </w:r>
    </w:p>
    <w:p>
      <w:pPr>
        <w:spacing w:after="40"/>
        <w:ind w:left="283"/>
      </w:pPr>
      <w:r>
        <w:rPr>
          <w:sz w:val="22"/>
        </w:rPr>
        <w:t>2.8.3. Programas de apoyo y financiamiento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2.9. Caficultura y posconflicto</w:t>
      </w:r>
    </w:p>
    <w:p>
      <w:pPr>
        <w:spacing w:after="40"/>
        <w:ind w:left="283"/>
      </w:pPr>
      <w:r>
        <w:rPr>
          <w:sz w:val="22"/>
        </w:rPr>
        <w:t>2.9.1. Municipios PDET cafeteros</w:t>
      </w:r>
    </w:p>
    <w:p>
      <w:pPr>
        <w:spacing w:after="40"/>
        <w:ind w:left="283"/>
      </w:pPr>
      <w:r>
        <w:rPr>
          <w:sz w:val="22"/>
        </w:rPr>
        <w:t>2.9.2. Iniciativas de café para la paz</w:t>
      </w:r>
    </w:p>
    <w:p>
      <w:pPr>
        <w:spacing w:after="40"/>
        <w:ind w:left="283"/>
      </w:pPr>
      <w:r>
        <w:rPr>
          <w:sz w:val="22"/>
        </w:rPr>
        <w:t>2.9.3. La red FEMNCAFE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3: GOBERNANZA Y CADENAS GLOBALES DE VALOR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3.1. Introducción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3.2. El marco analítico de las Cadenas Globales de Valor</w:t>
      </w:r>
    </w:p>
    <w:p>
      <w:pPr>
        <w:spacing w:after="40"/>
        <w:ind w:left="283"/>
      </w:pPr>
      <w:r>
        <w:rPr>
          <w:sz w:val="22"/>
        </w:rPr>
        <w:t>3.2.1. Origen y evolución del concepto</w:t>
      </w:r>
    </w:p>
    <w:p>
      <w:pPr>
        <w:spacing w:after="40"/>
        <w:ind w:left="283"/>
      </w:pPr>
      <w:r>
        <w:rPr>
          <w:sz w:val="22"/>
        </w:rPr>
        <w:t>3.2.2. Las tres variables determinantes de Gereffi, Humphrey y Sturgeon</w:t>
      </w:r>
    </w:p>
    <w:p>
      <w:pPr>
        <w:spacing w:after="40"/>
        <w:ind w:left="283"/>
      </w:pPr>
      <w:r>
        <w:rPr>
          <w:sz w:val="22"/>
        </w:rPr>
        <w:t>3.2.3. Los cinco tipos de gobernanza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3.3. La cadena cautiva del café colombiano</w:t>
      </w:r>
    </w:p>
    <w:p>
      <w:pPr>
        <w:spacing w:after="40"/>
        <w:ind w:left="283"/>
      </w:pPr>
      <w:r>
        <w:rPr>
          <w:sz w:val="22"/>
        </w:rPr>
        <w:t>3.3.1. Caracterización como oligopsonio</w:t>
      </w:r>
    </w:p>
    <w:p>
      <w:pPr>
        <w:spacing w:after="40"/>
        <w:ind w:left="283"/>
      </w:pPr>
      <w:r>
        <w:rPr>
          <w:sz w:val="22"/>
        </w:rPr>
        <w:t>3.3.2. Mecanismos de extracción de renta territorial</w:t>
      </w:r>
    </w:p>
    <w:p>
      <w:pPr>
        <w:spacing w:after="40"/>
        <w:ind w:left="283"/>
      </w:pPr>
      <w:r>
        <w:rPr>
          <w:sz w:val="22"/>
        </w:rPr>
        <w:t>3.3.3. Asimetrías estructurales de poder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3.4. La evolución del poder en la cadena del café (Grabs y Ponte, 2019)</w:t>
      </w:r>
    </w:p>
    <w:p>
      <w:pPr>
        <w:spacing w:after="40"/>
        <w:ind w:left="283"/>
      </w:pPr>
      <w:r>
        <w:rPr>
          <w:sz w:val="22"/>
        </w:rPr>
        <w:t>3.4.1. Tres fases históricas (pre-1989, 1989-2000, post-2000)</w:t>
      </w:r>
    </w:p>
    <w:p>
      <w:pPr>
        <w:spacing w:after="40"/>
        <w:ind w:left="283"/>
      </w:pPr>
      <w:r>
        <w:rPr>
          <w:sz w:val="22"/>
        </w:rPr>
        <w:t>3.4.2. Los cuatro tipos de poder en la cadena</w:t>
      </w:r>
    </w:p>
    <w:p>
      <w:pPr>
        <w:spacing w:after="40"/>
        <w:ind w:left="283"/>
      </w:pPr>
      <w:r>
        <w:rPr>
          <w:sz w:val="22"/>
        </w:rPr>
        <w:t>3.4.3. La paradoja de los sellos de sostenibilidad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3.5. Upgrading en cadenas globales</w:t>
      </w:r>
    </w:p>
    <w:p>
      <w:pPr>
        <w:spacing w:after="40"/>
        <w:ind w:left="283"/>
      </w:pPr>
      <w:r>
        <w:rPr>
          <w:sz w:val="22"/>
        </w:rPr>
        <w:t>3.5.1. Upgrading de proceso, producto, funcional e intersectorial</w:t>
      </w:r>
    </w:p>
    <w:p>
      <w:pPr>
        <w:spacing w:after="40"/>
        <w:ind w:left="283"/>
      </w:pPr>
      <w:r>
        <w:rPr>
          <w:sz w:val="22"/>
        </w:rPr>
        <w:t>3.5.2. Trayectorias posibles para asociaciones de pequeños productores</w:t>
      </w:r>
    </w:p>
    <w:p>
      <w:pPr>
        <w:spacing w:after="40"/>
        <w:ind w:left="283"/>
      </w:pPr>
      <w:r>
        <w:rPr>
          <w:sz w:val="22"/>
        </w:rPr>
        <w:t>3.5.3. Hacia cadenas modulares y relacionales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3.6. Redes de producción global (GPN 2.0)</w:t>
      </w:r>
    </w:p>
    <w:p>
      <w:pPr>
        <w:spacing w:after="40"/>
        <w:ind w:left="283"/>
      </w:pPr>
      <w:r>
        <w:rPr>
          <w:sz w:val="22"/>
        </w:rPr>
        <w:t>3.6.1. Actores no empresariales en la cadena</w:t>
      </w:r>
    </w:p>
    <w:p>
      <w:pPr>
        <w:spacing w:after="40"/>
        <w:ind w:left="283"/>
      </w:pPr>
      <w:r>
        <w:rPr>
          <w:sz w:val="22"/>
        </w:rPr>
        <w:t>3.6.2. El papel del Estado, las ONG y la cooperación internacional</w:t>
      </w:r>
    </w:p>
    <w:p>
      <w:pPr>
        <w:spacing w:after="40"/>
        <w:ind w:left="283"/>
      </w:pPr>
      <w:r>
        <w:rPr>
          <w:sz w:val="22"/>
        </w:rPr>
        <w:t>3.6.3. Aplicación al contexto PDET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3.7. Diagnóstico del café colombiano como caso paradigmático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4: GOBERNANZA DE COMUNES, POSCONFLICTO Y SOSTENIBILIDAD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4.1. Introducción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4.2. La teoría de gobernanza de comunes (Ostrom, 1990)</w:t>
      </w:r>
    </w:p>
    <w:p>
      <w:pPr>
        <w:spacing w:after="40"/>
        <w:ind w:left="283"/>
      </w:pPr>
      <w:r>
        <w:rPr>
          <w:sz w:val="22"/>
        </w:rPr>
        <w:t>4.2.1. El problema de los recursos de uso común</w:t>
      </w:r>
    </w:p>
    <w:p>
      <w:pPr>
        <w:spacing w:after="40"/>
        <w:ind w:left="283"/>
      </w:pPr>
      <w:r>
        <w:rPr>
          <w:sz w:val="22"/>
        </w:rPr>
        <w:t>4.2.2. Los ocho principios de diseño institucional</w:t>
      </w:r>
    </w:p>
    <w:p>
      <w:pPr>
        <w:spacing w:after="40"/>
        <w:ind w:left="283"/>
      </w:pPr>
      <w:r>
        <w:rPr>
          <w:sz w:val="22"/>
        </w:rPr>
        <w:t>4.2.3. Validación empírica multicontextual (Agrawal, 2001)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4.3. Capital social y posconflicto en Colombia</w:t>
      </w:r>
    </w:p>
    <w:p>
      <w:pPr>
        <w:spacing w:after="40"/>
        <w:ind w:left="283"/>
      </w:pPr>
      <w:r>
        <w:rPr>
          <w:sz w:val="22"/>
        </w:rPr>
        <w:t>4.3.1. Erosión del capital social por el conflicto armado (Rettberg, 2010)</w:t>
      </w:r>
    </w:p>
    <w:p>
      <w:pPr>
        <w:spacing w:after="40"/>
        <w:ind w:left="283"/>
      </w:pPr>
      <w:r>
        <w:rPr>
          <w:sz w:val="22"/>
        </w:rPr>
        <w:t>4.3.2. La cultura colectiva de los firmantes de paz como activo</w:t>
      </w:r>
    </w:p>
    <w:p>
      <w:pPr>
        <w:spacing w:after="40"/>
        <w:ind w:left="283"/>
      </w:pPr>
      <w:r>
        <w:rPr>
          <w:sz w:val="22"/>
        </w:rPr>
        <w:t>4.3.3. Ausencia estatal histórica como causa estructural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4.4. Cooperativismo agroalimentario y sus fallas (Ortmann y King, 2007)</w:t>
      </w:r>
    </w:p>
    <w:p>
      <w:pPr>
        <w:spacing w:after="40"/>
        <w:ind w:left="283"/>
      </w:pPr>
      <w:r>
        <w:rPr>
          <w:sz w:val="22"/>
        </w:rPr>
        <w:t>4.4.1. Estructuras de gobernanza en cooperativas cafeteras colombianas</w:t>
      </w:r>
    </w:p>
    <w:p>
      <w:pPr>
        <w:spacing w:after="40"/>
        <w:ind w:left="283"/>
      </w:pPr>
      <w:r>
        <w:rPr>
          <w:sz w:val="22"/>
        </w:rPr>
        <w:t>4.4.2. Análisis institucional de la red FEMNCAFE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4.5. Adaptación de Ostrom al posconflicto</w:t>
      </w:r>
    </w:p>
    <w:p>
      <w:pPr>
        <w:spacing w:after="40"/>
        <w:ind w:left="283"/>
      </w:pPr>
      <w:r>
        <w:rPr>
          <w:sz w:val="22"/>
        </w:rPr>
        <w:t>4.5.1. Reformulación contextual de los ocho principios</w:t>
      </w:r>
    </w:p>
    <w:p>
      <w:pPr>
        <w:spacing w:after="40"/>
        <w:ind w:left="283"/>
      </w:pPr>
      <w:r>
        <w:rPr>
          <w:sz w:val="22"/>
        </w:rPr>
        <w:t>4.5.2. Principios complementarios para alta fragilidad</w:t>
      </w:r>
    </w:p>
    <w:p>
      <w:pPr>
        <w:spacing w:after="40"/>
        <w:ind w:left="283"/>
      </w:pPr>
      <w:r>
        <w:rPr>
          <w:sz w:val="22"/>
        </w:rPr>
        <w:t>4.5.3. Operacionalización: el Índice de Gobernanza (IG)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4.6. Investigación acción participativa (Fals Borda, 1986)</w:t>
      </w:r>
    </w:p>
    <w:p>
      <w:pPr>
        <w:spacing w:after="40"/>
        <w:ind w:left="283"/>
      </w:pPr>
      <w:r>
        <w:rPr>
          <w:sz w:val="22"/>
        </w:rPr>
        <w:t>4.6.1. Fundamento epistemológico para la co-construcción</w:t>
      </w:r>
    </w:p>
    <w:p>
      <w:pPr>
        <w:spacing w:after="40"/>
        <w:ind w:left="283"/>
      </w:pPr>
      <w:r>
        <w:rPr>
          <w:sz w:val="22"/>
        </w:rPr>
        <w:t>4.6.2. Implicaciones metodológicas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4.7. Sostenibilidad y compromiso ambiental en PYMES</w:t>
      </w:r>
    </w:p>
    <w:p>
      <w:pPr>
        <w:spacing w:after="40"/>
        <w:ind w:left="283"/>
      </w:pPr>
      <w:r>
        <w:rPr>
          <w:sz w:val="22"/>
        </w:rPr>
        <w:t>4.7.1. Apoyo público e inversión ambiental (Benito-Hernández et al., 2023)</w:t>
      </w:r>
    </w:p>
    <w:p>
      <w:pPr>
        <w:spacing w:after="40"/>
        <w:ind w:left="283"/>
      </w:pPr>
      <w:r>
        <w:rPr>
          <w:sz w:val="22"/>
        </w:rPr>
        <w:t>4.7.2. PDET como instrumento de política habilitadora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4.8. Valor implícito de los atributos de sostenibilidad en el café</w:t>
      </w:r>
    </w:p>
    <w:p>
      <w:pPr>
        <w:spacing w:after="40"/>
        <w:ind w:left="283"/>
      </w:pPr>
      <w:r>
        <w:rPr>
          <w:sz w:val="22"/>
        </w:rPr>
        <w:t>4.8.1. El modelo de precios hedónicos (Merbah &amp; Benito-Hernández, 2023)</w:t>
      </w:r>
    </w:p>
    <w:p>
      <w:pPr>
        <w:spacing w:after="40"/>
        <w:ind w:left="283"/>
      </w:pPr>
      <w:r>
        <w:rPr>
          <w:sz w:val="22"/>
        </w:rPr>
        <w:t>4.8.2. La prima del 28,5% por trazabilidad verificada</w:t>
      </w:r>
    </w:p>
    <w:p>
      <w:pPr>
        <w:spacing w:after="40"/>
        <w:ind w:left="283"/>
      </w:pPr>
      <w:r>
        <w:rPr>
          <w:sz w:val="22"/>
        </w:rPr>
        <w:t>4.8.3. Implicaciones para el VCO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5: TECNOLOGÍA DIGITAL, CONFIANZA ALGORÍTMICA Y ANTIFRAGILIDAD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5.1. Introducción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5.2. Blockchain y gobernanza de comunes</w:t>
      </w:r>
    </w:p>
    <w:p>
      <w:pPr>
        <w:spacing w:after="40"/>
        <w:ind w:left="283"/>
      </w:pPr>
      <w:r>
        <w:rPr>
          <w:sz w:val="22"/>
        </w:rPr>
        <w:t>5.2.1. Las seis affordances de Rozas et al. (2021)</w:t>
      </w:r>
    </w:p>
    <w:p>
      <w:pPr>
        <w:spacing w:after="40"/>
        <w:ind w:left="283"/>
      </w:pPr>
      <w:r>
        <w:rPr>
          <w:sz w:val="22"/>
        </w:rPr>
        <w:t>5.2.2. Codificación de la confianza</w:t>
      </w:r>
    </w:p>
    <w:p>
      <w:pPr>
        <w:spacing w:after="40"/>
        <w:ind w:left="283"/>
      </w:pPr>
      <w:r>
        <w:rPr>
          <w:sz w:val="22"/>
        </w:rPr>
        <w:t>5.2.3. Riesgos de la adopción top-down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5.3. Blockchain en cadenas agroalimentarias</w:t>
      </w:r>
    </w:p>
    <w:p>
      <w:pPr>
        <w:spacing w:after="40"/>
        <w:ind w:left="283"/>
      </w:pPr>
      <w:r>
        <w:rPr>
          <w:sz w:val="22"/>
        </w:rPr>
        <w:t>5.3.1. Trazabilidad y verificación (Werbach, 2018)</w:t>
      </w:r>
    </w:p>
    <w:p>
      <w:pPr>
        <w:spacing w:after="40"/>
        <w:ind w:left="283"/>
      </w:pPr>
      <w:r>
        <w:rPr>
          <w:sz w:val="22"/>
        </w:rPr>
        <w:t>5.3.2. Aplicaciones en café (Miatton &amp; Amado, 2020; Elmatsani et al., 2026)</w:t>
      </w:r>
    </w:p>
    <w:p>
      <w:pPr>
        <w:spacing w:after="40"/>
        <w:ind w:left="283"/>
      </w:pPr>
      <w:r>
        <w:rPr>
          <w:sz w:val="22"/>
        </w:rPr>
        <w:t>5.3.3. El EUDR y la georreferenciación obligatoria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5.4. Soberanía de datos como recurso de uso común</w:t>
      </w:r>
    </w:p>
    <w:p>
      <w:pPr>
        <w:spacing w:after="40"/>
        <w:ind w:left="283"/>
      </w:pPr>
      <w:r>
        <w:rPr>
          <w:sz w:val="22"/>
        </w:rPr>
        <w:t>5.4.1. Los datos de la finca como activo colectivo</w:t>
      </w:r>
    </w:p>
    <w:p>
      <w:pPr>
        <w:spacing w:after="40"/>
        <w:ind w:left="283"/>
      </w:pPr>
      <w:r>
        <w:rPr>
          <w:sz w:val="22"/>
        </w:rPr>
        <w:t>5.4.2. Arquitecturas técnicas de soberanía</w:t>
      </w:r>
    </w:p>
    <w:p>
      <w:pPr>
        <w:spacing w:after="40"/>
        <w:ind w:left="283"/>
      </w:pPr>
      <w:r>
        <w:rPr>
          <w:sz w:val="22"/>
        </w:rPr>
        <w:t>5.4.3. Implicaciones éticas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5.5. Finanzas regenerativas y créditos de carbono</w:t>
      </w:r>
    </w:p>
    <w:p>
      <w:pPr>
        <w:spacing w:after="40"/>
        <w:ind w:left="283"/>
      </w:pPr>
      <w:r>
        <w:rPr>
          <w:sz w:val="22"/>
        </w:rPr>
        <w:t>5.5.1. Blended finance para agricultura (Havemann et al., 2020)</w:t>
      </w:r>
    </w:p>
    <w:p>
      <w:pPr>
        <w:spacing w:after="40"/>
        <w:ind w:left="283"/>
      </w:pPr>
      <w:r>
        <w:rPr>
          <w:sz w:val="22"/>
        </w:rPr>
        <w:t>5.5.2. Blockchain y regenerative finance (Schletz et al., 2023)</w:t>
      </w:r>
    </w:p>
    <w:p>
      <w:pPr>
        <w:spacing w:after="40"/>
        <w:ind w:left="283"/>
      </w:pPr>
      <w:r>
        <w:rPr>
          <w:sz w:val="22"/>
        </w:rPr>
        <w:t>5.5.3. Instrumentos por horizonte temporal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5.6. Antifragilidad (Taleb, 2012)</w:t>
      </w:r>
    </w:p>
    <w:p>
      <w:pPr>
        <w:spacing w:after="40"/>
        <w:ind w:left="283"/>
      </w:pPr>
      <w:r>
        <w:rPr>
          <w:sz w:val="22"/>
        </w:rPr>
        <w:t>5.6.1. Tipología fragilidad - robustez - antifragilidad</w:t>
      </w:r>
    </w:p>
    <w:p>
      <w:pPr>
        <w:spacing w:after="40"/>
        <w:ind w:left="283"/>
      </w:pPr>
      <w:r>
        <w:rPr>
          <w:sz w:val="22"/>
        </w:rPr>
        <w:t>5.6.2. Convexidad como firma matemática</w:t>
      </w:r>
    </w:p>
    <w:p>
      <w:pPr>
        <w:spacing w:after="40"/>
        <w:ind w:left="283"/>
      </w:pPr>
      <w:r>
        <w:rPr>
          <w:sz w:val="22"/>
        </w:rPr>
        <w:t>5.6.3. Capacidades dinámicas (Teece et al., 1997)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5.7. Síntesis del marco teórico integrado</w:t>
      </w:r>
    </w:p>
    <w:p>
      <w:pPr>
        <w:spacing w:after="40"/>
        <w:ind w:left="283"/>
      </w:pPr>
      <w:r>
        <w:rPr>
          <w:sz w:val="22"/>
        </w:rPr>
        <w:t>5.7.1. Articulación de los cuatro pilares</w:t>
      </w:r>
    </w:p>
    <w:p>
      <w:pPr>
        <w:spacing w:after="40"/>
        <w:ind w:left="283"/>
      </w:pPr>
      <w:r>
        <w:rPr>
          <w:sz w:val="22"/>
        </w:rPr>
        <w:t>5.7.2. El modelo conceptual del GDA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6: DIAGNÓSTICO DEL VALOR CAPTURADO EN ORIGEN — ANÁLISIS DE LA CADENA DEL CAFÉ COLOMBIANO PDET</w:t>
      </w:r>
    </w:p>
    <w:p>
      <w:r>
        <w:rPr>
          <w:b w:val="0"/>
          <w:i/>
          <w:sz w:val="22"/>
        </w:rPr>
        <w:t>(Capítulo empírico de la Fase I — corresponde al primer artículo derivado)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6.1. Introducción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6.2. Marco analítico de la distribución de valor</w:t>
      </w:r>
    </w:p>
    <w:p>
      <w:pPr>
        <w:spacing w:after="40"/>
        <w:ind w:left="283"/>
      </w:pPr>
      <w:r>
        <w:rPr>
          <w:sz w:val="22"/>
        </w:rPr>
        <w:t>6.2.1. Definición y medición del Valor Capturado en Origen (VCO)</w:t>
      </w:r>
    </w:p>
    <w:p>
      <w:pPr>
        <w:spacing w:after="40"/>
        <w:ind w:left="283"/>
      </w:pPr>
      <w:r>
        <w:rPr>
          <w:sz w:val="22"/>
        </w:rPr>
        <w:t>6.2.2. Variables del modelo de diagnóstico</w:t>
      </w:r>
    </w:p>
    <w:p>
      <w:pPr>
        <w:spacing w:after="40"/>
        <w:ind w:left="283"/>
      </w:pPr>
      <w:r>
        <w:rPr>
          <w:sz w:val="22"/>
        </w:rPr>
        <w:t>6.2.3. Construcción del Índice de Consolidación PDET (IPDET)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6.3. Metodología</w:t>
      </w:r>
    </w:p>
    <w:p>
      <w:pPr>
        <w:spacing w:after="40"/>
        <w:ind w:left="283"/>
      </w:pPr>
      <w:r>
        <w:rPr>
          <w:sz w:val="22"/>
        </w:rPr>
        <w:t>6.3.1. Enfoque mixto secuencial</w:t>
      </w:r>
    </w:p>
    <w:p>
      <w:pPr>
        <w:spacing w:after="40"/>
        <w:ind w:left="283"/>
      </w:pPr>
      <w:r>
        <w:rPr>
          <w:sz w:val="22"/>
        </w:rPr>
        <w:t>6.3.2. Selección de organizaciones y territorios</w:t>
      </w:r>
    </w:p>
    <w:p>
      <w:pPr>
        <w:spacing w:after="40"/>
        <w:ind w:left="283"/>
      </w:pPr>
      <w:r>
        <w:rPr>
          <w:sz w:val="22"/>
        </w:rPr>
        <w:t>6.3.3. Instrumentos: entrevistas semiestructuradas, SNA y mapeo de la cadena</w:t>
      </w:r>
    </w:p>
    <w:p>
      <w:pPr>
        <w:spacing w:after="40"/>
        <w:ind w:left="283"/>
      </w:pPr>
      <w:r>
        <w:rPr>
          <w:sz w:val="22"/>
        </w:rPr>
        <w:t>6.3.4. Análisis de datos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6.4. Resultados</w:t>
      </w:r>
    </w:p>
    <w:p>
      <w:pPr>
        <w:spacing w:after="40"/>
        <w:ind w:left="283"/>
      </w:pPr>
      <w:r>
        <w:rPr>
          <w:sz w:val="22"/>
        </w:rPr>
        <w:t>6.4.1. Mapeo de la cadena del café colombiano hasta el mercado europeo</w:t>
      </w:r>
    </w:p>
    <w:p>
      <w:pPr>
        <w:spacing w:after="40"/>
        <w:ind w:left="283"/>
      </w:pPr>
      <w:r>
        <w:rPr>
          <w:sz w:val="22"/>
        </w:rPr>
        <w:t>6.4.2. Distribución cuantitativa del valor por eslabón</w:t>
      </w:r>
    </w:p>
    <w:p>
      <w:pPr>
        <w:spacing w:after="40"/>
        <w:ind w:left="283"/>
      </w:pPr>
      <w:r>
        <w:rPr>
          <w:sz w:val="22"/>
        </w:rPr>
        <w:t>6.4.3. VCO inicial (VCO₀) de las organizaciones estudiadas</w:t>
      </w:r>
    </w:p>
    <w:p>
      <w:pPr>
        <w:spacing w:after="40"/>
        <w:ind w:left="283"/>
      </w:pPr>
      <w:r>
        <w:rPr>
          <w:sz w:val="22"/>
        </w:rPr>
        <w:t>6.4.4. Diagnóstico del capital social posconflicto (resultados SNA)</w:t>
      </w:r>
    </w:p>
    <w:p>
      <w:pPr>
        <w:spacing w:after="40"/>
        <w:ind w:left="283"/>
      </w:pPr>
      <w:r>
        <w:rPr>
          <w:sz w:val="22"/>
        </w:rPr>
        <w:t>6.4.5. IPDET por municipio y categorización territorial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6.5. Discusión</w:t>
      </w:r>
    </w:p>
    <w:p>
      <w:pPr>
        <w:spacing w:after="40"/>
        <w:ind w:left="283"/>
      </w:pPr>
      <w:r>
        <w:rPr>
          <w:sz w:val="22"/>
        </w:rPr>
        <w:t>6.5.1. Comparación con la literatura previa</w:t>
      </w:r>
    </w:p>
    <w:p>
      <w:pPr>
        <w:spacing w:after="40"/>
        <w:ind w:left="283"/>
      </w:pPr>
      <w:r>
        <w:rPr>
          <w:sz w:val="22"/>
        </w:rPr>
        <w:t>6.5.2. Patrones emergentes en la red FEMNCAFE</w:t>
      </w:r>
    </w:p>
    <w:p>
      <w:pPr>
        <w:spacing w:after="40"/>
        <w:ind w:left="283"/>
      </w:pPr>
      <w:r>
        <w:rPr>
          <w:sz w:val="22"/>
        </w:rPr>
        <w:t>6.5.3. Implicaciones para el diseño del modelo GDA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7: DISEÑO Y VALIDACIÓN DEL MODELO DE GOBERNANZA DIGITAL ASOCIATIVA — UN ENFOQUE PARTICIPATIVO Y DELPHI</w:t>
      </w:r>
    </w:p>
    <w:p>
      <w:r>
        <w:rPr>
          <w:b w:val="0"/>
          <w:i/>
          <w:sz w:val="22"/>
        </w:rPr>
        <w:t>(Capítulo empírico de la Fase II — corresponde al segundo artículo derivado)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7.1. Introducción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7.2. Diseño científico de artefactos (Design Science Research)</w:t>
      </w:r>
    </w:p>
    <w:p>
      <w:pPr>
        <w:spacing w:after="40"/>
        <w:ind w:left="283"/>
      </w:pPr>
      <w:r>
        <w:rPr>
          <w:sz w:val="22"/>
        </w:rPr>
        <w:t>7.2.1. El paradigma de Hevner et al. (2004)</w:t>
      </w:r>
    </w:p>
    <w:p>
      <w:pPr>
        <w:spacing w:after="40"/>
        <w:ind w:left="283"/>
      </w:pPr>
      <w:r>
        <w:rPr>
          <w:sz w:val="22"/>
        </w:rPr>
        <w:t>7.2.2. Las tres condiciones de validez</w:t>
      </w:r>
    </w:p>
    <w:p>
      <w:pPr>
        <w:spacing w:after="40"/>
        <w:ind w:left="283"/>
      </w:pPr>
      <w:r>
        <w:rPr>
          <w:sz w:val="22"/>
        </w:rPr>
        <w:t>7.2.3. Aplicación al GDA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7.3. Metodología</w:t>
      </w:r>
    </w:p>
    <w:p>
      <w:pPr>
        <w:spacing w:after="40"/>
        <w:ind w:left="283"/>
      </w:pPr>
      <w:r>
        <w:rPr>
          <w:sz w:val="22"/>
        </w:rPr>
        <w:t>7.3.1. Talleres de diseño participativo con asociaciones</w:t>
      </w:r>
    </w:p>
    <w:p>
      <w:pPr>
        <w:spacing w:after="40"/>
        <w:ind w:left="283"/>
      </w:pPr>
      <w:r>
        <w:rPr>
          <w:sz w:val="22"/>
        </w:rPr>
        <w:t>7.3.2. Panel Delphi: composición experta y protocolo de las tres rondas</w:t>
      </w:r>
    </w:p>
    <w:p>
      <w:pPr>
        <w:spacing w:after="40"/>
        <w:ind w:left="283"/>
      </w:pPr>
      <w:r>
        <w:rPr>
          <w:sz w:val="22"/>
        </w:rPr>
        <w:t>7.3.3. Validación comunitaria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7.4. Resultados</w:t>
      </w:r>
    </w:p>
    <w:p>
      <w:pPr>
        <w:spacing w:after="40"/>
        <w:ind w:left="283"/>
      </w:pPr>
      <w:r>
        <w:rPr>
          <w:sz w:val="22"/>
        </w:rPr>
        <w:t>7.4.1. Co-diseño de los mecanismos de gobernanza</w:t>
      </w:r>
    </w:p>
    <w:p>
      <w:pPr>
        <w:spacing w:after="40"/>
        <w:ind w:left="283"/>
      </w:pPr>
      <w:r>
        <w:rPr>
          <w:sz w:val="22"/>
        </w:rPr>
        <w:t>7.4.2. Arquitectura técnica del componente blockchain</w:t>
      </w:r>
    </w:p>
    <w:p>
      <w:pPr>
        <w:spacing w:after="40"/>
        <w:ind w:left="283"/>
      </w:pPr>
      <w:r>
        <w:rPr>
          <w:sz w:val="22"/>
        </w:rPr>
        <w:t>7.4.3. Consenso experto Delphi por variable</w:t>
      </w:r>
    </w:p>
    <w:p>
      <w:pPr>
        <w:spacing w:after="40"/>
        <w:ind w:left="283"/>
      </w:pPr>
      <w:r>
        <w:rPr>
          <w:sz w:val="22"/>
        </w:rPr>
        <w:t>7.4.4. Distribuciones a priori construidas para la simulación</w:t>
      </w:r>
    </w:p>
    <w:p>
      <w:pPr>
        <w:spacing w:after="40"/>
        <w:ind w:left="283"/>
      </w:pPr>
      <w:r>
        <w:rPr>
          <w:sz w:val="22"/>
        </w:rPr>
        <w:t>7.4.5. Prototipo del modelo GDA validado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7.5. Discusión</w:t>
      </w:r>
    </w:p>
    <w:p>
      <w:pPr>
        <w:spacing w:after="40"/>
        <w:ind w:left="283"/>
      </w:pPr>
      <w:r>
        <w:rPr>
          <w:sz w:val="22"/>
        </w:rPr>
        <w:t>7.5.1. El modelo GDA como artefacto sociotécnico</w:t>
      </w:r>
    </w:p>
    <w:p>
      <w:pPr>
        <w:spacing w:after="40"/>
        <w:ind w:left="283"/>
      </w:pPr>
      <w:r>
        <w:rPr>
          <w:sz w:val="22"/>
        </w:rPr>
        <w:t>7.5.2. Soberanía de datos como innovación institucional</w:t>
      </w:r>
    </w:p>
    <w:p>
      <w:pPr>
        <w:spacing w:after="40"/>
        <w:ind w:left="283"/>
      </w:pPr>
      <w:r>
        <w:rPr>
          <w:sz w:val="22"/>
        </w:rPr>
        <w:t>7.5.3. Diferenciación frente a modelos previos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8: EVALUACIÓN DEL MODELO BAJO INCERTIDUMBRE PROFUNDA — SIMULACIÓN MONTE CARLO, ÍNDICES DE SOBOL Y ANÁLISIS DMDU</w:t>
      </w:r>
    </w:p>
    <w:p>
      <w:r>
        <w:rPr>
          <w:b w:val="0"/>
          <w:i/>
          <w:sz w:val="22"/>
        </w:rPr>
        <w:t>(Capítulo empírico de la Fase III — corresponde al tercer artículo derivado)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8.1. Introducción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8.2. Marco evaluativo</w:t>
      </w:r>
    </w:p>
    <w:p>
      <w:pPr>
        <w:spacing w:after="40"/>
        <w:ind w:left="283"/>
      </w:pPr>
      <w:r>
        <w:rPr>
          <w:sz w:val="22"/>
        </w:rPr>
        <w:t>8.2.1. Hipótesis a contrastar</w:t>
      </w:r>
    </w:p>
    <w:p>
      <w:pPr>
        <w:spacing w:after="40"/>
        <w:ind w:left="283"/>
      </w:pPr>
      <w:r>
        <w:rPr>
          <w:sz w:val="22"/>
        </w:rPr>
        <w:t>8.2.2. Variables, parámetros e indicadores</w:t>
      </w:r>
    </w:p>
    <w:p>
      <w:pPr>
        <w:spacing w:after="40"/>
        <w:ind w:left="283"/>
      </w:pPr>
      <w:r>
        <w:rPr>
          <w:sz w:val="22"/>
        </w:rPr>
        <w:t>8.2.3. Indicadores de antifragilidad (corrientes I₁ a I₅)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8.3. Metodología</w:t>
      </w:r>
    </w:p>
    <w:p>
      <w:pPr>
        <w:spacing w:after="40"/>
        <w:ind w:left="283"/>
      </w:pPr>
      <w:r>
        <w:rPr>
          <w:sz w:val="22"/>
        </w:rPr>
        <w:t>8.3.1. Configuración del modelo de simulación Monte Carlo</w:t>
      </w:r>
    </w:p>
    <w:p>
      <w:pPr>
        <w:spacing w:after="40"/>
        <w:ind w:left="283"/>
      </w:pPr>
      <w:r>
        <w:rPr>
          <w:sz w:val="22"/>
        </w:rPr>
        <w:t>8.3.2. Implementación de los índices de sensibilidad de Sobol</w:t>
      </w:r>
    </w:p>
    <w:p>
      <w:pPr>
        <w:spacing w:after="40"/>
        <w:ind w:left="283"/>
      </w:pPr>
      <w:r>
        <w:rPr>
          <w:sz w:val="22"/>
        </w:rPr>
        <w:t>8.3.3. Diseño de escenarios DMDU</w:t>
      </w:r>
    </w:p>
    <w:p>
      <w:pPr>
        <w:spacing w:after="40"/>
        <w:ind w:left="283"/>
      </w:pPr>
      <w:r>
        <w:rPr>
          <w:sz w:val="22"/>
        </w:rPr>
        <w:t>8.3.4. Piloto acotado e indicadores tempranos de adopción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8.4. Resultados</w:t>
      </w:r>
    </w:p>
    <w:p>
      <w:pPr>
        <w:spacing w:after="40"/>
        <w:ind w:left="283"/>
      </w:pPr>
      <w:r>
        <w:rPr>
          <w:sz w:val="22"/>
        </w:rPr>
        <w:t>8.4.1. Distribución del VCO bajo el modelo GDA (10.000 iteraciones)</w:t>
      </w:r>
    </w:p>
    <w:p>
      <w:pPr>
        <w:spacing w:after="40"/>
        <w:ind w:left="283"/>
      </w:pPr>
      <w:r>
        <w:rPr>
          <w:sz w:val="22"/>
        </w:rPr>
        <w:t>8.4.2. Descomposición de varianza: gobernanza vs. tecnología</w:t>
      </w:r>
    </w:p>
    <w:p>
      <w:pPr>
        <w:spacing w:after="40"/>
        <w:ind w:left="283"/>
      </w:pPr>
      <w:r>
        <w:rPr>
          <w:sz w:val="22"/>
        </w:rPr>
        <w:t>8.4.3. Respuesta del VCO bajo escenarios de estrés (DMDU)</w:t>
      </w:r>
    </w:p>
    <w:p>
      <w:pPr>
        <w:spacing w:after="40"/>
        <w:ind w:left="283"/>
      </w:pPr>
      <w:r>
        <w:rPr>
          <w:sz w:val="22"/>
        </w:rPr>
        <w:t>8.4.4. Convexidad y prueba de antifragilidad</w:t>
      </w:r>
    </w:p>
    <w:p>
      <w:pPr>
        <w:spacing w:after="40"/>
        <w:ind w:left="283"/>
      </w:pPr>
      <w:r>
        <w:rPr>
          <w:sz w:val="22"/>
        </w:rPr>
        <w:t>8.4.5. Resultados del piloto acotado</w:t>
      </w:r>
    </w:p>
    <w:p>
      <w:pPr>
        <w:spacing w:after="40"/>
        <w:ind w:left="283"/>
      </w:pPr>
      <w:r>
        <w:rPr>
          <w:sz w:val="22"/>
        </w:rPr>
        <w:t>8.4.6. Transferibilidad en la red FEMNCAFE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8.5. Discusión</w:t>
      </w:r>
    </w:p>
    <w:p>
      <w:pPr>
        <w:spacing w:after="40"/>
        <w:ind w:left="283"/>
      </w:pPr>
      <w:r>
        <w:rPr>
          <w:sz w:val="22"/>
        </w:rPr>
        <w:t>8.5.1. Validación o refutación de la hipótesis central</w:t>
      </w:r>
    </w:p>
    <w:p>
      <w:pPr>
        <w:spacing w:after="40"/>
        <w:ind w:left="283"/>
      </w:pPr>
      <w:r>
        <w:rPr>
          <w:sz w:val="22"/>
        </w:rPr>
        <w:t>8.5.2. Robustez de los hallazgos</w:t>
      </w:r>
    </w:p>
    <w:p>
      <w:pPr>
        <w:spacing w:after="40"/>
        <w:ind w:left="283"/>
      </w:pPr>
      <w:r>
        <w:rPr>
          <w:sz w:val="22"/>
        </w:rPr>
        <w:t>8.5.3. Limitaciones del modelo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CAPÍTULO 9: CONCLUSIÓN GENERAL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9.1. Síntesis de hallazgos por capítulo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9.2. Respuesta a la pregunta de investigación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9.3. Validación de las hipótesis y cumplimiento de los objetivos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9.4. Contribuciones originales al conocimiento</w:t>
      </w:r>
    </w:p>
    <w:p>
      <w:pPr>
        <w:spacing w:after="40"/>
        <w:ind w:left="283"/>
      </w:pPr>
      <w:r>
        <w:rPr>
          <w:sz w:val="22"/>
        </w:rPr>
        <w:t>9.4.1. Aportes teóricos</w:t>
      </w:r>
    </w:p>
    <w:p>
      <w:pPr>
        <w:spacing w:after="40"/>
        <w:ind w:left="283"/>
      </w:pPr>
      <w:r>
        <w:rPr>
          <w:sz w:val="22"/>
        </w:rPr>
        <w:t>9.4.2. Aportes metodológicos</w:t>
      </w:r>
    </w:p>
    <w:p>
      <w:pPr>
        <w:spacing w:after="40"/>
        <w:ind w:left="283"/>
      </w:pPr>
      <w:r>
        <w:rPr>
          <w:sz w:val="22"/>
        </w:rPr>
        <w:t>9.4.3. Aportes praxeológicos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9.5. Implicaciones para la política pública</w:t>
      </w:r>
    </w:p>
    <w:p>
      <w:pPr>
        <w:spacing w:after="40"/>
        <w:ind w:left="283"/>
      </w:pPr>
      <w:r>
        <w:rPr>
          <w:sz w:val="22"/>
        </w:rPr>
        <w:t>9.5.1. Para el marco PDET</w:t>
      </w:r>
    </w:p>
    <w:p>
      <w:pPr>
        <w:spacing w:after="40"/>
        <w:ind w:left="283"/>
      </w:pPr>
      <w:r>
        <w:rPr>
          <w:sz w:val="22"/>
        </w:rPr>
        <w:t>9.5.2. Para la política cafetera colombiana</w:t>
      </w:r>
    </w:p>
    <w:p>
      <w:pPr>
        <w:spacing w:after="40"/>
        <w:ind w:left="283"/>
      </w:pPr>
      <w:r>
        <w:rPr>
          <w:sz w:val="22"/>
        </w:rPr>
        <w:t>9.5.3. Para la regulación europea de sostenibilidad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9.6. Implicaciones prácticas para las organizaciones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9.7. Limitaciones del estudio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9.8. Líneas futuras de investigación</w:t>
      </w:r>
    </w:p>
    <w:p>
      <w:r>
        <w:br w:type="page"/>
      </w:r>
    </w:p>
    <w:p>
      <w:pPr>
        <w:keepNext/>
        <w:spacing w:before="480" w:after="240"/>
      </w:pPr>
      <w:r>
        <w:rPr>
          <w:b/>
          <w:color w:val="1A472A"/>
          <w:sz w:val="32"/>
        </w:rPr>
        <w:t>ANEXOS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Anexo 1. Instrumentos de campo</w:t>
      </w:r>
    </w:p>
    <w:p>
      <w:r>
        <w:rPr>
          <w:b w:val="0"/>
          <w:i w:val="0"/>
          <w:sz w:val="22"/>
        </w:rPr>
        <w:t>• A1.1. Guion de entrevistas semiestructuradas</w:t>
      </w:r>
    </w:p>
    <w:p>
      <w:r>
        <w:rPr>
          <w:b w:val="0"/>
          <w:i w:val="0"/>
          <w:sz w:val="22"/>
        </w:rPr>
        <w:t>• A1.2. Protocolo del Análisis de Redes Sociales</w:t>
      </w:r>
    </w:p>
    <w:p>
      <w:r>
        <w:rPr>
          <w:b w:val="0"/>
          <w:i w:val="0"/>
          <w:sz w:val="22"/>
        </w:rPr>
        <w:t>• A1.3. Cuestionario del panel Delphi</w:t>
      </w:r>
    </w:p>
    <w:p>
      <w:r>
        <w:rPr>
          <w:b w:val="0"/>
          <w:i w:val="0"/>
          <w:sz w:val="22"/>
        </w:rPr>
        <w:t>• A1.4. Formularios de consentimiento informado</w:t>
      </w:r>
    </w:p>
    <w:p>
      <w:r>
        <w:rPr>
          <w:b w:val="0"/>
          <w:i w:val="0"/>
          <w:sz w:val="22"/>
        </w:rPr>
        <w:t>• A1.5. Encuesta de transferibilidad FEMNCAFE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Anexo 2. Operacionalización de constructos</w:t>
      </w:r>
    </w:p>
    <w:p>
      <w:r>
        <w:rPr>
          <w:b w:val="0"/>
          <w:i w:val="0"/>
          <w:sz w:val="22"/>
        </w:rPr>
        <w:t>• A2.1. Índice de Gobernanza (IG): indicadores</w:t>
      </w:r>
    </w:p>
    <w:p>
      <w:r>
        <w:rPr>
          <w:b w:val="0"/>
          <w:i w:val="0"/>
          <w:sz w:val="22"/>
        </w:rPr>
        <w:t>• A2.2. Índice de Consolidación PDET (IPDET): dimensiones</w:t>
      </w:r>
    </w:p>
    <w:p>
      <w:r>
        <w:rPr>
          <w:b w:val="0"/>
          <w:i w:val="0"/>
          <w:sz w:val="22"/>
        </w:rPr>
        <w:t>• A2.3. Cálculo del VCO: ecuaciones</w:t>
      </w:r>
    </w:p>
    <w:p>
      <w:r>
        <w:rPr>
          <w:b w:val="0"/>
          <w:i w:val="0"/>
          <w:sz w:val="22"/>
        </w:rPr>
        <w:t>• A2.4. Corrientes I₁ a I₅: definición y medición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Anexo 3. Implementación computacional</w:t>
      </w:r>
    </w:p>
    <w:p>
      <w:r>
        <w:rPr>
          <w:b w:val="0"/>
          <w:i w:val="0"/>
          <w:sz w:val="22"/>
        </w:rPr>
        <w:t>• A3.1. Código de la simulación Monte Carlo</w:t>
      </w:r>
    </w:p>
    <w:p>
      <w:r>
        <w:rPr>
          <w:b w:val="0"/>
          <w:i w:val="0"/>
          <w:sz w:val="22"/>
        </w:rPr>
        <w:t>• A3.2. Implementación de los índices de Sobol</w:t>
      </w:r>
    </w:p>
    <w:p>
      <w:r>
        <w:rPr>
          <w:b w:val="0"/>
          <w:i w:val="0"/>
          <w:sz w:val="22"/>
        </w:rPr>
        <w:t>• A3.3. Diseño de escenarios DMDU</w:t>
      </w:r>
    </w:p>
    <w:p>
      <w:r>
        <w:rPr>
          <w:b w:val="0"/>
          <w:i w:val="0"/>
          <w:sz w:val="22"/>
        </w:rPr>
        <w:t>• A3.4. Validación del modelo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Anexo 4. Aprobación ética</w:t>
      </w:r>
    </w:p>
    <w:p>
      <w:r>
        <w:rPr>
          <w:b w:val="0"/>
          <w:i w:val="0"/>
          <w:sz w:val="22"/>
        </w:rPr>
        <w:t>• A4.1. Dictamen del comité de ética institucional</w:t>
      </w:r>
    </w:p>
    <w:p>
      <w:r>
        <w:rPr>
          <w:b w:val="0"/>
          <w:i w:val="0"/>
          <w:sz w:val="22"/>
        </w:rPr>
        <w:t>• A4.2. Convenios con organizaciones participantes</w:t>
      </w:r>
    </w:p>
    <w:p>
      <w:pPr>
        <w:keepNext/>
        <w:spacing w:before="280" w:after="120"/>
      </w:pPr>
      <w:r>
        <w:rPr>
          <w:b/>
          <w:color w:val="2E5F3F"/>
          <w:sz w:val="26"/>
        </w:rPr>
        <w:t>Anexo 5. Publicaciones derivadas</w:t>
      </w:r>
    </w:p>
    <w:p>
      <w:r>
        <w:rPr>
          <w:b w:val="0"/>
          <w:i w:val="0"/>
          <w:sz w:val="22"/>
        </w:rPr>
        <w:t>• A5.1. Artículo 1: Diagnóstico de la distribución de valor</w:t>
      </w:r>
    </w:p>
    <w:p>
      <w:r>
        <w:rPr>
          <w:b w:val="0"/>
          <w:i w:val="0"/>
          <w:sz w:val="22"/>
        </w:rPr>
        <w:t>• A5.2. Artículo 2: El modelo de gobernanza GDA</w:t>
      </w:r>
    </w:p>
    <w:p>
      <w:r>
        <w:rPr>
          <w:b w:val="0"/>
          <w:i w:val="0"/>
          <w:sz w:val="22"/>
        </w:rPr>
        <w:t>• A5.3. Artículo 3: Evaluación bajo incertidumbre profunda</w:t>
      </w:r>
    </w:p>
    <w:p>
      <w:pPr>
        <w:spacing w:before="240" w:after="240"/>
        <w:jc w:val="center"/>
      </w:pPr>
      <w:r>
        <w:rPr>
          <w:color w:val="999999"/>
        </w:rPr>
        <w:t>— — —</w:t>
      </w:r>
    </w:p>
    <w:p>
      <w:pPr>
        <w:keepNext/>
        <w:spacing w:before="480" w:after="240"/>
      </w:pPr>
      <w:r>
        <w:rPr>
          <w:b/>
          <w:color w:val="1A472A"/>
          <w:sz w:val="32"/>
        </w:rPr>
        <w:t>REFERENCIAS</w:t>
      </w:r>
    </w:p>
    <w:p>
      <w:r>
        <w:rPr>
          <w:b w:val="0"/>
          <w:i/>
          <w:sz w:val="22"/>
        </w:rPr>
        <w:t>(En orden alfabético, formato APA 7, con DOI cuando esté disponible)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